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VFA Low Risk finding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12.5 lbs/hand x8 — becomes the new 8-week baseline; target 15–17.5 lbs/hand by Week 4 as shoulder tolerates load</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Low Risk) and ALST (6.32 kg/m², Normal — monitor) don't support an elevated cardiometabolic read on their own, and Lean Mass carries the positive "Ideal Lean Mass" flag noted above. The full picture is a healthy, monitor-tier profile, not one driven by any single number in isolation.</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a 1.4 lb gap, well above the 0.5 lb asymmetry-protocol trigger. LEFT leg is weaker (lower LST) and leads every unilateral lower-body exercise across this program; reps/loads are logged per side. Arms: Left 8.4 lbs / Right 8.5 lbs — only a 0.1 lb gap, below the 0.5 lb trigger, so arms are tracked as routine monitoring only with no formal unilateral-lead requirement.</w:t>
      </w:r>
    </w:p>
    <w:p>
      <w:pPr>
        <w:spacing w:after="100"/>
      </w:pPr>
      <w:r>
        <w:rPr>
          <w:rFonts w:ascii="Arial" w:cs="Arial" w:eastAsia="Arial" w:hAnsi="Arial"/>
          <w:b/>
          <w:bCs/>
          <w:color w:val="C9A227"/>
          <w:sz w:val="17"/>
          <w:szCs w:val="17"/>
        </w:rPr>
        <w:t xml:space="preserve">Squat, Deadlift &amp; Incline Press — Baselines Established This Week:  </w:t>
      </w:r>
      <w:r>
        <w:rPr>
          <w:rFonts w:ascii="Arial" w:cs="Arial" w:eastAsia="Arial" w:hAnsi="Arial"/>
          <w:color w:val="2C2C2C"/>
          <w:sz w:val="17"/>
          <w:szCs w:val="17"/>
        </w:rPr>
        <w:t xml:space="preserve">Three lifts were not part of the initial testing battery: Back Squat, Deadlift, and Incline Dumbbell Press. Day 1's deliberately light working loads (Goblet Squat 25 lbs, Trap Bar Deadlift 55 lbs) and Day 2's Incline Dumbbell Press (12.5 lbs/hand, technique-first, same conservative posture as her Overhead Press given the frozen shoulder history) all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Protein and creatine targets below reflect the 2.0–2.2 g/kg "50+" tier automatically, and creatine is strongly indicated by age alone regardless of ALST status. Bone-loading candidacy (LIFTMOR-style, T-score dependent) is worth screening for as she moves through this window even though nothing on the current scan indicates low bone mass.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~29g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STRENGTH — SQUAT &amp; DEADLIFT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or deadlift. Loads stay light — the goal is a clean, repeatable pattern that becomes today's new baseline, not maximal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Seated overhead press tested at 15 lbs x8 (Epley 1RM ≈19 lbs). Given the frozen shoulder history, Week 1 trains conservatively below baseline (12.5 lbs) and progresses only as far as pain-free range allows, reaching 17.5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C — PULL STRENGTH &amp; INCLINE PRESS BASELINE</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Rowing volume balances the pressing work above and builds scapular stability around the healing shoulder. Incline Dumbbell Press was not part of the initial testing battery — it closes the block as a new horizontal-press baseline, light load and technique-first, respecting the same pain-free-range guardrail as the rest of this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Stop at any pinch or sharp pain.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press within pain-free range only.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per Styku's 1.4 lb segmental LST gap (16.8 vs 18.2 lbs) — well above the 0.5 lb asymmetry-protocol trigger.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STRENGTH — HIP THRUST &amp; SINGLE-LEG RDL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Hip Thrust tested at 55 lbs x8 (Epley 1RM ≈70 lbs); Week 1 trains at 55 lbs, climbing to 60 lbs by Week 4. Single-Leg RDL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LUNGE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Lunge tested at 15 lbs/hand x8 (Epley 1RM ≈19 lbs) — Week 1 trains at 12.5 lbs/hand, climbing to 17.5 lbs/hand by Week 4.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D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Farmers Carry tested at 30 lbs/hand — builds the deep spinal stabilizer strength that supports posture under all the compound lifts above.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E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1.4 lb segmental gap (16.8 vs 18.2 lbs), well above the 0.5 lb asymmetry trigger.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 Incline Dumbbell Press baseline newly established this week at 12.5 lbs/hand, technique-first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Incline Dumbbell Press progressing from 12.5 lbs/hand toward 15 lbs/hand, pain-free. Left-leg single-leg RDL load matched toward parity with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6.32 kg/m², Normal — monitor tier, not yet Optimal), VFA (currently 82.7 cm², Low Risk — maintain), left/right leg LST gap (baseline 1.4 lbs, target under 0.5),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2026-08-17T19:09:02.191Z</dcterms:created>
  <dcterms:modified xsi:type="dcterms:W3CDTF">2026-08-17T19:09:02.191Z</dcterms:modified>
</cp:coreProperties>
</file>

<file path=docProps/custom.xml><?xml version="1.0" encoding="utf-8"?>
<Properties xmlns="http://schemas.openxmlformats.org/officeDocument/2006/custom-properties" xmlns:vt="http://schemas.openxmlformats.org/officeDocument/2006/docPropsVTypes"/>
</file>