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falls in the Normal/monitor tier per our 3-tier table (&lt;5.5 At-Risk / 5.5-6.99 Normal-monitor / ≥7.0 Optimal), but only 0.02 kg/m² above the At-Risk cutoff — genuinely borderline, and worth close attention at the next rescan rather than treated as comfortably clear. VFA 62.0 cm² — Very Low Risk per our precise VFA table (&lt;70 cm² threshold); Styku's own dashboard tag on this scan reads "Low Risk," but our table's more precise banding places her in the more favorable Very Low Risk tier — using the correct, more precise tier here rather than Styku's coarser label.</w:t>
      </w:r>
    </w:p>
    <w:p>
      <w:pPr>
        <w:spacing w:after="100"/>
      </w:pPr>
      <w:r>
        <w:rPr>
          <w:rFonts w:ascii="Arial" w:cs="Arial" w:eastAsia="Arial" w:hAnsi="Arial"/>
          <w:b/>
          <w:bCs/>
          <w:color w:val="E65100"/>
          <w:sz w:val="17"/>
          <w:szCs w:val="17"/>
        </w:rPr>
        <w:t xml:space="preserve">Segmental Asymmetry — Legs At Threshold, Protocol Triggered:  </w:t>
      </w:r>
      <w:r>
        <w:rPr>
          <w:rFonts w:ascii="Arial" w:cs="Arial" w:eastAsia="Arial" w:hAnsi="Arial"/>
          <w:color w:val="2C2C2C"/>
          <w:sz w:val="17"/>
          <w:szCs w:val="17"/>
        </w:rPr>
        <w:t xml:space="preserve">Arms: Left 7.3 lbs / Right 7.2 lbs — 0.1 lb gap, below the 0.5 lb asymmetry-protocol threshold — monitor only, no unilateral-lead requirement. Legs: Left 14.6 lbs / Right 15.1 lbs — exactly 0.5 lbs, landing precisely AT the asymmetry-protocol trigger. An exact-threshold gap is treated as triggering the full protocol, not as a borderline non-trigger. LEFT leg (lower LST) is weaker and leads every unilateral leg exercise in this program — split stance squat, step-up, and single-leg RDL all list LEFT first below.</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already reflect the 50+ escalation (2.0-2.2 g/kg, creatine strongly indicated) appropriate to either bracket.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E65100"/>
          <w:sz w:val="17"/>
          <w:szCs w:val="17"/>
        </w:rPr>
        <w:t xml:space="preserve">Menopausal Status — Unconfirmed, Flagged for Next Intake:  </w:t>
      </w:r>
      <w:r>
        <w:rPr>
          <w:rFonts w:ascii="Arial" w:cs="Arial" w:eastAsia="Arial" w:hAnsi="Arial"/>
          <w:color w:val="2C2C2C"/>
          <w:sz w:val="17"/>
          <w:szCs w:val="17"/>
        </w:rPr>
        <w:t xml:space="preserve">No menopausal status was stated by the trainer at intake — isPostmenopausal is left unconfirmed here rather than fabricated. At 55, Mary is at or past the average age of menopause onset (~51), and this program includes real, heavy hip-thrust, squat, and deadlift loading — exactly the pattern the pelvic floor protocol exists to safeguard. Per CLAUDE.md's Perimenopausal Status guidance, the transition window itself (not just confirmed postmenopausal status) carries elevated stress-urinary-incontinence risk, so this is not a low-stakes unknown. Confirming her actual status is worth doing at the next intake conversation given how load-bearing that determination is for whether the pelvic floor safety callout should be running on every heavy day. Fixed 8/17/2026: both heavy-loading days now carry the written Pelvic Floor Safety Note directly (via `day.forcePelvicFloor: true`, a new engine field for exactly this unconfirmed-but-cautious case), not just verbal coaching cues.</w:t>
      </w:r>
    </w:p>
    <w:p>
      <w:pPr>
        <w:spacing w:after="100"/>
      </w:pPr>
      <w:r>
        <w:rPr>
          <w:rFonts w:ascii="Arial" w:cs="Arial" w:eastAsia="Arial" w:hAnsi="Arial"/>
          <w:b/>
          <w:bCs/>
          <w:color w:val="C9A227"/>
          <w:sz w:val="17"/>
          <w:szCs w:val="17"/>
        </w:rPr>
        <w:t xml:space="preserve">Power Training Added — 55-65 Bracket (8/16/2026):  </w:t>
      </w:r>
      <w:r>
        <w:rPr>
          <w:rFonts w:ascii="Arial" w:cs="Arial" w:eastAsia="Arial" w:hAnsi="Arial"/>
          <w:color w:val="2C2C2C"/>
          <w:sz w:val="17"/>
          <w:szCs w:val="17"/>
        </w:rPr>
        <w:t xml:space="preserve">CLAUDE.md's Power Training section places sub-maximal-load, maximal-intent power work in the 55-65 bracket already, not just 65+ — power output declines before strength does, so waiting until 65 is a real cost. Day A, Block D now includes a Trap Bar Jump: a light load well below her tested hinge working weights, moved with maximal intent, full recovery between sets. Full recovery is the defining design feature of power work, distinct from a metabolic stimulus, so it is sequenced before the Conditioning Finisher rather than after it — trained fresh, not stacked onto fatigue. Mary carries no clinical flag ruling out any particular movement, but a lower-body, non-overhead jump pattern was chosen as the more conservative default, consistent with how this same addition was made for her closest bracket-mates on the roster (Siobhan Hansen, Elizabeth Poyner), and because it pairs naturally with the hex bar equipment already in use on this day.</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~25g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HINGE STRENGTH</w:t>
      </w:r>
    </w:p>
    <w:p>
      <w:pPr>
        <w:spacing w:after="80"/>
      </w:pPr>
      <w:r>
        <w:rPr>
          <w:rFonts w:ascii="Arial" w:cs="Arial" w:eastAsia="Arial" w:hAnsi="Arial"/>
          <w:b/>
          <w:bCs/>
          <w:color w:val="C9A227"/>
          <w:sz w:val="17"/>
          <w:szCs w:val="17"/>
        </w:rPr>
        <w:t xml:space="preserve">Hex Deadlift &amp; Hip Thrust — Epley 1RM 181 / 105 lbs:  </w:t>
      </w:r>
      <w:r>
        <w:rPr>
          <w:rFonts w:ascii="Arial" w:cs="Arial" w:eastAsia="Arial" w:hAnsi="Arial"/>
          <w:color w:val="2C2C2C"/>
          <w:sz w:val="17"/>
          <w:szCs w:val="17"/>
        </w:rPr>
        <w:t xml:space="preserve">Both lifts tested at 90+ lbs for 5 reps — a genuinely strong starting point. Week 1 trains at 80% of Epley 1RM to lock in hip hinge mechanics under real load; by Week 4 both lifts climb to 93% of Epley 1RM, above the originally tested weight.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p>
        </w:tc>
      </w:tr>
    </w:tbl>
    <w:p>
      <w:pPr>
        <w:spacing w:after="100"/>
      </w:pPr>
    </w:p>
    <w:p>
      <w:pPr>
        <w:spacing w:after="60" w:before="120"/>
      </w:pPr>
      <w:r>
        <w:rPr>
          <w:rFonts w:ascii="Arial" w:cs="Arial" w:eastAsia="Arial" w:hAnsi="Arial"/>
          <w:b/>
          <w:bCs/>
          <w:color w:val="C9A227"/>
          <w:sz w:val="17"/>
          <w:szCs w:val="17"/>
        </w:rPr>
        <w:t xml:space="preserve">B — PRIMARY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lower leg LST (14.6 vs 15.1 lbs), asymmetry-protocol trigger at exactly 0.5 lb gap.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p>
        </w:tc>
      </w:tr>
    </w:tbl>
    <w:p>
      <w:pPr>
        <w:spacing w:after="100"/>
      </w:pPr>
    </w:p>
    <w:p>
      <w:pPr>
        <w:spacing w:after="60" w:before="120"/>
      </w:pPr>
      <w:r>
        <w:rPr>
          <w:rFonts w:ascii="Arial" w:cs="Arial" w:eastAsia="Arial" w:hAnsi="Arial"/>
          <w:b/>
          <w:bCs/>
          <w:color w:val="C9A227"/>
          <w:sz w:val="17"/>
          <w:szCs w:val="17"/>
        </w:rPr>
        <w:t xml:space="preserve">C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A 2:03 plank hold is exceptional — well past the 60-second ICONS threshold. Carries build the deep spinal stabilizer strength (multifidus, QL) that supports posture under all the compound lifts above. Both are descriptive/reference loads, not 1RM-calculated.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D — POWER TRAINING — LOWER BODY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Brace before lifting, exhale on exertion — no breath-holding.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LOWER — SQUAT, SPLIT SQUAT &amp; LUNGE</w:t>
      </w:r>
    </w:p>
    <w:p>
      <w:pPr>
        <w:spacing w:after="80"/>
      </w:pPr>
      <w:r>
        <w:rPr>
          <w:rFonts w:ascii="Arial" w:cs="Arial" w:eastAsia="Arial" w:hAnsi="Arial"/>
          <w:b/>
          <w:bCs/>
          <w:color w:val="43A047"/>
          <w:sz w:val="17"/>
          <w:szCs w:val="17"/>
        </w:rPr>
        <w:t xml:space="preserve">Back Squat &amp; Split Stance Squat — Epley 1RM 105 / 20 lbs:  </w:t>
      </w:r>
      <w:r>
        <w:rPr>
          <w:rFonts w:ascii="Arial" w:cs="Arial" w:eastAsia="Arial" w:hAnsi="Arial"/>
          <w:color w:val="2C2C2C"/>
          <w:sz w:val="17"/>
          <w:szCs w:val="17"/>
        </w:rPr>
        <w:t xml:space="preserve">Back squat tested at 90 lbs for 5 reps; split stance DB squat tested at 17.5 lbs/hand for 5 reps. LEFT leg leads every unilateral exercise here — legs sit exactly at the 0.5 lb asymmetry-protocol trigger (14.6 vs 15.1 lbs). DB Reverse Lunge was not part of the initial testing battery — it closes the block as a new baseline, LEFT-led per the same asymmetry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p>
        </w:tc>
      </w:tr>
    </w:tbl>
    <w:p>
      <w:pPr>
        <w:spacing w:after="100"/>
      </w:pPr>
    </w:p>
    <w:p>
      <w:pPr>
        <w:spacing w:after="60" w:before="120"/>
      </w:pPr>
      <w:r>
        <w:rPr>
          <w:rFonts w:ascii="Arial" w:cs="Arial" w:eastAsia="Arial" w:hAnsi="Arial"/>
          <w:b/>
          <w:bCs/>
          <w:color w:val="43A047"/>
          <w:sz w:val="17"/>
          <w:szCs w:val="17"/>
        </w:rPr>
        <w:t xml:space="preserve">B — PRIMARY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Bench press tested at 65 lbs for 5 reps. Seated Overhead Press was not part of the initial testing battery and closes the pressing pair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p>
        </w:tc>
      </w:tr>
    </w:tbl>
    <w:p>
      <w:pPr>
        <w:spacing w:after="100"/>
      </w:pPr>
    </w:p>
    <w:p>
      <w:pPr>
        <w:spacing w:after="60" w:before="120"/>
      </w:pPr>
      <w:r>
        <w:rPr>
          <w:rFonts w:ascii="Arial" w:cs="Arial" w:eastAsia="Arial" w:hAnsi="Arial"/>
          <w:b/>
          <w:bCs/>
          <w:color w:val="43A047"/>
          <w:sz w:val="17"/>
          <w:szCs w:val="17"/>
        </w:rPr>
        <w:t xml:space="preserve">C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p>
        </w:tc>
      </w:tr>
    </w:tbl>
    <w:p>
      <w:pPr>
        <w:spacing w:after="100"/>
      </w:pPr>
    </w:p>
    <w:p>
      <w:pPr>
        <w:spacing w:after="60" w:before="120"/>
      </w:pPr>
      <w:r>
        <w:rPr>
          <w:rFonts w:ascii="Arial" w:cs="Arial" w:eastAsia="Arial" w:hAnsi="Arial"/>
          <w:b/>
          <w:bCs/>
          <w:color w:val="C9A227"/>
          <w:sz w:val="17"/>
          <w:szCs w:val="17"/>
        </w:rPr>
        <w:t xml:space="preserve">D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track ALST Index closely given the current 5.52 kg/m² reading sits only 0.02 kg/m² above the At-Risk cutoff (do not assume it stays clear of the threshold without confirming), VFA trend (currently 62.0 cm², Very Low Risk — maintain), and the leg segmental gap (currently exactly 0.5 lbs, at the asymmetry-protocol trigger — should trend down with the LEFT-leads unilateral protocol).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2026-08-17T19:09:02.397Z</dcterms:created>
  <dcterms:modified xsi:type="dcterms:W3CDTF">2026-08-17T19:09:02.397Z</dcterms:modified>
</cp:coreProperties>
</file>

<file path=docProps/custom.xml><?xml version="1.0" encoding="utf-8"?>
<Properties xmlns="http://schemas.openxmlformats.org/officeDocument/2006/custom-properties" xmlns:vt="http://schemas.openxmlformats.org/officeDocument/2006/docPropsVTypes"/>
</file>