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falls in the ICONS VFA table's Low Risk band (70-99 cm²), validated sex-independent and applied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2026-08-17T19:09:03.024Z</dcterms:created>
  <dcterms:modified xsi:type="dcterms:W3CDTF">2026-08-17T19:09:03.024Z</dcterms:modified>
</cp:coreProperties>
</file>

<file path=docProps/custom.xml><?xml version="1.0" encoding="utf-8"?>
<Properties xmlns="http://schemas.openxmlformats.org/officeDocument/2006/custom-properties" xmlns:vt="http://schemas.openxmlformats.org/officeDocument/2006/docPropsVTypes"/>
</file>