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 roughly 6% relative to the larger side. LEFT leg continues to lead all unilateral lower-body exercises. Log left vs. right loads separately in the coaching cue field. Reassess at the 8-week Styku rescan to confirm this gap remains worth addressing.</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toward the 8-week targets. With recovery running well this lighter week is flexible rather than fixed: it can slide a week later if everything feels strong, or move up if sleep, soreness, or session quality dip — her coach makes that call with her. One light week costs nothing that matters for the muscle-building priority: muscle built over the previous month is not lost in a single reduced-volume week — only a small edge of peak strength dips, and it returns within days.</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Slot 4 omitted all days — no Jason Bethea relationship on file, re-verified. Slot 1: Day 2's existing corrective circuit; Day 3 opens with Band Pull-Apart resequenced out of the old pull block as scapular/cuff preparation before pressing (serves the clinical note's own "rotator cuff and scapular stability work every session" instruction with existing content); Day 1 omitted (warm-up activation only, legitimately in prose). One latent fix: Day 1's bodyweight pattern set now renders before the loaded goblet squat, matching its own cue. New Day 1 integration carry (20-25 lb/hand) anchors at/below the tested 25 lb/hand baseline. Wk1→Wk4 convention applied only where documented targets exist (Goblet 35→40-42.5, Hip Thrust 45→55-60 from milestones4wk; RDL 17.5→20-22.5 by Wk8 from the baselines table); shoulder-governed lifts deliberately keep flat controlled loads — their progression is capacity-governed by the right-shoulder protocol. Day 2 Block A intro's retired screening-as-risk-prediction ACL framing corrected to injury-prevention framing (Nicolette Scott precedent — exercises unchanged). Options menus constraint-filtered: every press option carries the right-leads/controlled-load rule and no near-maximal bilateral overhead option is listed; every unilateral lower option is left-led; KB goblet excluded (35 lb load &gt; 25 lb KB ceiling). Deload: autoregulated combined model (25, robust, moderate intensities, no rehab flags). Carry-hand policy unchanged: sides even — the arm LST gap is below the ≥10% trigger and the shoulder force deficit is governed by its own controlled-load rule, so no carry lead is fabricated.</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~15g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the bodyweight pattern set runs first, then own the depth and bracing pattern under load. If the day calls for a variation, rotate between: a box squat (depth set by the box), a split-stance squat (left leg leads), or a landmine squat. The goblet squat stays the lift we track toward the 4-week check.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 → Wk4: 40–42.5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 ×5. Chest tall, sit hips back, knees track over toes.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 — the muscle-building accessory work directly behind the squat. Hip thrust variations when the day calls for one: a floor glute bridge, a single-leg glute bridge (left leg leads), or a B-stance hip thrust (left leg takes the working share) — the barbell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 → Wk4: 55–60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lb ×5. Chin tucked, ribs down, drive through heels.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lb/hand → 20–22.5 lb by Wk8</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SECONDARY COMPOUND — UPPER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The day's second compound pattern — pressing, rotating off the lower-body work above. Right shoulder leads at reduced load with strict control — see clinical flag above. If the day calls for a press variation, rotate between: a half-kneeling single-arm DB press (right arm leads, reduced load) or a landmine press (the shoulder-friendly arc) — both live inside the same controlled-load shoulder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r>
              <w:rPr>
                <w:rFonts w:ascii="Arial" w:cs="Arial" w:eastAsia="Arial" w:hAnsi="Arial"/>
                <w:i/>
                <w:iCs/>
                <w:color w:val="00695C"/>
                <w:sz w:val="14"/>
                <w:szCs w:val="14"/>
              </w:rPr>
              <w:t xml:space="preserve">  3+ RIR — sub-maximal, flagged shoulder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FULL-BODY INTEGRATION — FARMER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walk pulling the day's squat depth, hip drive, and pressing posture together under gait, then core under load. Loads start at or below the tested 25 lb/hand carry baseline. Distance and quality govern the carry, not a rep count. A suitcase carry (one side at a time, alternating evenly)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25 lb/hand. 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the same lower-limb injury-prevention work that protects knee tracking on every single-leg pattern, and the entry point for closing the flagged leg asymmetry. This circuit earns its place for every session, not because of any one test result.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COMPOUND — DB SPLIT SQUAT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primary lift, worked one leg at a time — left leg leads every set, always performing the left-side reps first while freshest. If the day calls for a variation, rotate between: a supported split squat (hand on a rail or bench for balance), a reverse lunge, or a low-box step-up — every option is left-led and stays in the same technique band as the split squat itself. The split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r>
              <w:rPr>
                <w:rFonts w:ascii="Arial" w:cs="Arial" w:eastAsia="Arial" w:hAnsi="Arial"/>
                <w:i/>
                <w:iCs/>
                <w:color w:val="00695C"/>
                <w:sz w:val="14"/>
                <w:szCs w:val="14"/>
              </w:rPr>
              <w:t xml:space="preserve">  3+ RIR — technique day, no PRs</w:t>
            </w:r>
          </w:p>
        </w:tc>
      </w:tr>
    </w:tbl>
    <w:p>
      <w:pPr>
        <w:spacing w:after="100"/>
      </w:pPr>
    </w:p>
    <w:p>
      <w:pPr>
        <w:spacing w:after="60" w:before="120"/>
      </w:pPr>
      <w:r>
        <w:rPr>
          <w:rFonts w:ascii="Arial" w:cs="Arial" w:eastAsia="Arial" w:hAnsi="Arial"/>
          <w:b/>
          <w:bCs/>
          <w:color w:val="C9A227"/>
          <w:sz w:val="17"/>
          <w:szCs w:val="17"/>
        </w:rPr>
        <w:t xml:space="preserve">C — ACCESSORY — ADDUCTOR STRENGTH</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Inner-thigh strength directly supports knee tracking and single-leg control — quiet, high-value accessory work between the two main lifts.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60" w:before="120"/>
      </w:pPr>
      <w:r>
        <w:rPr>
          <w:rFonts w:ascii="Arial" w:cs="Arial" w:eastAsia="Arial" w:hAnsi="Arial"/>
          <w:b/>
          <w:bCs/>
          <w:color w:val="00695C"/>
          <w:sz w:val="17"/>
          <w:szCs w:val="17"/>
        </w:rPr>
        <w:t xml:space="preserve">D — SECONDARY COMPOUND — SINGLE-LEG RDL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hip hinge, rotating off the knee-dominant work above. Left leg leads. If the day calls for a variation, rotate between: a B-stance RDL (rear foot down for balance, left leg takes the working share) or a hip hinge to a bench or target (shortened range) — both left-led, both in the same technique band. The single-leg RDL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r>
              <w:rPr>
                <w:rFonts w:ascii="Arial" w:cs="Arial" w:eastAsia="Arial" w:hAnsi="Arial"/>
                <w:i/>
                <w:iCs/>
                <w:color w:val="00695C"/>
                <w:sz w:val="14"/>
                <w:szCs w:val="14"/>
              </w:rPr>
              <w:t xml:space="preserve">  3+ RIR — technique day</w:t>
            </w:r>
          </w:p>
        </w:tc>
      </w:tr>
    </w:tbl>
    <w:p>
      <w:pPr>
        <w:spacing w:after="100"/>
      </w:pPr>
    </w:p>
    <w:p>
      <w:pPr>
        <w:spacing w:after="60" w:before="120"/>
      </w:pPr>
      <w:r>
        <w:rPr>
          <w:rFonts w:ascii="Arial" w:cs="Arial" w:eastAsia="Arial" w:hAnsi="Arial"/>
          <w:b/>
          <w:bCs/>
          <w:color w:val="C9A227"/>
          <w:sz w:val="17"/>
          <w:szCs w:val="17"/>
        </w:rPr>
        <w:t xml:space="preserve">E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single-leg control and bracing together under gait, one hand at a time with both sides working evenly. Distance and quality govern this work,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 The closing carry keeps that control working all the way out the door.</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E53935"/>
          <w:sz w:val="17"/>
          <w:szCs w:val="17"/>
        </w:rPr>
        <w:t xml:space="preserve">A — SHOULDER CORRECTIVE — SCAPULAR SET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Scapular and rotator-cuff preparation before any pressing — the standing rule for every session given the right-shoulder force deficit. Control precedes power: set the shoulder blades first, then load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B — PRIMARY COMPOUND — SEATED OH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 If the day calls for a press variation, rotate between: a half-kneeling single-arm DB press (right arm leads, reduced load) or a landmine press (the shoulder-friendly arc) — both live inside the same controlled-load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INCLINE PUSH-UP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muscle-building press accessory behind the day's primary — worked hard in a controlled, non-overhead range that respects the shoulder protocol.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SINGLE-ARM ROW</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day's second compound pattern — pulling, rotating off the pressing above. Single-arm row trains the weaker right shoulder unilaterally under full control. If the day calls for a row variation, rotate between: a chest-supported row, a Kieser row, or a band row — right arm leads on every option, at the same controlled load. The single-arm DB row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day's pressing posture, pulling strength, and grip pulled together under gait, then core under load. Distance and quality govern the carry,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2 RIR. Hip thrust 55–60 lb × 5. Plank 60s. Right shoulder unilateral load within 20% of left on single-arm row. Week 4 closes with the strength check; the planned lighter week that follows (Week 5, flexible — see the note above)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2 RIR (reached through the Wk4 check, the flexible Week 5 lighter week, and the Weeks 6-8 rebuild).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2026-08-20T17:06:00.456Z</dcterms:created>
  <dcterms:modified xsi:type="dcterms:W3CDTF">2026-08-20T17:06:00.456Z</dcterms:modified>
</cp:coreProperties>
</file>

<file path=docProps/custom.xml><?xml version="1.0" encoding="utf-8"?>
<Properties xmlns="http://schemas.openxmlformats.org/officeDocument/2006/custom-properties" xmlns:vt="http://schemas.openxmlformats.org/officeDocument/2006/docPropsVTypes"/>
</file>