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00695C"/>
          <w:sz w:val="17"/>
          <w:szCs w:val="17"/>
        </w:rPr>
        <w:t xml:space="preserve">Styku Findings — Body Composition &amp; ALST:  </w:t>
      </w:r>
      <w:r>
        <w:rPr>
          <w:rFonts w:ascii="Arial" w:cs="Arial" w:eastAsia="Arial" w:hAnsi="Arial"/>
          <w:color w:val="2C2C2C"/>
          <w:sz w:val="17"/>
          <w:szCs w:val="17"/>
        </w:rPr>
        <w:t xml:space="preserve">Body Fat 36.5% (58.6 lbs fat mass) — Styku's own "Average" classification (35–39.9% band). Lean Mass 96.6 lbs (60.2%) carries Styku's "Ideal Lean Mass" flag — a genuinely positive marker. Bone Mass 5.3 lbs (3.3%). BMI 23.7 — Normal (18.5–24.9). Shape Score 70/100 — Good. ALST Index 6.32 kg/m²: Styku's own report labels this binary "Not At-Risk," which is correct against the EWGSOP2 &lt;5.5 kg/m² female at-risk cutoff — this system treats 5.5 kg/m² as the governing threshold, not a graded scale above it (EWGSOP2 sets no higher "Optimal" tier for women). ALST above 5.5 kg/m² is best read as within normal reference range and tracked as a trend metric, not a precision score — worth tracking again at the 8-week rescan simply to confirm it holds steady or continues trending upward, not against any higher numeric target.</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because the old absolute figure was firing on measurement noise. Recomputed against this client's actual numbers: Left Leg 16.8 lbs / Right Leg 18.2 lbs is a 1.4 lb gap — the largest currently on the roster — but ~7.7% relative, so it cleared the OLD absolute trigger comfortably and still falls short of the corrected ≥10% threshold. Arms (8.4 vs 8.5 lbs, ~1.2% relative) sit below it either way. Per the Nicolette Scott precedent, the left-leg-leads prescription already programmed into this document (Single-Leg RDL, DB Reverse Lunge, Step-Up) is left UNCHANGED pending a dedicated per-client clinical review — this note makes the discrepancy visible for that review rather than resolving it silently, and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With two brand-new lift baselines being established and a shoulder trained deliberately conservatively, this is how the program consolidates the strength built in Weeks 1-4 before Weeks 6-8 rebuild from the Week 4 loads toward the 8-week retest and rescan.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All three days restructured onto the ICONS Block Method six-slot order (Corrective → Primary Compound → Accessory → Jason's Exercise → Secondary Compound → Third Compound/Integration). Slot 4 omitted on all days — no Jason Bethea exercise or coordinated-care relationship on file (her shoulder work is a self-contained corrective priority per intake); no filler inserted. Day 1: corrective = Hip Activation &amp; 90/90; primary = Goblet Squat; accessory = the Tibia &amp; Inner-Thigh pairing, MOVED between the two lifts (the one genuine resequencing — previous order was Squat → Trap Bar DL → tibia block; antagonist walk clean: squat → isolated correctives → hinge; no documented audit-fix ordering existed on this day); secondary = Trap Bar Deadlift; integration = NEW light Farmers Carry (2x25-30 yd, 20-25 lbs/hand, anchored below her tested 30 lbs/hand baseline). Day 2: corrective = Shoulder Internal Rotation; primary = Seated OHP (split from the old press block); accessory = Incline Push-Up; secondary = row/face-pull/incline-press block unchanged; integration = NEW Farmers Carry, packed-shoulder framing (shoulder-safe by design — overhead carry excluded on constraint grounds). CLAUDE.md's shoulder-reintroduction addendum (press → closed-chain hold) was considered and deliberately not applied: its scope is a reintroduced press after rehab/reconstruction; her OHP is a tested, continuously-programmed lift under a corrective gate, not a reintroduction. Day 3: primary = DB Hip Thrust; accessory = SL RDL (left-led); secondary = Reverse Lunge + tibia/Copenhagen touch-up; integration = the existing Carry + Core block retitled (Farmers Carry rirNote aligned to the carry convention; suitcase/front-rack options alternate sides — arms effectively even, no lead fabricated). Options menus on every compound slot, constraint-filtered: technique-band options only on the two not-yet-baselined patterns; every press option inside the pain-free-range/sharp-pinch stop rule; no overhead carries or ballistic overhead options anywhere. Same pass: Face Pull renamed (Band or Kieser), proactive Week-5 deload added, 4-week strength / 8-12-week Styku cadence split stated, warm-up drift checked clean, 10-movement coverage re-verified intact.</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despite squat, deadlift, hip thrust, and lunge content appearing across this program. Revisit this if symptom data becomes available at a future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~22g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COMPOUND — GOBLET SQUAT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the squat. Today's deliberately light load becomes the new baseline — the goal is a clean, repeatable pattern, not maximal weight. If the day calls for a variation while the pattern is still being established, both options stay in the same technique band: a box squat (depth set by the box) or a supported split-stance squat holding a rail (left leg leads). The goblet squat stays the lift we track — its working load is the number that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ACCESSORY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 Placed between today's two main lifts, this work also gives the legs a controlled breather before the hinge pattern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SECONDARY COMPOUND — TRAP BAR DEADLIFT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hinge, rotating off the squat work above. No baseline was recorded for the deadlift; today's deliberately light load becomes the new baseline. If a variation is needed while the pattern is established, both options stay in the same technique band: a trap bar pull from low blocks (shortened range) or a light double-DB Romanian deadlift. The trap bar lift stays the one we track — its working load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that puts today's two brand-new lift patterns to work as one integrated movement: the hinge to pick the weights up, the braced, tall posture of the squat work, carried under gait. Loads stay deliberately below her tested 30 lbs/hand carry baseline — this closes a technique day with quality movement, not extra load. Distance and movement quality govern this work, not an effort target. A goblet carry (one DB held at the chest) covers the same ground with an upright-posture bias if it suits the day better.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Tall posture, ribs down,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COMPOUND — SEATED OVERHEAD PRESS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Seated overhead press tested at 15 lbs x8 (Epley 1RM ≈19 lbs). Given the frozen shoulder history, Week 1 trains conservatively below baseline (12.5 lbs) and progresses only as far as pain-free range allows, reaching 17.5 lbs by Week 4. If the day calls for a press variation, rotate between: a landmine press (a friendlier, angled arc when the fully vertical line isn't comfortable) or a half-kneeling single-arm DB press (light, one side at a time). Every option lives inside the same rule as the press itself — pain-free range only, sharp or pinching pain ends the set — and the seated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INCLINE PUSH-UP</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pressing accessory directly behind the overhead work — a controlled, non-overhead range that builds pushing volume while staying well clear of the shoulder's sensitive arc.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SECONDARY COMPOUND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The day's second compound territory — pulling, rotating off the pressing work above. Rowing volume balances the pressing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 If the row needs a variation: a chest-supported DB row (torso fully supported) or a single-arm Kieser row covers the same pattern; the bent-over row stays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E — FULL-BODY INTEGRATION — FARMERS CARRY (PACKED SHOULDERS)</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loaded carry that puts today's shoulder work to use in the position it is strongest and safest: shoulders packed down and back, arms locked at the sides, load carried under a tall, braced posture. This directly reinforces the shoulder-care priority in a closed, neutral position — nothing travels overhead. Loads stay below her tested 30 lbs/hand carry baseline. Distance and movement quality govern this work, not an effort target. A goblet carry (one DB at the chest) is the alternate if it suits the day better; no overhead carry variation is used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down and back, tall posture,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COMPOUND — DB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built on her strongest tested number. Hip Thrust tested at 55 lbs x8 (Epley 1RM ≈70 lbs); Week 1 trains at 55 lbs, climbing to 60 lbs by Week 4. If the day calls for a variation, rotate between: a floor glute bridge (the simplest regression), a B-stance hip thrust (left leg takes the working share), or a single-leg glute bridge (left leg leads). The bench-supported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SINGLE-LEG RDL (LEFT-LED)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directly behind the hip thrust — same posterior chain, worked one leg at a time with the left leading.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LUNGE (LEFT-LED)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day's second compound pattern — knee-dominant lunging, rotating off the hip-extension work above. Lunge tested at 15 lbs/hand x8 (Epley 1RM ≈19 lbs) — Week 1 trains at 12.5 lbs/hand, climbing to 17.5 lbs/hand by Week 4, left leg leading. If the lunge needs a variation: a DB step-up (left leg leads) or a static split squat covers the same knee-dominant territory; the reverse lunge stays the lift we track.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carry pulls the day's hip-extension strength into upright, braced gait at her full tested working load (30 lbs/hand), building the deep spinal stabilizer strength that supports posture under all the compound lifts above. Distance and movement quality govern the carry, not an effort target. If a variation suits the day: a suitcase carry (one side at a time, alternating sides evenly — her arms read effectively even on the scan, so no side leads) or a front-rack carry (upright-posture bias).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 Week 4 closes with the strength check (the standing 4-week reassessment); Week 5 that follows is the planned deload week — same movements, sets reduced,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strength is reassessed on the standing 4-week cadence (the Week 4 check, then the Week 8 retest at the end of the rebuild), while the Styku body-composition rescan books at 8 weeks — landing at the end of the Weeks 6–8 rebuild that follows the planned Week 5 deload, so the scan reads a consolidated block.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2026-08-20T17:06:02.092Z</dcterms:created>
  <dcterms:modified xsi:type="dcterms:W3CDTF">2026-08-20T17:06:02.092Z</dcterms:modified>
</cp:coreProperties>
</file>

<file path=docProps/custom.xml><?xml version="1.0" encoding="utf-8"?>
<Properties xmlns="http://schemas.openxmlformats.org/officeDocument/2006/custom-properties" xmlns:vt="http://schemas.openxmlformats.org/officeDocument/2006/docPropsVTypes"/>
</file>