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FULL-BODY STRENGTH &amp; ROTATOR CUFF STRENGTHENING · THREE-ZONE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Moe Shahheidari</w:t>
      </w:r>
    </w:p>
    <w:p>
      <w:pPr>
        <w:spacing w:after="100"/>
        <w:jc w:val="center"/>
      </w:pPr>
      <w:r>
        <w:rPr>
          <w:rFonts w:ascii="Arial" w:cs="Arial" w:eastAsia="Arial" w:hAnsi="Arial"/>
          <w:i/>
          <w:iCs/>
          <w:color w:val="6B6B6B"/>
          <w:sz w:val="17"/>
          <w:szCs w:val="17"/>
        </w:rPr>
        <w:t xml:space="preserve">Age 46  ·  Male  ·  5'11"  ·  192 lbs  ·  Styku Scan 8/11/2026  ·  Rotator Cuff Rehab — Coordinated with Jason Bethea, In-House PT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SUN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TUE</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Lower Body &amp; Posterior Chain</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WED</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THU</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Upper Push/Pull — Rotator Cuff Strengthening</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FRI</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SAT</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Full-Body Unilateral, Carries &amp; Conditioning</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8/11/2026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31.6% (At-Risk)</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87.1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125.3 lbs (65.4%)</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45/100 — Needs Improvement</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61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7.92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5.8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12.3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26.7</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12.7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1858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21.7 / 22.8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Higher body fat than 73% of Styku's peer comparison group for men 40-49 — Styku's own comparison band labels this 'High Risk' (73rd percentile).</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x 8 (est. 1RM 222)</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195-200 lbs x 5, progressive per RIR autoregulation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90 lbs (reference load, reps not recorded)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Build progressively via 1-2 RIR — no fixed numeric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Dumbbell Bench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x 8 (est. 1RM 32)</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35-40 lbs x 8, progressive per RIR autoregulation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x 8 (reference — rotator cuff strengthening in progress)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Progressive strengthening work, pain-free ROM — load builds weekly, autoregulated by RIR not a fixed % table</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(reference load, reps not recorded)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Build progressively via 1-2 RIR — pain-free through the shoulder</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 lbs/hand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55-60 lbs/hand for 30-40m</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Romanian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 lbs (reference load, reps not recorded)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Build progressively via 1-2 RIR — left leg leads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12 reps (bodyweight)</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20-22 reps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1:18</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1:45-2:00</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 (assistance level not specified)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Progressive strengthening — reduce assistance as pain-free ROM allows; neutral/close grip available if wide grip aggravates</w:t>
            </w:r>
          </w:p>
        </w:tc>
      </w:tr>
    </w:tbl>
    <w:p>
      <w:pPr>
        <w:spacing w:after="100"/>
      </w:pPr>
    </w:p>
    <w:p>
      <w:pPr>
        <w:spacing w:after="100"/>
      </w:pPr>
      <w:r>
        <w:rPr>
          <w:rFonts w:ascii="Arial" w:cs="Arial" w:eastAsia="Arial" w:hAnsi="Arial"/>
          <w:b/>
          <w:bCs/>
          <w:color w:val="00695C"/>
          <w:sz w:val="17"/>
          <w:szCs w:val="17"/>
        </w:rPr>
        <w:t xml:space="preserve">Styku Scan Interpretation — Male Client Programming Framework (8/11/2026):  </w:t>
      </w:r>
      <w:r>
        <w:rPr>
          <w:rFonts w:ascii="Arial" w:cs="Arial" w:eastAsia="Arial" w:hAnsi="Arial"/>
          <w:color w:val="2C2C2C"/>
          <w:sz w:val="17"/>
          <w:szCs w:val="17"/>
        </w:rPr>
        <w:t xml:space="preserve">Lean Mass 125.3 lbs (65.4%), Fat Mass 61 lbs, Bone Mass 5.8 lbs (3.0%), BMR 1858 cal/day, Shape Score 45/100 ("Needs Improvement"). ALST Index 7.92 kg/m² — EWGSOP2 2018's male low-muscle-mass cutoff is &lt;7.0 kg/m² AT-RISK / ≥7.0 kg/m² Not At-Risk (the same source already used for the women's 5.5 kg/m² threshold in this system); Moe sits comfortably above the line — this is the clinically-governing figure for his muscle-mass status, see the note below for how it relates to Styku's own internal flag. VFA 87.1 cm² is tracked here as a trend indicator rather than a fixed risk-band classification — no consensus body endorses a single absolute cm² cutoff, so this reading is watched directionally at future rescans rather than labeled against a risk band; the sex-independence of the underlying visceral-adiposity evidence still applies to him directly. BMI 26.7 falls in the WHO Overweight range (25-29.9) — WHO BMI thresholds are not sex-specific, and unlike the "over-flagged muscular athlete" caution the Male Client Programming Framework raises for reading BMI in isolation, this BMI reading is concordant with — not contradicted by — his body fat % and lean mass findings below. There is no muscular-athlete false positive to correct for here.</w:t>
      </w:r>
    </w:p>
    <w:p>
      <w:pPr>
        <w:spacing w:after="100"/>
      </w:pPr>
      <w:r>
        <w:rPr>
          <w:rFonts w:ascii="Arial" w:cs="Arial" w:eastAsia="Arial" w:hAnsi="Arial"/>
          <w:b/>
          <w:bCs/>
          <w:color w:val="C9A227"/>
          <w:sz w:val="17"/>
          <w:szCs w:val="17"/>
        </w:rPr>
        <w:t xml:space="preserve">VFA Framing — Standard Basis for the Trend-Indicator Language:  </w:t>
      </w:r>
      <w:r>
        <w:rPr>
          <w:rFonts w:ascii="Arial" w:cs="Arial" w:eastAsia="Arial" w:hAnsi="Arial"/>
          <w:color w:val="2C2C2C"/>
          <w:sz w:val="17"/>
          <w:szCs w:val="17"/>
        </w:rPr>
        <w:t xml:space="preserve">The VFA framing in the Styku interpretation note above follows CLAUDE.md's VFA section as corrected 8/17/2026, which retired the prior four-tier absolute risk-band table (&lt;70 / 70-99 / 100-149 / ≥150 cm²) in favor of per-client trend tracking. Rationale, for the record: no consensus body endorses a single VAT/VFA cm² cutoff, and Styku's own published VFA validation was against DXA in kilograms rather than CT in cm², so an absolute cm² reading should not be presented as a graded risk classification. Waist circumference against the IAS/ICCR thresholds is the preferred clinical-facing metric if that measurement is ever collected for him.</w:t>
      </w:r>
    </w:p>
    <w:p>
      <w:pPr>
        <w:spacing w:after="100"/>
      </w:pPr>
      <w:r>
        <w:rPr>
          <w:rFonts w:ascii="Arial" w:cs="Arial" w:eastAsia="Arial" w:hAnsi="Arial"/>
          <w:b/>
          <w:bCs/>
          <w:color w:val="E65100"/>
          <w:sz w:val="17"/>
          <w:szCs w:val="17"/>
        </w:rPr>
        <w:t xml:space="preserve">Body Fat % &amp; Lean Mass — Styku's Internal Flags vs. the Clinical ALST Reading:  </w:t>
      </w:r>
      <w:r>
        <w:rPr>
          <w:rFonts w:ascii="Arial" w:cs="Arial" w:eastAsia="Arial" w:hAnsi="Arial"/>
          <w:color w:val="2C2C2C"/>
          <w:sz w:val="17"/>
          <w:szCs w:val="17"/>
        </w:rPr>
        <w:t xml:space="preserve">Body Fat 31.6% (61 lbs fat mass) carries Styku's own classification of At-Risk (their internal, Mayo Clinic-based &gt;28% threshold), and his peer comparison — higher body fat than 73% of Styku's men 40-49 comparison group — is labeled "High Risk" on Styku's own dashboard. Cross-checked against the ACE male body-fat-% reference table (Essential 2-5% / Athletes 6-13% / Fitness 14-17% / Acceptable 18-24% / Obese 25%+), 31.6% also falls in the Obese tier — the two scales agree here. Styku's dashboard separately flags "Low Lean Mass" internally — this is Styku's own internal ranking, not the EWGSOP2 clinical ALST cutoff, and the two genuinely disagree: his ALST Index of 7.92 kg/m² reads Not At-Risk against the EWGSOP2 &lt;7.0 kg/m² clinical threshold cited above. The clinically-governing figure is the EWGSOP2 ALST reading — he is not sarcopenic — but Styku's Low Lean Mass flag is still carried forward as a body-recomposition priority (build lean mass, reduce fat mass) rather than a red flag requiring an escalated protein tier on ALST grounds alone.</w:t>
      </w:r>
    </w:p>
    <w:p>
      <w:pPr>
        <w:spacing w:after="100"/>
      </w:pPr>
      <w:r>
        <w:rPr>
          <w:rFonts w:ascii="Arial" w:cs="Arial" w:eastAsia="Arial" w:hAnsi="Arial"/>
          <w:b/>
          <w:bCs/>
          <w:color w:val="E65100"/>
          <w:sz w:val="17"/>
          <w:szCs w:val="17"/>
        </w:rPr>
        <w:t xml:space="preserve">Left-Leg Asymmetry — Legs Above Trigger, Arms Below It:  </w:t>
      </w:r>
      <w:r>
        <w:rPr>
          <w:rFonts w:ascii="Arial" w:cs="Arial" w:eastAsia="Arial" w:hAnsi="Arial"/>
          <w:color w:val="2C2C2C"/>
          <w:sz w:val="17"/>
          <w:szCs w:val="17"/>
        </w:rPr>
        <w:t xml:space="preserve">Left Leg LST 21.7 lbs vs Right Leg LST 22.8 lbs — a 1.1 lb gap, roughly 5% relative to the larger side. Standard ICONS protocol applied as a coaching convention: the left leg leads every unilateral leg exercise (single-leg RDL, any split-stance work), the left side is logged separately from the right in the coaching cue, and any suitcase-style carry work has the left hand hold the load — this assignment is being tracked closely at the next rescan to confirm it still reflects a real, worth-addressing difference. Left Arm LST 12.3 lbs vs Right Arm LST 12.7 lbs — only a 0.4 lb gap, roughly 3% relative — monitor only this cycle; no unilateral lead is assigned for arm work. Re-check both gaps at the 8-week Styku rescan.</w:t>
      </w:r>
    </w:p>
    <w:p>
      <w:pPr>
        <w:spacing w:after="100"/>
      </w:pPr>
      <w:r>
        <w:rPr>
          <w:rFonts w:ascii="Arial" w:cs="Arial" w:eastAsia="Arial" w:hAnsi="Arial"/>
          <w:b/>
          <w:bCs/>
          <w:color w:val="B71C1C"/>
          <w:sz w:val="17"/>
          <w:szCs w:val="17"/>
        </w:rPr>
        <w:t xml:space="preserve">Rotator Cuff — Active Strengthening, Coordinated with Jason Bethea:  </w:t>
      </w:r>
      <w:r>
        <w:rPr>
          <w:rFonts w:ascii="Arial" w:cs="Arial" w:eastAsia="Arial" w:hAnsi="Arial"/>
          <w:color w:val="2C2C2C"/>
          <w:sz w:val="17"/>
          <w:szCs w:val="17"/>
        </w:rPr>
        <w:t xml:space="preserve">Moe is currently in an active rotator cuff tear rehabilitation program, coordinated with Jason Bethea, Brace Life's in-house Trainer/Physical Therapist, and his treating physician — this ICONS program runs alongside that care, not instead of it, and its shoulder content is built to progressively STRENGTHEN the rotator cuff and scapular stabilizers, not to work around them. The dedicated block on Day 2 (external rotation, scapular stability work) is the strengthening protocol itself, not a warm-up throwaway — it follows the standard rehab loading sequence (isometric hold capacity first, then slow eccentric control, then controlled concentric strength, then dynamic/functional loading), progressed week to week as capacity builds rather than held at one level indefinitely. Overhead Press and Assisted Pull-Ups both continue as real, loaded strengthening work — load progresses week to week the same as any other lift in this program, autoregulated by pain-free range of motion and RIR rather than a fixed %1RM table, because rehab strengthening responds better to day-to-day pain-free autoregulation than a rigid percentage schedule pulled from one tested load. Pain-free technique is the guardrail here, not a low-effort ceiling: sharp or pinching shoulder pain during a set, or pain lasting beyond 24 hours, is the real stop signal for that exercise (regress the range or substitute it); ordinary muscular fatigue or normal training soreness is not a stop signal and should never be confused with it. The mobility/ROM side of this rehabilitation — regaining full pain-free range through PNF (Proprioceptive Neuromuscular Facilitation) stretching — is a natural complement from Niko Heers, Brace Life's certified in-house Stretch Therapist, working alongside Jason's strengthening-led protocol, not in place of it.</w:t>
      </w:r>
    </w:p>
    <w:p>
      <w:pPr>
        <w:spacing w:after="100"/>
      </w:pPr>
      <w:r>
        <w:rPr>
          <w:rFonts w:ascii="Arial" w:cs="Arial" w:eastAsia="Arial" w:hAnsi="Arial"/>
          <w:b/>
          <w:bCs/>
          <w:color w:val="6A1B9A"/>
          <w:sz w:val="17"/>
          <w:szCs w:val="17"/>
        </w:rPr>
        <w:t xml:space="preserve">Male Client Programming Framework — What Was Applied Here:  </w:t>
      </w:r>
      <w:r>
        <w:rPr>
          <w:rFonts w:ascii="Arial" w:cs="Arial" w:eastAsia="Arial" w:hAnsi="Arial"/>
          <w:color w:val="2C2C2C"/>
          <w:sz w:val="17"/>
          <w:szCs w:val="17"/>
        </w:rPr>
        <w:t xml:space="preserve">ICONS's Evidence-Based Science Layer's five-bracket Age Bracket Programming Framework (protein/creatine g/kg tiers, ALST sarcopenia thresholds, the LIFTMOR postmenopausal bone-loading protocol, pelvic floor triggers) is derived from and validated for women 40s-60s navigating hormonal transitions — none of its numeric thresholds are applied to Moe directly. Instead, this document uses the Male Client Programming Framework: at 46, he sits in its 40-59 bracket ("Midlife Androgen Decline &amp; Sarcopenia Onset"), where ALST monitoring is a stated priority even before any hormonal diagnosis is on the table. His ALST (7.92 kg/m²) is comfortably Not At-Risk, so this is a body-recomposition priority given the Styku-internal Low Lean Mass flag above — not a sarcopenia-driven programming escalation. His ALST, VFA, and BMI are interpreted above against real male-specific citations (EWGSOP2 2018, the sex-independent VFA table, WHO BMI thresholds read alongside the ACE body-fat-% classification), and his protein/creatine targets and the testosterone note below come from that framework's ISSN 2017 / Morton 2018 and Hildreth et al. 2024 sources rather than the women's tiers. What carries over unchanged from ICONS regardless of sex: the Isolated → Compound → Metabolic structural philosophy, RIR-based autoregulated progressive overload, corrective-before-compound sequencing, and the Styku segmental asymmetry protocol — all demographic-neutral principles, applied here on their own merits.</w:t>
      </w:r>
    </w:p>
    <w:p>
      <w:pPr>
        <w:spacing w:after="100"/>
      </w:pPr>
      <w:r>
        <w:rPr>
          <w:rFonts w:ascii="Arial" w:cs="Arial" w:eastAsia="Arial" w:hAnsi="Arial"/>
          <w:b/>
          <w:bCs/>
          <w:color w:val="C9A227"/>
          <w:sz w:val="17"/>
          <w:szCs w:val="17"/>
        </w:rPr>
        <w:t xml:space="preserve">Protein &amp; Creatine Targets — Male Client Programming Framework:  </w:t>
      </w:r>
      <w:r>
        <w:rPr>
          <w:rFonts w:ascii="Arial" w:cs="Arial" w:eastAsia="Arial" w:hAnsi="Arial"/>
          <w:color w:val="2C2C2C"/>
          <w:sz w:val="17"/>
          <w:szCs w:val="17"/>
        </w:rPr>
        <w:t xml:space="preserve">General resistance-trained-male range is 1.6–2.2 g/kg/day (ISSN 2017 position stand; Morton et al. 2018 meta-analysis — the same source already cited for the women's 1.6 g/kg tier in this system, and its trial pool was not sex-restricted). At 87.1 kg that's roughly 139–192g/day; given both his age bracket (40+) and his ACE body-fat-% tier finding (see the Styku interpretation note above), the working target escalates to the top of that range — roughly 174–192g/day — at ~35g per meal minimum (leucine threshold), distributed across 4+ meals/day. Creatine: 3–5g monohydrate daily with food, no loading phase — same protocol as any resistance-trained adult, saturates in 3–4 weeks.</w:t>
      </w:r>
    </w:p>
    <w:p>
      <w:pPr>
        <w:spacing w:after="100"/>
      </w:pPr>
      <w:r>
        <w:rPr>
          <w:rFonts w:ascii="Arial" w:cs="Arial" w:eastAsia="Arial" w:hAnsi="Arial"/>
          <w:b/>
          <w:bCs/>
          <w:color w:val="00695C"/>
          <w:sz w:val="17"/>
          <w:szCs w:val="17"/>
        </w:rPr>
        <w:t xml:space="preserve">Testosterone &amp; Training — Informational Note, Not Diagnostic:  </w:t>
      </w:r>
      <w:r>
        <w:rPr>
          <w:rFonts w:ascii="Arial" w:cs="Arial" w:eastAsia="Arial" w:hAnsi="Arial"/>
          <w:color w:val="2C2C2C"/>
          <w:sz w:val="17"/>
          <w:szCs w:val="17"/>
        </w:rPr>
        <w:t xml:space="preserve">At 46, Moe Shahheidari sits within the Male Client Programming Framework's 40-59 bracket ("Midlife Androgen Decline &amp; Sarcopenia Onset"), where late-onset hypogonadism / TRT can become a relevant screening conversation IF he raises it — not something inferred from a Styku scan or training performance, and not raised unprompted. Late-onset hypogonadism is a clinical diagnosis requiring both persistent symptoms and confirmed low morning serum testosterone on bloodwork — a referral conversation, not a training assessment. Worth knowing: a 2024 study (Hildreth et al., Sports Medicine – Open) of men 50-70 with low-normal testosterone found structured exercise training matched or outperformed testosterone treatment alone for aerobic fitness, strength, and fat mass, with no additional benefit from adding testosterone on top of training. On or off TRT, the resistance training in this program is doing real, evidenced work for his strength, fitness, and body composition — this is not a substitute for medical care in either direction.</w:t>
      </w: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General strength and conditioning development, built around a rotator cuff tear currently in active rehabilitation coordinated with Jason Bethea — this is a program that actively rebuilds the shoulder, not one that avoids it. This 3-day build applies the ICONS three-zone philosophy (Isolated activation/corrective strengthening → Compound strength → Metabolic conditioning finisher) across a Lower Body / Upper Body / Full-Body split, with Day 2 carrying the dedicated rotator cuff and scapular strengthening work ahead of its compound pressing, and every primary and secondary lift autoregulated on RIR and pain-free range of motion rather than a fixed percentage grind.</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1 — TUESDAY</w:t>
            </w:r>
          </w:p>
          <w:p>
            <w:pPr>
              <w:spacing w:after="30"/>
            </w:pPr>
            <w:r>
              <w:rPr>
                <w:rFonts w:ascii="Arial" w:cs="Arial" w:eastAsia="Arial" w:hAnsi="Arial"/>
                <w:b/>
                <w:bCs/>
                <w:color w:val="2C2C2C"/>
                <w:sz w:val="19"/>
                <w:szCs w:val="19"/>
              </w:rPr>
              <w:t xml:space="preserve">Lower Body &amp; Posterior Chain (Primary)</w:t>
            </w:r>
          </w:p>
          <w:p>
            <w:r>
              <w:rPr>
                <w:rFonts w:ascii="Arial" w:cs="Arial" w:eastAsia="Arial" w:hAnsi="Arial"/>
                <w:b/>
                <w:bCs/>
                <w:color w:val="C9A227"/>
                <w:sz w:val="14"/>
                <w:szCs w:val="14"/>
              </w:rPr>
              <w:t xml:space="preserve">PRIMARY STRENGTH DAY · HEX BAR DEADLIFT &amp; BACK SQUAT</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strength day for the week — the last 1-2 reps on the deadlift should be hard but clean. Control precedes power: the corrective block below earns full-depth, braced positions before any load goes on the bar. No shoulder-specific concern in the primary lifts today; the loaded carry-prep work at the end still loads the shoulder girdle isometrically, so the same pain-monitoring rule applies there too.</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easy bike, hip circles, bodyweight squats x10, glute bridges x10 before the corrective block below.</w:t>
      </w:r>
    </w:p>
    <w:p>
      <w:pPr>
        <w:spacing w:after="60" w:before="120"/>
      </w:pPr>
      <w:r>
        <w:rPr>
          <w:rFonts w:ascii="Arial" w:cs="Arial" w:eastAsia="Arial" w:hAnsi="Arial"/>
          <w:b/>
          <w:bCs/>
          <w:color w:val="E53935"/>
          <w:sz w:val="17"/>
          <w:szCs w:val="17"/>
        </w:rPr>
        <w:t xml:space="preserve">A — HIP &amp; POSTERIOR CHAIN ACTIVATION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General joint-health activation for the hip/glute complex ahead of heavy hip-hinge and squat loading — no specific lower-body flag reported, applied as standard practice.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hips level, no hiking.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knee lockout; quad squeeze at end range.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(Bilateral)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glute lockout; ribs down, no arch.</w:t>
            </w:r>
          </w:p>
        </w:tc>
      </w:tr>
    </w:tbl>
    <w:p>
      <w:pPr>
        <w:spacing w:after="100"/>
      </w:pPr>
    </w:p>
    <w:p>
      <w:pPr>
        <w:spacing w:after="60" w:before="120"/>
      </w:pPr>
      <w:r>
        <w:rPr>
          <w:rFonts w:ascii="Arial" w:cs="Arial" w:eastAsia="Arial" w:hAnsi="Arial"/>
          <w:b/>
          <w:bCs/>
          <w:color w:val="C9A227"/>
          <w:sz w:val="17"/>
          <w:szCs w:val="17"/>
        </w:rPr>
        <w:t xml:space="preserve">B — PRIMARY STRENGTH — HEX BAR DEADLIFT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Week 1 working load 180 lbs (80% of est. 1RM 222) — 1 RIR on top sets. Add load only at the top of the rep range with clean form.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180 lbs (Wk1)</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brace hard. 1 RIR on top set.</w:t>
            </w:r>
            <w:r>
              <w:rPr>
                <w:rFonts w:ascii="Arial" w:cs="Arial" w:eastAsia="Arial" w:hAnsi="Arial"/>
                <w:i/>
                <w:iCs/>
                <w:color w:val="00695C"/>
                <w:sz w:val="14"/>
                <w:szCs w:val="14"/>
              </w:rPr>
              <w:t xml:space="preserve">  1 RIR top set</w:t>
            </w:r>
          </w:p>
        </w:tc>
      </w:tr>
    </w:tbl>
    <w:p>
      <w:pPr>
        <w:spacing w:after="100"/>
      </w:pPr>
    </w:p>
    <w:p>
      <w:pPr>
        <w:spacing w:after="60" w:before="120"/>
      </w:pPr>
      <w:r>
        <w:rPr>
          <w:rFonts w:ascii="Arial" w:cs="Arial" w:eastAsia="Arial" w:hAnsi="Arial"/>
          <w:b/>
          <w:bCs/>
          <w:color w:val="C9A227"/>
          <w:sz w:val="17"/>
          <w:szCs w:val="17"/>
        </w:rPr>
        <w:t xml:space="preserve">C — SECONDARY COMPOUND — BACK SQUAT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Reference load 90 lbs (no rep count recorded at intake) — build progressively at 2 RIR rather than off a fixed percentage table.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 lbs (reference) → build 1-2 RIR</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pelvis; full depth, 2 RIR.</w:t>
            </w:r>
          </w:p>
        </w:tc>
      </w:tr>
    </w:tbl>
    <w:p>
      <w:pPr>
        <w:spacing w:after="100"/>
      </w:pPr>
    </w:p>
    <w:p>
      <w:pPr>
        <w:spacing w:after="60" w:before="120"/>
      </w:pPr>
      <w:r>
        <w:rPr>
          <w:rFonts w:ascii="Arial" w:cs="Arial" w:eastAsia="Arial" w:hAnsi="Arial"/>
          <w:b/>
          <w:bCs/>
          <w:color w:val="C9A227"/>
          <w:sz w:val="17"/>
          <w:szCs w:val="17"/>
        </w:rPr>
        <w:t xml:space="preserve">D — CORE / CARRY-PREP ACCESSORY</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Anti-rotation core work plus an isometric carry-prep hold — sets up Saturday's loaded Farmers Carry work. The suitcase hold loads the shoulder girdle isometrically, same as the loaded carry it's prepping for — normal grip/shoulder fatigue is expected, sharp or pinching pain is not.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Half-Kneeling Pallof Press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2s 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Resist rotation; ribs stacked over hips.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Hold (Isometric)</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hand leads — weaker leg-side. Sharp shoulder pain = stop.</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stretch 60s/side. Hamstring stretch 60s/side. Foam roll quads/glutes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Control precedes power — earn full-depth, braced positions on the corrective block before adding load. No PRs today; an 80% day is a hard, honest working session, not a max-effort test.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REHAB</w:t>
            </w:r>
          </w:p>
          <w:p>
            <w:pPr>
              <w:jc w:val="center"/>
            </w:pPr>
            <w:r>
              <w:rPr>
                <w:rFonts w:ascii="Arial" w:cs="Arial" w:eastAsia="Arial" w:hAnsi="Arial"/>
                <w:b/>
                <w:bCs/>
                <w:color w:val="FFFFFF"/>
                <w:sz w:val="13"/>
                <w:szCs w:val="13"/>
              </w:rPr>
              <w:t xml:space="preserve">STRENGTH</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2 — THURSDAY</w:t>
            </w:r>
          </w:p>
          <w:p>
            <w:pPr>
              <w:spacing w:after="30"/>
            </w:pPr>
            <w:r>
              <w:rPr>
                <w:rFonts w:ascii="Arial" w:cs="Arial" w:eastAsia="Arial" w:hAnsi="Arial"/>
                <w:b/>
                <w:bCs/>
                <w:color w:val="2C2C2C"/>
                <w:sz w:val="19"/>
                <w:szCs w:val="19"/>
              </w:rPr>
              <w:t xml:space="preserve">Upper Body Push/Pull — Rotator Cuff Strengthening Priority</w:t>
            </w:r>
          </w:p>
          <w:p>
            <w:r>
              <w:rPr>
                <w:rFonts w:ascii="Arial" w:cs="Arial" w:eastAsia="Arial" w:hAnsi="Arial"/>
                <w:b/>
                <w:bCs/>
                <w:color w:val="00695C"/>
                <w:sz w:val="14"/>
                <w:szCs w:val="14"/>
              </w:rPr>
              <w:t xml:space="preserve">ROTATOR CUFF STRENGTHENING DAY · PROGRESSIVE, COORDINATED WITH JASON BETHEA, PAIN-FREE ROM</w:t>
            </w:r>
          </w:p>
        </w:tc>
      </w:tr>
    </w:tbl>
    <w:p>
      <w:pPr>
        <w:spacing w:after="100"/>
      </w:pPr>
    </w:p>
    <w:p>
      <w:pPr>
        <w:spacing w:after="100"/>
      </w:pPr>
      <w:r>
        <w:rPr>
          <w:rFonts w:ascii="Arial" w:cs="Arial" w:eastAsia="Arial" w:hAnsi="Arial"/>
          <w:b/>
          <w:bCs/>
          <w:color w:val="00695C"/>
          <w:sz w:val="17"/>
          <w:szCs w:val="17"/>
        </w:rPr>
        <w:t xml:space="preserve">Day 2 Priority:  </w:t>
      </w:r>
      <w:r>
        <w:rPr>
          <w:rFonts w:ascii="Arial" w:cs="Arial" w:eastAsia="Arial" w:hAnsi="Arial"/>
          <w:color w:val="2C2C2C"/>
          <w:sz w:val="17"/>
          <w:szCs w:val="17"/>
        </w:rPr>
        <w:t xml:space="preserve">This isn't a standard %1RM intensity day, so the badge reads REHAB / STRENGTH rather than a percentage that would misstate what's actually prescribed. That doesn't mean light or limited — it means the point of today is to actively rebuild the rotator cuff and scapular stabilizers while continuing real strength work everywhere else. The corrective block below is strengthening work in its own right, not a warm-up throwaway, and runs ahead of compound pressing per ICONS's own 'control precedes power' sequencing. Overhead Press and Assisted Pull-Ups both keep progressing — load builds week to week — autoregulated by pain-free range of motion and RIR instead of a fixed percentage table, in coordination with Jason Bethea.</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row or bike, arm circles, band pull-aparts x10 before the strengthening block below.</w:t>
      </w:r>
    </w:p>
    <w:p>
      <w:pPr>
        <w:spacing w:after="60" w:before="120"/>
      </w:pPr>
      <w:r>
        <w:rPr>
          <w:rFonts w:ascii="Arial" w:cs="Arial" w:eastAsia="Arial" w:hAnsi="Arial"/>
          <w:b/>
          <w:bCs/>
          <w:color w:val="E53935"/>
          <w:sz w:val="17"/>
          <w:szCs w:val="17"/>
        </w:rPr>
        <w:t xml:space="preserve">A — ROTATOR CUFF &amp; SCAPULAR STRENGTHENING</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This is the strengthening protocol itself, not a warm-up — direct, progressive loading of the rotator cuff and scapular stabilizers, following the standard rehab loading sequence (isometric hold capacity → slow eccentric control → controlled concentric strength → dynamic loading) as capacity builds week to week. Runs before compound pressing so the shoulder is actively controlling the joint before it's asked to move real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External Rotation (Side-Lying / Standing)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Wk1-2 isometric hold; Wk3+ slow eccentric</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 pinned to side; full slow control both directions.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Y-T-W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each letter</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light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Thumbs up; small range, full scapular control.</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Wall Slide / Retraction</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scap glide, no shrugging.</w:t>
            </w:r>
          </w:p>
        </w:tc>
      </w:tr>
    </w:tbl>
    <w:p>
      <w:pPr>
        <w:spacing w:after="100"/>
      </w:pPr>
    </w:p>
    <w:p>
      <w:pPr>
        <w:spacing w:after="60" w:before="120"/>
      </w:pPr>
      <w:r>
        <w:rPr>
          <w:rFonts w:ascii="Arial" w:cs="Arial" w:eastAsia="Arial" w:hAnsi="Arial"/>
          <w:b/>
          <w:bCs/>
          <w:color w:val="00695C"/>
          <w:sz w:val="17"/>
          <w:szCs w:val="17"/>
        </w:rPr>
        <w:t xml:space="preserve">B — PRIMARY STRENGTH — INCLINE BENCH PRESS</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Well-tolerated in cuff rehab (controlled-ROM pressing) — Week 1 working load 30 lbs (90% of est. 1RM 32), progressing close to normal. 1-2 RIR; stop short of sharp or pinching pain, not of ordinary fatigue.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Bench Press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lbs (Wk1)</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Even bar path both arms. Stop at sharp/pinching pain.</w:t>
            </w:r>
            <w:r>
              <w:rPr>
                <w:rFonts w:ascii="Arial" w:cs="Arial" w:eastAsia="Arial" w:hAnsi="Arial"/>
                <w:i/>
                <w:iCs/>
                <w:color w:val="00695C"/>
                <w:sz w:val="14"/>
                <w:szCs w:val="14"/>
              </w:rPr>
              <w:t xml:space="preserve">  1-2 RIR</w:t>
            </w:r>
          </w:p>
        </w:tc>
      </w:tr>
    </w:tbl>
    <w:p>
      <w:pPr>
        <w:spacing w:after="100"/>
      </w:pPr>
    </w:p>
    <w:p>
      <w:pPr>
        <w:spacing w:after="60" w:before="120"/>
      </w:pPr>
      <w:r>
        <w:rPr>
          <w:rFonts w:ascii="Arial" w:cs="Arial" w:eastAsia="Arial" w:hAnsi="Arial"/>
          <w:b/>
          <w:bCs/>
          <w:color w:val="00695C"/>
          <w:sz w:val="17"/>
          <w:szCs w:val="17"/>
        </w:rPr>
        <w:t xml:space="preserve">C — OVERHEAD PRESS — PROGRESSIVE STRENGTHENING, PAIN-FREE ROM</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Genuine strengthening work, not a placeholder — load builds week to week from the tested 17.5 lb starting point the same as any other lift here, just autoregulated by pain-free range of motion and RIR instead of a fixed %1RM table.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Overhead Press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Self-select ~17.5-20 lbs, build weekly</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pain-free ROM; add load at 2 RIR + clean form.</w:t>
            </w:r>
          </w:p>
        </w:tc>
      </w:tr>
    </w:tbl>
    <w:p>
      <w:pPr>
        <w:spacing w:after="100"/>
      </w:pPr>
    </w:p>
    <w:p>
      <w:pPr>
        <w:spacing w:after="60" w:before="120"/>
      </w:pPr>
      <w:r>
        <w:rPr>
          <w:rFonts w:ascii="Arial" w:cs="Arial" w:eastAsia="Arial" w:hAnsi="Arial"/>
          <w:b/>
          <w:bCs/>
          <w:color w:val="6A1B9A"/>
          <w:sz w:val="17"/>
          <w:szCs w:val="17"/>
        </w:rPr>
        <w:t xml:space="preserve">D — PULL — PROGRESSIVE STRENGTHENING</w:t>
      </w:r>
    </w:p>
    <w:p>
      <w:pPr>
        <w:spacing w:after="80"/>
      </w:pPr>
      <w:r>
        <w:rPr>
          <w:rFonts w:ascii="Arial" w:cs="Arial" w:eastAsia="Arial" w:hAnsi="Arial"/>
          <w:b/>
          <w:bCs/>
          <w:color w:val="6A1B9A"/>
          <w:sz w:val="17"/>
          <w:szCs w:val="17"/>
        </w:rPr>
        <w:t xml:space="preserve">Load Target:  </w:t>
      </w:r>
      <w:r>
        <w:rPr>
          <w:rFonts w:ascii="Arial" w:cs="Arial" w:eastAsia="Arial" w:hAnsi="Arial"/>
          <w:color w:val="2C2C2C"/>
          <w:sz w:val="17"/>
          <w:szCs w:val="17"/>
        </w:rPr>
        <w:t xml:space="preserve">Real progression target, not a scaled-back stand-in: reduce assistance week to week from the tested 5-rep baseline, autoregulated by pain-free ROM. Neutral or close grip is an available option, not a mandate, if standard wide grip aggravates the shoulder.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(Standard or Neutral/Close Grip)</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Reduced assist week to week</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hang to chin-over-bar; switch to neutral grip if it aggravates.</w:t>
            </w:r>
          </w:p>
        </w:tc>
      </w:tr>
    </w:tbl>
    <w:p>
      <w:pPr>
        <w:spacing w:after="100"/>
      </w:pPr>
    </w:p>
    <w:p>
      <w:pPr>
        <w:spacing w:after="60" w:before="120"/>
      </w:pPr>
      <w:r>
        <w:rPr>
          <w:rFonts w:ascii="Arial" w:cs="Arial" w:eastAsia="Arial" w:hAnsi="Arial"/>
          <w:b/>
          <w:bCs/>
          <w:color w:val="00695C"/>
          <w:sz w:val="17"/>
          <w:szCs w:val="17"/>
        </w:rPr>
        <w:t xml:space="preserve">E — ACCESSORY — SINGLE-ARM DB ROW</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Well-tolerated in cuff rehab (posterior-chain/scap-stabilizer work) — build progressively from the tested 35 lb reference at 1-2 RIR, close to normal progression.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35-40 lbs, build weekly</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lat stretch at bottom. Stop at sharp/pinching pain.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Lat stretch 30s/side. Chest doorway stretch 30s/side.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Sharp or pinching shoulder pain during a set — or pain lasting beyond 24 hours — is the stop signal: regress the range or substitute that exercise, and flag it before the next session. Ordinary muscular fatigue and normal training soreness are not stop signals. This is active strengthening work coordinated with Jason Bethea, not a maintenance-only day.</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3 — SATURDAY</w:t>
            </w:r>
          </w:p>
          <w:p>
            <w:pPr>
              <w:spacing w:after="30"/>
            </w:pPr>
            <w:r>
              <w:rPr>
                <w:rFonts w:ascii="Arial" w:cs="Arial" w:eastAsia="Arial" w:hAnsi="Arial"/>
                <w:b/>
                <w:bCs/>
                <w:color w:val="2C2C2C"/>
                <w:sz w:val="19"/>
                <w:szCs w:val="19"/>
              </w:rPr>
              <w:t xml:space="preserve">Full-Body Unilateral, Carries &amp; Conditioning</w:t>
            </w:r>
          </w:p>
          <w:p>
            <w:r>
              <w:rPr>
                <w:rFonts w:ascii="Arial" w:cs="Arial" w:eastAsia="Arial" w:hAnsi="Arial"/>
                <w:b/>
                <w:bCs/>
                <w:color w:val="43A047"/>
                <w:sz w:val="14"/>
                <w:szCs w:val="14"/>
              </w:rPr>
              <w:t xml:space="preserve">MODERATE ACCUMULATION DAY · UNILATERAL LEG WORK · CARRIES · METABOLIC FINISH</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accumulation day — build clean volume at 2 RIR, not a max-effort test. Left leads every unilateral leg set this week per the asymmetry note. Farmers Carry and push-ups both load the shoulder girdle isometrically — apply the same pain-monitoring rule from Day 2 here too, even though today's primary focus is the lower body. The session closes with a short conditioning finisher — the metabolic third of the ICONS three-zone build.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easy bike, leg swings, bodyweight glute bridges x10 before the corrective block below.</w:t>
      </w:r>
    </w:p>
    <w:p>
      <w:pPr>
        <w:spacing w:after="60" w:before="120"/>
      </w:pPr>
      <w:r>
        <w:rPr>
          <w:rFonts w:ascii="Arial" w:cs="Arial" w:eastAsia="Arial" w:hAnsi="Arial"/>
          <w:b/>
          <w:bCs/>
          <w:color w:val="E53935"/>
          <w:sz w:val="17"/>
          <w:szCs w:val="17"/>
        </w:rPr>
        <w:t xml:space="preserve">A — HIP &amp; ANKLE MOBILITY PREP</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General mobility prep ahead of unilateral leg work and loaded carries — no specific flag reported, applied as standard practice.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Rock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tracks over 2nd/3rd toe; heel stays down.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Monster Walk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Both directions; watch for hip drop.</w:t>
            </w:r>
          </w:p>
        </w:tc>
      </w:tr>
    </w:tbl>
    <w:p>
      <w:pPr>
        <w:spacing w:after="100"/>
      </w:pPr>
    </w:p>
    <w:p>
      <w:pPr>
        <w:spacing w:after="60" w:before="120"/>
      </w:pPr>
      <w:r>
        <w:rPr>
          <w:rFonts w:ascii="Arial" w:cs="Arial" w:eastAsia="Arial" w:hAnsi="Arial"/>
          <w:b/>
          <w:bCs/>
          <w:color w:val="43A047"/>
          <w:sz w:val="17"/>
          <w:szCs w:val="17"/>
        </w:rPr>
        <w:t xml:space="preserve">B — PRIMARY — SINGLE-LEG ROMANIAN DEADLIFT</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Reference load 30 lbs (no rep count recorded at intake) — left leg leads per the asymmetry protocol; build progressively at 1-2 RIR.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Romanian Deadlift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lbs (reference) → build 1-2 RIR</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 weaker side. Hips square, soft knee.</w:t>
            </w:r>
          </w:p>
        </w:tc>
      </w:tr>
    </w:tbl>
    <w:p>
      <w:pPr>
        <w:spacing w:after="100"/>
      </w:pPr>
    </w:p>
    <w:p>
      <w:pPr>
        <w:spacing w:after="60" w:before="120"/>
      </w:pPr>
      <w:r>
        <w:rPr>
          <w:rFonts w:ascii="Arial" w:cs="Arial" w:eastAsia="Arial" w:hAnsi="Arial"/>
          <w:b/>
          <w:bCs/>
          <w:color w:val="C9A227"/>
          <w:sz w:val="17"/>
          <w:szCs w:val="17"/>
        </w:rPr>
        <w:t xml:space="preserve">C — LOADED CARRIES</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Tested at 45 lbs/hand — hold there this week and build from it as grip and trunk control allow. This loads the shoulder girdle isometrically; ordinary grip/shoulder fatigue is expected, sharp or pinching pain is the stop signal.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30-40m</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no shrug; even stride both sides.</w:t>
            </w:r>
          </w:p>
        </w:tc>
      </w:tr>
    </w:tbl>
    <w:p>
      <w:pPr>
        <w:spacing w:after="100"/>
      </w:pPr>
    </w:p>
    <w:p>
      <w:pPr>
        <w:spacing w:after="60" w:before="120"/>
      </w:pPr>
      <w:r>
        <w:rPr>
          <w:rFonts w:ascii="Arial" w:cs="Arial" w:eastAsia="Arial" w:hAnsi="Arial"/>
          <w:b/>
          <w:bCs/>
          <w:color w:val="43A047"/>
          <w:sz w:val="17"/>
          <w:szCs w:val="17"/>
        </w:rPr>
        <w:t xml:space="preserve">D — CORE &amp; PUSH-UP PROTOCOL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Progression from the tested 1:18 plank and 12-rep push-up baselines. Push-ups load the shoulder girdle isometrically through a controlled, non-overhead range — normally well-tolerated in cuff rehab; the same pain-monitoring rule still applies.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no lumbar sag. Build past 1:18 baseline.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10-14</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range, no shoulder pinch. Build past 12-rep baseline.</w:t>
            </w:r>
          </w:p>
        </w:tc>
      </w:tr>
    </w:tbl>
    <w:p>
      <w:pPr>
        <w:spacing w:after="100"/>
      </w:pPr>
    </w:p>
    <w:p>
      <w:pPr>
        <w:spacing w:after="60" w:before="120"/>
      </w:pPr>
      <w:r>
        <w:rPr>
          <w:rFonts w:ascii="Arial" w:cs="Arial" w:eastAsia="Arial" w:hAnsi="Arial"/>
          <w:b/>
          <w:bCs/>
          <w:color w:val="C9A227"/>
          <w:sz w:val="17"/>
          <w:szCs w:val="17"/>
        </w:rPr>
        <w:t xml:space="preserve">E — CONDITIONING FINISHER</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The ICONS three-zone build closes every session with a metabolic component — this stays low-impact given the volume of the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Intervals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x 30s hard / 90s easy</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Moderate-hard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Intervals</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Energy becomes identity — hold form to the last round.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stretch 60s/side. Quad stretch 60s/side. Child's pose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Moderate accumulation day — build clean volume at 2 RIR, not a max-effort test. Left leads every unilateral leg set this week per the asymmetry note; sharp or pinching shoulder pain during carries or push-ups is still the stop signal, ordinary fatigue is not.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Moe Shahheidari  ·  ICONS Index  ·  3-Day Full-Body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&amp; Posterior Chain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Bar Deadlift · Back Squat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load at top of rep range + 2 RIR + clean form.</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Rehab/Strength</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Push/Pull — Cuff Strengthening</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Rotator Cuff/Scap Block · Incline Bench · OHP · Pull-Up · SA Row</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Progress cuff/scap work through isometric→eccentric→concentric→dynamic; add load on OHP/pull-up/row at pain-free RIR.</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Full-Body Unilateral &amp; Carries</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SL RDL · Farmers Carry · Plank/Push-Ups</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Build carry load; extend plank hold and push-up reps past baseline.</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Confirm all primary/secondary lifts are progressing cleanly at their prescribed RIR (add load only at top of rep range with clean form). Rotator cuff/scapular strengthening block progresses from isometric to slow eccentric loading, fully pain-free. Left-leads unilateral leg work should show improving control and even tempo both sides.</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Target Hex Bar Deadlift 195-200 x 5, Incline Bench 35-40 x 8, Single-Arm Row 40+ lbs x 10-12/side, Farmers Carry 55-60 lbs/hand, Plank 1:45-2:00, Push-Ups 20-22 reps. Overhead Press and Assisted Pull-Ups showing real week-over-week load/assistance progression, fully pain-free through range. Rotator cuff strengthening block progressed into controlled concentric or early dynamic loading, per Jason Bethea's clearance.</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8-week Styku re-scan — track ALST Index, VFA trend, Shape Score, body fat % trend, and left/right leg LST gap reduction (currently ~5% relative to the larger side), alongside the strength baselines table above and continued shoulder progress coordinated with Jason Bethea.</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Moe Shahheidari.</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Moe Shahheidari  |  3-Day Training Plan  |  Tue/Thu/Sat · Full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MOE SHAHHEIDARI  |  Full-Body Strength &amp; Rotator Cuff Strengthening · Three-Zone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2026-08-20T17:06:04.236Z</dcterms:created>
  <dcterms:modified xsi:type="dcterms:W3CDTF">2026-08-20T17:06:04.237Z</dcterms:modified>
</cp:coreProperties>
</file>

<file path=docProps/custom.xml><?xml version="1.0" encoding="utf-8"?>
<Properties xmlns="http://schemas.openxmlformats.org/officeDocument/2006/custom-properties" xmlns:vt="http://schemas.openxmlformats.org/officeDocument/2006/docPropsVTypes"/>
</file>