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reassess at 8-week retest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reassess at 8-week retest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100"/>
      </w:pPr>
      <w:r>
        <w:rPr>
          <w:rFonts w:ascii="Arial" w:cs="Arial" w:eastAsia="Arial" w:hAnsi="Arial"/>
          <w:b/>
          <w:bCs/>
          <w:color w:val="00695C"/>
          <w:sz w:val="17"/>
          <w:szCs w:val="17"/>
        </w:rPr>
        <w:t xml:space="preserve">Scan Values on Record:  </w:t>
      </w:r>
      <w:r>
        <w:rPr>
          <w:rFonts w:ascii="Arial" w:cs="Arial" w:eastAsia="Arial" w:hAnsi="Arial"/>
          <w:color w:val="2C2C2C"/>
          <w:sz w:val="17"/>
          <w:szCs w:val="17"/>
        </w:rPr>
        <w:t xml:space="preserve">Body Fat 40.4% (Styku's own At-Risk classification) · ALST Index 7.23 kg/m² · Visceral Fat Area 142.7 cm² · Segmental lean soft tissue — Left Arm 8.7 lbs / Right Arm 8.4 lbs, Left Leg 17.5 lbs / Right Leg 18.0 lbs. These are the figures every clinical note in this document is built from: the fat-loss and cardiometabolic emphasis, the conditioning finisher on each training day, and the per-side logging on unilateral work all trace back to them.</w:t>
      </w: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At-Risk:  </w:t>
      </w:r>
      <w:r>
        <w:rPr>
          <w:rFonts w:ascii="Arial" w:cs="Arial" w:eastAsia="Arial" w:hAnsi="Arial"/>
          <w:color w:val="2C2C2C"/>
          <w:sz w:val="17"/>
          <w:szCs w:val="17"/>
        </w:rPr>
        <w:t xml:space="preserve">Tracked alongside VFA as the cardiometabolic/fat-loss priority for this block. Reassess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Farmers Carry is bilateral load-bearing — same pelvic floor bracing cue applies before every pass.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STRENGTH —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the goal is a clean, repeatable pattern for 8-week testing,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UNILATERAL LEG —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on all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Suitcase carry loads the pelvic floor bracing pattern under single-side load — same cue as flagged above. Single-arm row and suitcase carry track L/R per the marginal Styku arm gap.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2026-08-18T15:33:07.626Z</dcterms:created>
  <dcterms:modified xsi:type="dcterms:W3CDTF">2026-08-18T15:33:07.626Z</dcterms:modified>
</cp:coreProperties>
</file>

<file path=docProps/custom.xml><?xml version="1.0" encoding="utf-8"?>
<Properties xmlns="http://schemas.openxmlformats.org/officeDocument/2006/custom-properties" xmlns:vt="http://schemas.openxmlformats.org/officeDocument/2006/docPropsVTypes"/>
</file>