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Interpretation &amp; One Correction: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85/100 (Excellent). Body Fat 26.6% (Fit — lower than 70% of peers). ALST Index 5.52 kg/m² — within the normal reference range (&gt;=5.5 kg/m²), NOT At-Risk, but only 0.02 kg/m² above the At-Risk cutoff — genuinely borderline, and worth close attention at the next rescan rather than treated as comfortably clear; ALST is tracked here as a trend metric, not a graded score, and no higher tier exists above the 5.5 kg/m² cutoff for women — the 7.0 kg/m² figure previously used as an upper tier is EWGSOP2's separate MALE at-risk threshold, not a female target. VFA (Segmental Analysis): 20.1 cm² — presented as a trend/context figure to track over time rather than a risk-band label; CLAUDE.md's prior absolute VFA risk-band table (which this document previously cited to assign this reading a risk-band label of its own, itself a correction of the band Styku's dashboard prints for it) was retired 8/17/2026 as unsupported by consensus guidance and by this scanner's own validation limits (Styku's VFA output was validated against DXA in kilograms, never in cm²). (A separate raw "Visceral Fat 0.2" figure on the Body Composition summary page is a different, non-cm² scale and is not used here.) BMI 18.6 — technically Normal but only 0.1 above the Underweight cutoff; noted as borderline, not flagged as clinical underweight (that threshold is &lt;18.5, not crossed), and not combined with her ALST reading to imply a sarcopenic-obesity profile — that specific flag requires both conditions, and neither is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Asymmetry Trigger Recalculation — Flagged Discrepancy (8/17/2026):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Asymmetry Protocol trigger was corrected 8/17/2026 from an absolute &gt;=0.5 lb L/R gap to a relative &gt;=10% gap (the old absolute trigger was firing on measurement noise — device error on Styku's segmental lean-mass reading runs 2.6-3.6x larger than the old 0.5 lb figure, per an external evidence review). Recomputed against this client's actual numbers: Left Leg 13.8 lbs / Right Leg 14.3 lbs (0.5 lb gap) met the OLD trigger exactly but is only ~3.5% relative — it does NOT clear the corrected &gt;=10% threshold. Left Arm 5.8 lbs / Right Arm 6.1 lbs (0.3 lb gap, ~5% relative) stays below the trigger either way, no change there. Per this pass's explicit instruction, the left-leg-leads prescription already programmed into this document's exercise blocks (Single-Leg RDL, DB Split Squat) is left UNCHANGED pending a dedicated per-client review — this note exists to make the discrepancy visible for that review, not to resolve it silently. Flagged to the main thread/icons-expert.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35, the Boundary of 20-35 and 35-45: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exactly 35, Nicolette sits on the literal boundary between "Foundation &amp; Peak Bone Mass" and "Transition Onset." No CLAUDE.md numeric threshold actually differs between these two brackets at this exact age — protein stays at the active-women-general 1.6 g/kg tier (she is neither ALST At-Risk nor 40+), and creatine is indicated, not yet strongly indicated. This program applies the shared guidance directly: full volume/frequency target (&gt;=10 sets/muscle/week across the week), no early escalation, RIR-based autoregulation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 Battery — Full 10-Pattern Coverage: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"ICONS Index Full-Spectrum Progression Standard" is scoped to women 40-55 and does not apply to Nicolette at 35 (not applied here as a requirement). Her intake battery already covers all 10 core ICONS Baseline Testing Protocol patterns on its own merits — DB Split Squat stands in for the Lunges test. Pull-Ups (the bonus 11th test) were not tested and are not fabricated; introduce assisted pull-up testing once foundational pulling strength is established over the coming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ACL/Knee-Valgus Circuit — Framing Corrected, Full Dose Not Yet Built In: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 Block A's hip-abductor/thoracic activation work was previously framed as omitted because "no elevated-risk ACL/knee-valgus finding is on file for Nicolette specifically" — that framing is corrected per CLAUDE.md's "ACL / Knee Valgus / Neuromuscular Injury-Prevention Circuit — trigger corrected 8/17/2026": the corrective/neuromuscular circuit is now universal programming for this population, not gated behind a positive visual screen. The block's intro line was reworded accordingly. Note this activation block is still lighter than the full evidenced dose (20-30 min, 1-2x/week, sustained beyond 6 months) that standard calls for — flagged as a candidate addition for a future revision (a new weekly time allocation, not just added exercises) rather than expanded here without a dedicated program-structure change.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the arm-to-arm difference here is minor,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— the arm-to-arm difference here is minor.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2026-08-18T15:35:59.355Z</dcterms:created>
  <dcterms:modified xsi:type="dcterms:W3CDTF">2026-08-18T15:35:59.355Z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