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within normal reference range (the 5.5 kg/m² EWGSOP2 female at-risk cutoff is the governing threshold; there is no higher "Optimal" tier above it for women). VFA 26.3 cm² — a "Very Low" reading on the ICONS trend scale, and read as exactly that: a personal trend figure to follow scan over scan, not a diagnosis. No universal VFA threshold exists in the clinical literature, and this scanner's visceral-fat output was validated against DXA in kilograms rather than CT in cm², so the absolute number carries real individual-level uncertainty.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compute to roughly 2–3% relative, well under the ≥10% relative difference the asymmetry protocol treats as meaningful, so no formal unilateral-lead requirement is triggered — the leg gap is still worth confirming at the next rescan to make sure it isn't widening.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creatine is strongly indicated by age 40+ regardless, and protein moves up within the 1.6–2.2 g/kg range for a genuine energy deficit, heavy training load, or ALST At-Risk status, not for age or bracket alone (her ALST, 5.94 kg/m², is within normal reference range).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 kg/m², within normal reference range), Shape Score (currently 92, Excellent — maintain), and the leg segmental gap (currently 0.4 lbs, roughly 3% relative — well below the ≥10% trigger,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2026-08-18T15:34:31.135Z</dcterms:created>
  <dcterms:modified xsi:type="dcterms:W3CDTF">2026-08-18T15:34:31.135Z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