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25  ·  Male  ·  QL Tendinosis — Coordinated with Jason Bethea, In-House PT  ·  Assessment: Force Plate / Dynamometer, 8/4–5/2026</w:t>
      </w: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Jason Bethea, Brace Life's in-house Trainer/Physical Therapist, and the client's treating 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target roughly 130–175g/day, spread across 4–5 meals including a pre-sleep dose (pre-sleep protein improves overnight muscle protein synthesis). Shaw et al. (2017), Bischof et al. (2024), Praet et al. (2019 — specifically in Achilles tendinopathy patients): 15–30g vitamin-C-enriched collagen/gelatin 30–60 min before loading increases collagen synthesis markers and, over months, tendon stiffness — directly relevant given the QL tendinosis. Recommend 15g collagen peptides + ~50mg vitamin C, 30–60 min pre-session, on all 3 training days, alongside Jason Bethea's continued care.</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Jason Bethea and the treating physician.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color w:val="00695C"/>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GLUTE MEDIUS + TRUNK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STRENGTH</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STRENGTH DEVELOPMENT</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See the Load &amp; Progression note above for weekly RPE targets. No axial spinal loading in this block — leg press seat/back fully supported.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A short, low-impact cardio finisher to round out today's session — kept easy and QL-safe. Skip or shorten if fatigue from the work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color w:val="43A047"/>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row or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STRENGTH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TRUNK /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STRENGTH DEVELOPMENT</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Slow lat/posterior chain on testing makes the right side the priority on the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Same easy, low-impact finisher as Day 1.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color w:val="C9A227"/>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block already provides meaningful CNS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STRENGTH</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 neutral spine, symmetric setup both feet.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Cable/Band Row (Bilateral)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w:t>
            </w:r>
          </w:p>
        </w:tc>
      </w:tr>
    </w:tbl>
    <w:p>
      <w:pPr>
        <w:spacing w:after="100"/>
      </w:pPr>
    </w:p>
    <w:p>
      <w:pPr>
        <w:spacing w:after="60" w:before="120"/>
      </w:pPr>
      <w:r>
        <w:rPr>
          <w:rFonts w:ascii="Arial" w:cs="Arial" w:eastAsia="Arial" w:hAnsi="Arial"/>
          <w:b/>
          <w:bCs/>
          <w:color w:val="C9A227"/>
          <w:sz w:val="17"/>
          <w:szCs w:val="17"/>
        </w:rPr>
        <w:t xml:space="preserve">D — STRENGTH DEVELOPMENT</w:t>
      </w:r>
    </w:p>
    <w:p>
      <w:pPr>
        <w:spacing w:after="80"/>
      </w:pPr>
      <w:r>
        <w:rPr>
          <w:rFonts w:ascii="Arial" w:cs="Arial" w:eastAsia="Arial" w:hAnsi="Arial"/>
          <w:b/>
          <w:bCs/>
          <w:color w:val="C9A227"/>
          <w:sz w:val="17"/>
          <w:szCs w:val="17"/>
        </w:rPr>
        <w:t xml:space="preserve">Trap Bar Deadlift Continued:  </w:t>
      </w:r>
      <w:r>
        <w:rPr>
          <w:rFonts w:ascii="Arial" w:cs="Arial" w:eastAsia="Arial" w:hAnsi="Arial"/>
          <w:color w:val="2C2C2C"/>
          <w:sz w:val="17"/>
          <w:szCs w:val="17"/>
        </w:rPr>
        <w:t xml:space="preserve">Trap bar deadlift (from Block B, load-graded per the Load &amp; Progression prescription) is this week's primary loaded strength lift — the dip/press rounds out upper body pressing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 (From Block B, Load-Graded)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Apply the Load &amp; Progression prescription to this lift specifically — see note above.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Dip / Close-Grip DB Floor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physical therapy treatment of the QL tendinosis; coordinate with Jason Bethea and the treating physician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Jason Bethea and the treating 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2026-08-17T19:32:43.774Z</dcterms:created>
  <dcterms:modified xsi:type="dcterms:W3CDTF">2026-08-17T19:32:43.774Z</dcterms:modified>
</cp:coreProperties>
</file>

<file path=docProps/custom.xml><?xml version="1.0" encoding="utf-8"?>
<Properties xmlns="http://schemas.openxmlformats.org/officeDocument/2006/custom-properties" xmlns:vt="http://schemas.openxmlformats.org/officeDocument/2006/docPropsVTypes"/>
</file>