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BW/hand by Wk4 — trap bar above the 60 lb/hand DB ceiling</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Add a 10–25 lb plate across the upper back,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by Wk4 — DB between feet or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bilateral (70%) day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bilateral (70%) day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(the peak-output day's hex bar deadlift and heavy hip thrust are the only primary lifts in this program that sit there, and only because that day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100"/>
      </w:pPr>
      <w:r>
        <w:rPr>
          <w:rFonts w:ascii="Arial" w:cs="Arial" w:eastAsia="Arial" w:hAnsi="Arial"/>
          <w:b/>
          <w:bCs/>
          <w:color w:val="C9A227"/>
          <w:sz w:val="17"/>
          <w:szCs w:val="17"/>
        </w:rPr>
        <w:t xml:space="preserve">Deload Week — Scheduled, Not Optional:  </w:t>
      </w:r>
      <w:r>
        <w:rPr>
          <w:rFonts w:ascii="Arial" w:cs="Arial" w:eastAsia="Arial" w:hAnsi="Arial"/>
          <w:color w:val="2C2C2C"/>
          <w:sz w:val="17"/>
          <w:szCs w:val="17"/>
        </w:rPr>
        <w:t xml:space="preserve">This program runs an 8-week arc at 5 days/week with two 90% days inside every week — enough continuous progressive loading that CLAUDE.md's Deload standard (added 8/18/2026) schedules a lighter week proactively rather than waiting for a stall. House pattern: take the deload the week immediately AFTER the Week 4 retest, so it absorbs the testing fatigue and starts the second block fresh. Content: the same five days, the same movements, the same block order — cut working sets roughly in half, drop loads to 50–70% of your normal working weights, and keep every set inside the 3+ RIR technique/submaximal band. No PRs, no AMRAP scoring, no near-failure work. Frame it to yourself exactly the way you will frame it to a client: this is a reload, not a lost week. The line to use on a client who resists it — a light week costs no measurable muscle and only briefly-recoverable peak strength, while unbroken hard loading is where soreness, joint stress and stalls actually accumulate.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or Trap Bar above 60 lbs/hand)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exact weight per hand and distance. Studio DBs stop at 60 lbs/hand — move to the trap bar above that, and note which implement you used.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 (DB between feet or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Pull out your Day 0 sheet. Did the calculated bench load actually feel like 2 RIR, or did the arithmetic and the barbell disagree? That gap is the single most useful thing you will learn this week. (2) Which side felt stronger on the single-arm row, and does it match the asymmetry you logged on Day 0's single-leg RDL? (3) How long did you hold the loaded plank compared to your Day 0 plank number? (4) The corrective primer was not tested on Day 0 and will not be retested on Day 4 — decide now how you would judge whether it worked, since a client will ask you exactly that about hers.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This block opens on the medicine ball slam — a full-body power expression that is deliberately NOT another hip-dominant lift stacked on top of the hex bar deadlift and RDL you just finished in Block A (see the full-day sequencing note in the build script). Rate of force development is the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 The trap bar jump closes this block rather than opening Block B: it is a hinge-pattern triple extension, and placing it here keeps it from becoming a third consecutive hip-dominant movement earlier in the day — while also breaking up what would otherwise be three loaded carries in a row across Blocks C and 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 Heavy</w:t>
            </w:r>
          </w:p>
          <w:p>
            <w:r>
              <w:rPr>
                <w:rFonts w:ascii="Arial" w:cs="Arial" w:eastAsia="Arial" w:hAnsi="Arial"/>
                <w:i/>
                <w:iCs/>
                <w:color w:val="6B6B6B"/>
                <w:sz w:val="14"/>
                <w:szCs w:val="14"/>
              </w:rPr>
              <w:t xml:space="preserve">Trainer Insight: if a 64-year-old client can carry 50 lbs/hand for 30 yards, you must carry more. Load this on the trap bar — studio dumbbells stop at 60 lbs/hand, which is below the bodyweight-per-hand target for most trainers.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 — trap bar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 your Week 1 benchmark. Swings run on a dumbbell, not a kettlebell: the studio kettlebells top out at 25 lbs, which is not a conditioning load for an advanced trainer. Beat your score every week; teach clients to track theirs the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two-hand DB swings (50–60 lbs)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Write your actual deadlift load next to the Day 0 number it was calculated from — not the target percentage, the weight that was on the bar. This is the lift you retest on Day 4, so the comparison is only as good as this log. (2) Which suitcase carry side felt harder, and does it agree with your Day 0 single-leg RDL asymmetry? (3) How many AMRAP rounds? (4) A client's Week 4 retest number is only ever as trustworthy as her week-by-week logging. You are now on the inside of that problem — how will you make a client log this honestly?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Technique/submaximal band (3+ RIR) — no near-failure sets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~72% of hip thrust baseline (80% of heavy-day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Total Gym Squat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 There is no leg press in the studio; the Total Gym platform is the confirmed bilateral press vehicle, and the foot-position lesson is identical on 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incline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heavy-day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a full bodyweight-per-hand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bodyweight per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the heavy carry day.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the 25 lb plate on your 80% primary-strength day.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Kieser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Kieser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at a load calculated off Day 0, rather than off how you felt walking in? Would you have chosen the same weight by feel? (2) Did your knee tracking hold under bilateral load? What did the corrective primer change? (3) In the upper body superset — which side fatigued first on the row, and is that the same side as every other asymmetry you have logged this week? (4) Tomorrow you rerun the identical Day 0 battery. Before you do: write down what you EXPECT each number to be. Comparing your prediction to the result is the part of a reassessment most trainers never practise.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or Trap Bar above 60 lbs/hand)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exact weight per hand and distance. Studio DBs stop at 60 lbs/hand — move to the trap bar above that, and note which implement you used.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2026-08-22T15:32:49.076Z</dcterms:created>
  <dcterms:modified xsi:type="dcterms:W3CDTF">2026-08-22T15:32:49.076Z</dcterms:modified>
</cp:coreProperties>
</file>

<file path=docProps/custom.xml><?xml version="1.0" encoding="utf-8"?>
<Properties xmlns="http://schemas.openxmlformats.org/officeDocument/2006/custom-properties" xmlns:vt="http://schemas.openxmlformats.org/officeDocument/2006/docPropsVTypes"/>
</file>