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C9A227"/>
          <w:sz w:val="17"/>
          <w:szCs w:val="17"/>
        </w:rPr>
        <w:t xml:space="preserve">ALST Threshold Basis — Female Cutoff, Sex-Conflation Correction:  </w:t>
      </w:r>
      <w:r>
        <w:rPr>
          <w:rFonts w:ascii="Arial" w:cs="Arial" w:eastAsia="Arial" w:hAnsi="Arial"/>
          <w:color w:val="2C2C2C"/>
          <w:sz w:val="17"/>
          <w:szCs w:val="17"/>
        </w:rPr>
        <w:t xml:space="preserve">The ALST framing above reflects CLAUDE.md's "ALST Index" section as corrected 8/17/2026: the prior three-tier women's scale wrongly presented EWGSOP2's 7.0 kg/m² figure as a female "Optimal" target, when 7.0 is the separate MALE at-risk threshold — there is no female Optimal tier in EWGSOP2 or any consensus body reviewed. Only the &lt;5.5 kg/m² female at-risk floor applies to Johanna, and per the same correction, ALST should be presented as a trend metric rather than a precise risk classification (Styku's own ALM/ALMI output is not validated in its published validation study).</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readings runs several times larger than half a pound. Recomputed against this client's actual numbers: Left Leg 17.5 lbs / Right Leg 18.0 lbs is a 0.5 lb gap but only ~2.8% relative, so it met the OLD absolute trigger exactly and does NOT clear the corrected ≥10% threshold. Arms (8.7 vs 8.4 lbs, ~3.4% relative) sit below the trigger either way. Per the Nicolette Scott precedent, the left-leg-leads prescription already programmed into Day 2 Block C (Single-Leg RDL, Reverse Lunge) is left UNCHANGED pending a dedicated per-client clinical review — this note exists to make the discrepancy visible for that review, not to resolve it silently. A functional single-leg strength or power test is the preferred primary trigger going forward. Flagged to the main thread / icons-expert.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order in the roster rollout (batch 1) — organizational only; every exercise, tested baseline, load, RIR tier, pelvic-floor bracing flag and left-lead prescription preserved verbatim, no RIR tier changed. Slot 4 omitted all days (no Jason Bethea SOAP-note exercise on file). Mapping: Day 1 — Hip Thrust primary (tested battery lift) / Chest-Supported Row + Incline Push-Up accessory / Seated OHP secondary / Farmers Carry + Plank integration / finisher last. Day 2 — Goblet Squat primary / unilateral left-led accessory / Trap Bar DL secondary / NEW light farmers carry integration (20–25 lbs/hand, anchored below Day 1's 30 lbs/hand — no invented baseline) / finisher last. Day 3 — Incline DB Press promoted to primary (battery #4; the old row-first order was build-order, not tested priority) / SA Row accessory / Bent-Over Row secondary / Suitcase Carry + Plank integration / finisher last. Deload call: AUTOREGULATED (flexible Week 5 slot), not proactive — she is not rehab-flagged, not 65+/recovery-limited, and runs only 60–70% intensities over 3 days; documented against CLAUDE.md's deload criteria. Nutrition framing: the rendered 156–172 g/day figure still comes from proteinTargets()'s retired age≥50 formula (engine fix pending per CLAUDE.md), but her intended fat-loss deficit is a genuine corrected-standard trigger for the same upper range — the Age Bracket note now states that deficit-context reasoning so the figure rests on current grounds. Options menus filtered: all hip-thrust/carry options carry the pelvic-floor bracing rule; Day 2 options stay in the 3+ RIR technique band; REJECTED — kettlebell swing as a hinge-slot option (ballistic work lives only in her existing finisher, and Day 2 is a technique-introduction day), and any barbell back-squat option (squat pattern is one week old — goblet/box variants only until the pattern is established).</w:t>
      </w:r>
    </w:p>
    <w:p>
      <w:pPr>
        <w:spacing w:after="100"/>
      </w:pPr>
      <w:r>
        <w:rPr>
          <w:rFonts w:ascii="Arial" w:cs="Arial" w:eastAsia="Arial" w:hAnsi="Arial"/>
          <w:b/>
          <w:bCs/>
          <w:color w:val="E65100"/>
          <w:sz w:val="17"/>
          <w:szCs w:val="17"/>
        </w:rPr>
        <w:t xml:space="preserve">Baselines Table Scope — Confirmed Tested Lifts Only:  </w:t>
      </w:r>
      <w:r>
        <w:rPr>
          <w:rFonts w:ascii="Arial" w:cs="Arial" w:eastAsia="Arial" w:hAnsi="Arial"/>
          <w:color w:val="2C2C2C"/>
          <w:sz w:val="17"/>
          <w:szCs w:val="17"/>
        </w:rPr>
        <w:t xml:space="preserve">The table above lists only the lifts this program explicitly documents as tested (Hip Thrust, Seated OHP) or explicitly documents as newly established this week (Goblet Squat, Trap Bar Deadlift). Other core ICONS movements in this program — DB Farmers Carry, Plank Hold, Incline DB Press, Single-Leg RDL, Reverse Lunge, Incline Push-Up — carry real current working loads in their exercise tables but are not labeled tested or untested anywhere in the source record, so their loads are not presented here as confirmed baselines. Confirm with the trainer whether these were part of the same initial battery before treating them as retest-tracked baselines.</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2026-08-20T21:23:07.387Z</dcterms:created>
  <dcterms:modified xsi:type="dcterms:W3CDTF">2026-08-20T21:23:07.387Z</dcterms:modified>
</cp:coreProperties>
</file>

<file path=docProps/custom.xml><?xml version="1.0" encoding="utf-8"?>
<Properties xmlns="http://schemas.openxmlformats.org/officeDocument/2006/custom-properties" xmlns:vt="http://schemas.openxmlformats.org/officeDocument/2006/docPropsVTypes"/>
</file>