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&amp; ACTIVATION — HIP AND KNEE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ACCESSORY — CORE &amp; CARRY PREP</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&amp; ACTIVATION — SHOULDER AND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COMPOUND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ACCESSORY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COMPOUND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THIRD COMPOUND — INTEGRATION: SINGLE-ARM DB ROW (LEFT-LED)</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&amp; ACTIVATION — HIP AND ANKLE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ACCESSORY — BULGARIAN SPLIT SQUAT (LEFT-LED)</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 Knee-dominant accessory supporting the hip thrust; this is the second consecutive loaded leg lift, which the Antagonist Rotation Rule permits as a primary-plus-accessory pair. The Single-Leg RDL that used to sit here has moved to Block E — see that block for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bl>
    <w:p>
      <w:pPr>
        <w:spacing w:after="100"/>
      </w:pPr>
    </w:p>
    <w:p>
      <w:pPr>
        <w:spacing w:after="60" w:before="120"/>
      </w:pPr>
      <w:r>
        <w:rPr>
          <w:rFonts w:ascii="Arial" w:cs="Arial" w:eastAsia="Arial" w:hAnsi="Arial"/>
          <w:b/>
          <w:bCs/>
          <w:color w:val="43A047"/>
          <w:sz w:val="17"/>
          <w:szCs w:val="17"/>
        </w:rPr>
        <w:t xml:space="preserve">D — SECONDARY COMPOUND — LOADED CARRY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 The Dumbbell Farmers Carry is one of the 10 core ICONS Index movements, so it fills the secondary-compound slot legitimately rather than as a filler — and placing it here is what breaks the lower-body chain: Hip Thrust and Bulgarian Split Squat are two loaded leg lifts, and running the Single-Leg RDL straight after them would have been a third in a row under compression, the exact stacking the Antagonist Rotation Rule forbids.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THIRD COMPOUND — INTEGRATION: UNILATERAL HINGE &amp; CORE UNDER LOAD</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The session's closer — the unilateral hinge and the loaded isometric together, pulling the day's hip, knee and trunk work into one integrated expression. Hinge options, all studio-available: Single-Leg Romanian Deadlift (the anchor, a core ICONS Index movement), Two-Dumbbell RDL, Hex Bar RDL, or a Back Extension on the hyperextension bench to tolerance. Weighted plank progresses from the tested 10 lb plate / 1:35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2026-08-20T21:23:13.607Z</dcterms:created>
  <dcterms:modified xsi:type="dcterms:W3CDTF">2026-08-20T21:23:13.607Z</dcterms:modified>
</cp:coreProperties>
</file>

<file path=docProps/custom.xml><?xml version="1.0" encoding="utf-8"?>
<Properties xmlns="http://schemas.openxmlformats.org/officeDocument/2006/custom-properties" xmlns:vt="http://schemas.openxmlformats.org/officeDocument/2006/docPropsVTypes"/>
</file>