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43A047"/>
          <w:sz w:val="17"/>
          <w:szCs w:val="17"/>
        </w:rPr>
        <w:t xml:space="preserve">Creatine — Indicated:  </w:t>
      </w:r>
      <w:r>
        <w:rPr>
          <w:rFonts w:ascii="Arial" w:cs="Arial" w:eastAsia="Arial" w:hAnsi="Arial"/>
          <w:color w:val="2C2C2C"/>
          <w:sz w:val="17"/>
          <w:szCs w:val="17"/>
        </w:rPr>
        <w:t xml:space="preserve">Creatine monohydrate is worth adding and needs no bodyweight figure to prescribe, unlike the protein target: 3–5g daily, with food, no loading phase, saturating over about four weeks. Insist on plain monohydrate — the other forms are not superior. Well-supported for strength, power and sleep quality in women in strength training, and it works paired with the training rather than on its own.</w:t>
      </w: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2026-08-21T15:15:55.783Z</dcterms:created>
  <dcterms:modified xsi:type="dcterms:W3CDTF">2026-08-21T15:15:55.783Z</dcterms:modified>
</cp:coreProperties>
</file>

<file path=docProps/custom.xml><?xml version="1.0" encoding="utf-8"?>
<Properties xmlns="http://schemas.openxmlformats.org/officeDocument/2006/custom-properties" xmlns:vt="http://schemas.openxmlformats.org/officeDocument/2006/docPropsVTypes"/>
</file>