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C9A227"/>
          <w:sz w:val="17"/>
          <w:szCs w:val="17"/>
        </w:rPr>
        <w:t xml:space="preserve">ALST Threshold Basis — Female Cutoff, Sex-Conflation Correction:  </w:t>
      </w:r>
      <w:r>
        <w:rPr>
          <w:rFonts w:ascii="Arial" w:cs="Arial" w:eastAsia="Arial" w:hAnsi="Arial"/>
          <w:color w:val="2C2C2C"/>
          <w:sz w:val="17"/>
          <w:szCs w:val="17"/>
        </w:rPr>
        <w:t xml:space="preserve">The ALST framing above reflects CLAUDE.md's "ALST Index" section as corrected 8/17/2026: the prior three-tier women's scale wrongly presented EWGSOP2's 7.0 kg/m² figure as a female "Optimal" target, when 7.0 is the separate MALE at-risk threshold — there is no female Optimal tier in EWGSOP2 or any consensus body reviewed. Only the &lt;5.5 kg/m² female at-risk floor applies to Johanna, and per the same correction, ALST should be presented as a trend metric rather than a precise risk classification (Styku's own ALM/ALMI output is not validated in its published validation study).</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readings runs several times larger than half a pound. Recomputed against this client's actual numbers: Left Leg 17.5 lbs / Right Leg 18.0 lbs is a 0.5 lb gap but only ~2.8% relative, so it met the OLD absolute trigger exactly and does NOT clear the corrected ≥10% threshold. Arms (8.7 vs 8.4 lbs, ~3.4% relative) sit below the trigger either way. Per the Nicolette Scott precedent, the left-leg-leads prescription already programmed into Day 2 Block C (Single-Leg RDL, Reverse Lunge) is left UNCHANGED pending a dedicated per-client clinical review — this note exists to make the discrepancy visible for that review, not to resolve it silently.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order in the roster rollout (batch 1) — organizational only; every exercise, tested baseline, load, RIR tier, pelvic-floor bracing flag and left-lead prescription preserved verbatim, no RIR tier changed. Slot 4 omitted all days (no Jason Bethea SOAP-note exercise on file). Mapping: Day 1 — Hip Thrust primary (tested battery lift) / Chest-Supported Row + Incline Push-Up accessory / Seated OHP secondary / Farmers Carry + Plank integration / finisher last. Day 2 — Goblet Squat primary / unilateral left-led accessory / Trap Bar DL secondary / NEW light farmers carry integration (20–25 lbs/hand, anchored below Day 1's 30 lbs/hand — no invented baseline) / finisher last. Day 3 — Incline DB Press promoted to primary (battery #4; the old row-first order was build-order, not tested priority) / SA Row accessory / Bent-Over Row secondary / Suitcase Carry + Plank integration / finisher last. Deload call: AUTOREGULATED (flexible Week 5 slot), not proactive — she is not rehab-flagged, not 65+/recovery-limited, and runs only 60–70% intensities over 3 days; documented against CLAUDE.md's deload criteria. Nutrition framing: the rendered 156–172 g/day figure still comes from proteinTargets()'s retired age≥50 formula (engine fix pending per CLAUDE.md), but her intended fat-loss deficit is a genuine corrected-standard trigger for the same upper range — the Age Bracket note now states that deficit-context reasoning so the figure rests on current grounds. Options menus filtered: all hip-thrust/carry options carry the pelvic-floor bracing rule; Day 2 options stay in the 3+ RIR technique band; REJECTED — kettlebell swing as a hinge-slot option (ballistic work lives only in her existing finisher, and Day 2 is a technique-introduction day), and any barbell back-squat option (squat pattern is one week old — goblet/box variants only until the pattern is established).</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~39–43g per meal (0.50–0.55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2026-08-21T15:50:32.500Z</dcterms:created>
  <dcterms:modified xsi:type="dcterms:W3CDTF">2026-08-21T15:50:32.500Z</dcterms:modified>
</cp:coreProperties>
</file>

<file path=docProps/custom.xml><?xml version="1.0" encoding="utf-8"?>
<Properties xmlns="http://schemas.openxmlformats.org/officeDocument/2006/custom-properties" xmlns:vt="http://schemas.openxmlformats.org/officeDocument/2006/docPropsVTypes"/>
</file>