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61 lbs, Bone Mass 5.8 lbs (3.0%), BMR 1858 cal/day, Shape Score 45/100 ("Needs Improvement"). ALST Index 7.92 kg/m² — EWGSOP2 2018's male low-muscle-mass cutoff is &lt;7.0 kg/m² AT-RISK / ≥7.0 kg/m² Not At-Risk (the same source already used for the women's 5.5 kg/m² threshold in this system); Moe sits comfortably above the line — this is the clinically-governing figure for his muscle-mass status, see the note below for how it relates to Styku's own internal flag. VFA 87.1 cm² is tracked here as a trend indicator rather than a fixed risk-band classification — no consensus body endorses a single absolute cm² cutoff, so this reading is watched directionally at future rescans rather than labeled against a risk band; the sex-independence of the underlying visceral-adiposity evidence still applies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C9A227"/>
          <w:sz w:val="17"/>
          <w:szCs w:val="17"/>
        </w:rPr>
        <w:t xml:space="preserve">VFA Framing — Standard Basis for the Trend-Indicator Language:  </w:t>
      </w:r>
      <w:r>
        <w:rPr>
          <w:rFonts w:ascii="Arial" w:cs="Arial" w:eastAsia="Arial" w:hAnsi="Arial"/>
          <w:color w:val="2C2C2C"/>
          <w:sz w:val="17"/>
          <w:szCs w:val="17"/>
        </w:rPr>
        <w:t xml:space="preserve">The VFA framing in the Styku interpretation note above follows CLAUDE.md's VFA section as corrected 8/17/2026, which retired the prior four-tier absolute risk-band table (&lt;70 / 70-99 / 100-149 / ≥150 cm²) in favor of per-client trend tracking. Rationale, for the record: no consensus body endorses a single VAT/VFA cm² cutoff, and Styku's own published VFA validation was against DXA in kilograms rather than CT in cm², so an absolute cm² reading should not be presented as a graded risk classification. Waist circumference against the IAS/ICCR thresholds is the preferred clinical-facing metric if that measurement is ever collected for him.</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(61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roughly 5% relative to the larger side. Standard ICONS protocol applied as a coaching convention: the left leg leads every unilateral leg exercise (single-leg RDL, any split-stance work), the left side is logged separately from the right in the coaching cue, and any suitcase-style carry work has the left hand hold the load — this assignment is being tracked closely at the next rescan to confirm it still reflects a real, worth-addressing difference. Left Arm LST 12.3 lbs vs Right Arm LST 12.7 lbs — only a 0.4 lb gap, roughly 3% relative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Moe directly. Instead, this document uses the Male Client Programming Framework: at 46, he sits in its 40-59 bracket ("Midlife Androgen Decline &amp; Sarcopenia Onset"), where ALST monitoring is a stated priority even before any hormonal diagnosis is on the table. His ALST (7.92 kg/m²) is comfortably Not At-Risk, so this is a body-recomposition priority given the Styku-internal Low Lean Mass flag above — not a sarcopenia-driven programming escalation.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with Day 2 carrying the dedicated rotator cuff and scapular strengthening work ahead of its compound pressing, and every primary and secondary lift autoregulated on RIR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 No shoulder-specific concern in the primary lifts today; the loaded carry-prep work at the end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2 RIR rather than off a fixed percentage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 The suitcase hold loads the shoulder girdle isometrically, same as the loaded carry it's prepping for — normal grip/shoulder fatigue is expected, sharp or pinching pain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leg-side. Sharp shoulder pain = stop.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corrective block below is strengthening work in its own right, not a warm-up throwaway, and runs ahead of compound pressing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Runs before compound pressing so the shoulder is actively controlling the joint before it's asked to move real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STRENGTH — INCLINE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(90% of est. 1RM 32), progressing close to normal. 1-2 RIR; stop short of sharp or pinching pain, not of ordinary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Stop at sharp/pinching pain.</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00695C"/>
          <w:sz w:val="17"/>
          <w:szCs w:val="17"/>
        </w:rPr>
        <w:t xml:space="preserve">C — OVERHEAD PRESS — PROGRESSIVE STRENGTHENING, PAIN-FREE ROM</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load builds week to week from the tested 17.5 lb starting point the same as any other lift here, just autoregulated by pain-free range of motion and RIR instead of a fixed %1RM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p>
        </w:tc>
      </w:tr>
    </w:tbl>
    <w:p>
      <w:pPr>
        <w:spacing w:after="100"/>
      </w:pPr>
    </w:p>
    <w:p>
      <w:pPr>
        <w:spacing w:after="60" w:before="120"/>
      </w:pPr>
      <w:r>
        <w:rPr>
          <w:rFonts w:ascii="Arial" w:cs="Arial" w:eastAsia="Arial" w:hAnsi="Arial"/>
          <w:b/>
          <w:bCs/>
          <w:color w:val="6A1B9A"/>
          <w:sz w:val="17"/>
          <w:szCs w:val="17"/>
        </w:rPr>
        <w:t xml:space="preserve">D — PULL — PROGRESSIVE STRENGTHENING</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Real progression target, not a scaled-back stand-in: reduce assistance week to week from the tested 5-rep baseline, autoregulated by pain-free ROM. Neutral or close grip is an available option, not a mandate, if standard wide grip aggravates the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p>
        </w:tc>
      </w:tr>
    </w:tbl>
    <w:p>
      <w:pPr>
        <w:spacing w:after="100"/>
      </w:pPr>
    </w:p>
    <w:p>
      <w:pPr>
        <w:spacing w:after="60" w:before="120"/>
      </w:pPr>
      <w:r>
        <w:rPr>
          <w:rFonts w:ascii="Arial" w:cs="Arial" w:eastAsia="Arial" w:hAnsi="Arial"/>
          <w:b/>
          <w:bCs/>
          <w:color w:val="00695C"/>
          <w:sz w:val="17"/>
          <w:szCs w:val="17"/>
        </w:rPr>
        <w:t xml:space="preserve">E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(posterior-chain/scap-stabilizer work) — build progressively from the tested 35 lb reference at 1-2 RIR, close to normal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 SINGLE-LEG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1-2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1-2 RIR</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Hips square, soft knee.</w:t>
            </w:r>
          </w:p>
        </w:tc>
      </w:tr>
    </w:tbl>
    <w:p>
      <w:pPr>
        <w:spacing w:after="100"/>
      </w:pPr>
    </w:p>
    <w:p>
      <w:pPr>
        <w:spacing w:after="60" w:before="120"/>
      </w:pPr>
      <w:r>
        <w:rPr>
          <w:rFonts w:ascii="Arial" w:cs="Arial" w:eastAsia="Arial" w:hAnsi="Arial"/>
          <w:b/>
          <w:bCs/>
          <w:color w:val="C9A227"/>
          <w:sz w:val="17"/>
          <w:szCs w:val="17"/>
        </w:rPr>
        <w:t xml:space="preserve">C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45 lbs/hand — hold there this week and build from it as grip and trunk control allow. This loads the shoulder girdle isometrically; ordinary grip/shoulder fatigue is expected, sharp or pinching pain is the stop signal.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D — CORE &amp;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1:18 plank and 12-rep push-up baselines. Push-ups load the shoulder girdle isometrically through a controlled, non-overhead range — normally well-tolerated in cuff rehab;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1:18 baseline.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12-rep baseline.</w:t>
            </w:r>
          </w:p>
        </w:tc>
      </w:tr>
    </w:tbl>
    <w:p>
      <w:pPr>
        <w:spacing w:after="100"/>
      </w:pPr>
    </w:p>
    <w:p>
      <w:pPr>
        <w:spacing w:after="60" w:before="120"/>
      </w:pPr>
      <w:r>
        <w:rPr>
          <w:rFonts w:ascii="Arial" w:cs="Arial" w:eastAsia="Arial" w:hAnsi="Arial"/>
          <w:b/>
          <w:bCs/>
          <w:color w:val="C9A227"/>
          <w:sz w:val="17"/>
          <w:szCs w:val="17"/>
        </w:rPr>
        <w:t xml:space="preserve">E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Rotator Cuff/Scap Block · 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through isometric→eccentric→concentric→dynamic; add load on OHP/pull-up/row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Farmers Carry · Plank/Push-Ups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load; extend plank hold and push-up reps past baseline.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Rotator cuff/scapular strengthening block progresses from isometric to slow eccentric loading, fully pain-free. Left-leads unilateral leg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Bench 35-40 x 8, Single-Arm Row 40+ lbs x 10-12/side, Farmers Carry 55-60 lbs/hand, Plank 1:45-2:00, Push-Ups 20-22 reps. Overhead Press and Assisted Pull-Ups showing real week-over-week load/assistance progression, fully pain-free through range. Rotator cuff strengthening block progressed into controlled concentric or early dynamic loading, per Jason Bethea's clearance.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trend, Shape Score, body fat % trend, and left/right leg LST gap reduction (currently ~5% relative to the larger side), alongside the strength baselines table above and continued shoulder progress coordinated with Jason Bethea.</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2026-08-21T15:50:35.210Z</dcterms:created>
  <dcterms:modified xsi:type="dcterms:W3CDTF">2026-08-21T15:50:35.210Z</dcterms:modified>
</cp:coreProperties>
</file>

<file path=docProps/custom.xml><?xml version="1.0" encoding="utf-8"?>
<Properties xmlns="http://schemas.openxmlformats.org/officeDocument/2006/custom-properties" xmlns:vt="http://schemas.openxmlformats.org/officeDocument/2006/docPropsVTypes"/>
</file>