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— within the normal reference range (&gt;=5.5 kg/m²), NOT At-Risk, but only 0.02 kg/m² above the At-Risk cutoff — genuinely borderline, and worth close attention at the next rescan rather than treated as comfortably clear; ALST is tracked here as a trend metric, not a graded score, and no higher tier exists above the 5.5 kg/m² cutoff for women — the 7.0 kg/m² figure previously used as an upper tier is EWGSOP2's separate MALE at-risk threshold, not a female target. VFA (Segmental Analysis): 20.1 cm² — presented as a trend/context figure to track over time rather than a risk-band label; CLAUDE.md's prior absolute VFA risk-band table (which this document previously cited to assign this reading a risk-band label of its own, itself a correction of the band Styku's dashboard prints for it) was retired 8/17/2026 as unsupported by consensus guidance and by this scanner's own validation limits (Styku's VFA output was validated against DXA in kilograms, never in cm²).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Asymmetry Trigger Recalculation — Flagged Discrepancy (8/17/2026):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Asymmetry Protocol trigger was corrected 8/17/2026 from an absolute &gt;=0.5 lb L/R gap to a relative &gt;=10% gap (the old absolute trigger was firing on measurement noise — device error on Styku's segmental lean-mass reading runs 2.6-3.6x larger than the old 0.5 lb figure, per an external evidence review). Recomputed against this client's actual numbers: Left Leg 13.8 lbs / Right Leg 14.3 lbs (0.5 lb gap) met the OLD trigger exactly but is only ~3.5% relative — it does NOT clear the corrected &gt;=10% threshold. Left Arm 5.8 lbs / Right Arm 6.1 lbs (0.3 lb gap, ~5% relative) stays below the trigger either way, no change there. Per this pass's explicit instruction, the left-leg-leads prescription already programmed into this document's exercise blocks (Single-Leg RDL, DB Split Squat) is left UNCHANGED pending a dedicated per-client review — this note exists to make the discrepancy visible for that review, not to resolve it silently. Flagged to the main thread/icons-expert.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days restructured onto the ICONS Block Method six-slot order (Corrective → Primary Compound → Accessory → Jason's Exercise → Secondary Compound → Third Compound/Integration), rendered exercise order unchanged except two additions. Slot 4 omitted both days (no Jason Bethea relationship on file — no filler); slot 1 served by the existing Control &amp; Alignment activation blocks (genuine client-specific priming, not generic filler). Day A: primary = Hex Bar Deadlift (own block); accessory = Hip Thrust + Lateral Raise; secondary = OHP/Incline Press/SL RDL block; integration = Farmer Carry + Plank + Pallof split into its own block, with the Zone 2 line moved to a separate Conditioning Close so the compound closer precedes the finisher. Day B: primary = Back Squat (own block); accessory = DB Split Squat + Face Pull (renamed Kieser or Band); secondary = rows + push press; Push-Up Progression &amp; Core retained as a standing baseline-protocol block; integration = NEW light Farmer Carry (2x25-30 yd, 15-20 lbs/hand — anchored below her tested 20 lbs/hand reference and Day A's working loads, no invented number); Zone 2 moved to its own closing block. Options menus on every compound slot, filtered by studio inventory and her early-intermediate/technique-first level (no ballistic/advanced variants); left-leads restated on unilateral options, no arm lead fabricated. Same pass: autoregulated recovery-week note added (per the deload protocol's lower-fatigue autoregulate case for a first-build client at light-moderate relative loads); 4-week strength / 8-12-week Styku cadence split stated; milestones8wk reworded off engine-function names (build jargon in an unfiltered summary string). The asymmetry-trigger flagged discrepancy (8/17) and left-leg-leads prescription are untouched by this restructure.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ACL/Knee-Valgus Circuit — Framing Corrected, Full Dose Not Yet Built In: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 Block A's hip-abductor/thoracic activation work was previously framed as omitted because "no elevated-risk ACL/knee-valgus finding is on file for Nicolette specifically" — that framing is corrected per CLAUDE.md's "ACL / Knee Valgus / Neuromuscular Injury-Prevention Circuit — trigger corrected 8/17/2026": the corrective/neuromuscular circuit is now universal programming for this population, not gated behind a positive visual screen. The block's intro line was reworded accordingly. Note this activation block is still lighter than the full evidenced dose (20-30 min, 1-2x/week, sustained beyond 6 months) that standard calls for — flagged as a candidate addition for a future revision (a new weekly time allocation, not just added exercises) rather than expanded here without a dedicated program-structure change.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(0.40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2026-08-21T15:50:36.613Z</dcterms:created>
  <dcterms:modified xsi:type="dcterms:W3CDTF">2026-08-21T15:50:36.613Z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