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because the old absolute figure was firing on measurement noise. Recomputed against this client's actual numbers: Left Leg 16.8 lbs / Right Leg 18.2 lbs is a 1.4 lb gap — the largest currently on the roster — but ~7.7% relative, so it cleared the OLD absolute trigger comfortably and still falls short of the corrected ≥10% threshold. Arms (8.4 vs 8.5 lbs, ~1.2% relative) sit below it either way. Per the Nicolette Scott precedent, the left-leg-leads prescription already programmed into this document (Single-Leg RDL, DB Reverse Lunge, Step-Up) is left UNCHANGED pending a dedicated per-client clinical review — this note makes the discrepancy visible for that review rather than resolving it silently, and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All three days restructured onto the ICONS Block Method six-slot order (Corrective → Primary Compound → Accessory → Jason's Exercise → Secondary Compound → Third Compound/Integration). Slot 4 omitted on all days — no Jason Bethea exercise or coordinated-care relationship on file (her shoulder work is a self-contained corrective priority per intake); no filler inserted. Day 1: corrective = Hip Activation &amp; 90/90; primary = Goblet Squat; accessory = the Tibia &amp; Inner-Thigh pairing, MOVED between the two lifts (the one genuine resequencing — previous order was Squat → Trap Bar DL → tibia block; antagonist walk clean: squat → isolated correctives → hinge; no documented audit-fix ordering existed on this day); secondary = Trap Bar Deadlift; integration = NEW light Farmers Carry (2x25-30 yd, 20-25 lbs/hand, anchored below her tested 30 lbs/hand baseline). Day 2: corrective = Shoulder Internal Rotation; primary = Seated OHP (split from the old press block); accessory = Incline Push-Up; secondary = row/face-pull/incline-press block unchanged; integration = NEW Farmers Carry, packed-shoulder framing (shoulder-safe by design — overhead carry excluded on constraint grounds). CLAUDE.md's shoulder-reintroduction addendum (press → closed-chain hold) was considered and deliberately not applied: its scope is a reintroduced press after rehab/reconstruction; her OHP is a tested, continuously-programmed lift under a corrective gate, not a reintroduction. Day 3: primary = DB Hip Thrust; accessory = SL RDL (left-led); secondary = Reverse Lunge + tibia/Copenhagen touch-up; integration = the existing Carry + Core block retitled (Farmers Carry rirNote aligned to the carry convention; suitcase/front-rack options alternate sides — arms effectively even, no lead fabricated). Options menus on every compound slot, constraint-filtered: technique-band options only on the two not-yet-baselined patterns; every press option inside the pain-free-range/sharp-pinch stop rule; no overhead carries or ballistic overhead options anywhere. Same pass: Face Pull renamed (Band or Kieser), proactive Week-5 deload added, 4-week strength / 8-12-week Styku cadence split stated, warm-up drift checked clean, 10-movement coverage re-verified intact.</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2026-08-19T10:12:21.635Z</dcterms:created>
  <dcterms:modified xsi:type="dcterms:W3CDTF">2026-08-19T10:12:21.635Z</dcterms:modified>
</cp:coreProperties>
</file>

<file path=docProps/custom.xml><?xml version="1.0" encoding="utf-8"?>
<Properties xmlns="http://schemas.openxmlformats.org/officeDocument/2006/custom-properties" xmlns:vt="http://schemas.openxmlformats.org/officeDocument/2006/docPropsVTypes"/>
</file>