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toward the 8-week targets. With recovery running well this lighter week is flexible rather than fixed: it can slide a week later if everything feels strong, or move up if sleep, soreness, or session quality dip — her coach makes that call with her. One light week costs nothing that matters for the muscle-building priority: muscle built over the previous month is not lost in a single reduced-volume week — only a small edge of peak strength dips, and it returns within days.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~15g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the bodyweight pattern set runs first, then own the depth and bracing pattern under load. If the day calls for a variation, rotate between: a box squat (depth set by the box), a split-stance squat (left leg leads), or a landmine squat. The goblet squat stays the lift we track toward the 4-week check.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 → Wk4: 40–42.5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 ×5. Chest tall, sit hips back, knees track over toes.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 — the muscle-building accessory work directly behind the squat. Hip thrust variations when the day calls for one: a floor glute bridge, a single-leg glute bridge (left leg leads), or a B-stance hip thrust (left leg takes the working share) — the barbell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 → Wk4: 55–60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lb ×5. 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lb/hand → 20–22.5 lb by Wk8</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SECONDARY COMPOUND — UPPER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The day's second compound pattern — pressing, rotating off the lower-body work above. Right shoulder leads at reduced load with strict control — see clinical flag above. If the day calls for a press variation, rotate between: a half-kneeling single-arm DB press (right arm leads, reduced load) or a landmine press (the shoulder-friendly arc) — both live inside the same controlled-load shoulder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FULL-BODY INTEGRATION — FARMER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walk pulling the day's squat depth, hip drive, and pressing posture together under gait, then core under load. Loads start at or below the tested 25 lb/hand carry baseline. Distance and quality govern the carry, not a rep count. A suitcase carry (one side at a time, alternating evenly)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25 lb/hand. 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the same lower-limb injury-prevention work that protects knee tracking on every single-leg pattern, and the entry point for closing the flagged leg asymmetry. This circuit earns its place for every session, not because of any one test result.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COMPOUND — DB SPLIT SQUAT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primary lift, worked one leg at a time — left leg leads every set, always performing the left-side reps first while freshest. If the day calls for a variation, rotate between: a supported split squat (hand on a rail or bench for balance), a reverse lunge, or a low-box step-up — every option is left-led and stays in the same technique band as the split squat itself. The split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bl>
    <w:p>
      <w:pPr>
        <w:spacing w:after="100"/>
      </w:pPr>
    </w:p>
    <w:p>
      <w:pPr>
        <w:spacing w:after="60" w:before="120"/>
      </w:pPr>
      <w:r>
        <w:rPr>
          <w:rFonts w:ascii="Arial" w:cs="Arial" w:eastAsia="Arial" w:hAnsi="Arial"/>
          <w:b/>
          <w:bCs/>
          <w:color w:val="C9A227"/>
          <w:sz w:val="17"/>
          <w:szCs w:val="17"/>
        </w:rPr>
        <w:t xml:space="preserve">C — ACCESSORY — ADDUCTOR STRENGTH</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Inner-thigh strength directly supports knee tracking and single-leg control — quiet, high-value accessory work between the two main lifts.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60" w:before="120"/>
      </w:pPr>
      <w:r>
        <w:rPr>
          <w:rFonts w:ascii="Arial" w:cs="Arial" w:eastAsia="Arial" w:hAnsi="Arial"/>
          <w:b/>
          <w:bCs/>
          <w:color w:val="00695C"/>
          <w:sz w:val="17"/>
          <w:szCs w:val="17"/>
        </w:rPr>
        <w:t xml:space="preserve">D — SECONDARY COMPOUND — SINGLE-LEG RDL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hip hinge, rotating off the knee-dominant work above. Left leg leads. If the day calls for a variation, rotate between: a B-stance RDL (rear foot down for balance, left leg takes the working share) or a hip hinge to a bench or target (shortened range) — both left-led, both in the same technique band. The single-leg RDL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bl>
    <w:p>
      <w:pPr>
        <w:spacing w:after="100"/>
      </w:pPr>
    </w:p>
    <w:p>
      <w:pPr>
        <w:spacing w:after="60" w:before="120"/>
      </w:pPr>
      <w:r>
        <w:rPr>
          <w:rFonts w:ascii="Arial" w:cs="Arial" w:eastAsia="Arial" w:hAnsi="Arial"/>
          <w:b/>
          <w:bCs/>
          <w:color w:val="C9A227"/>
          <w:sz w:val="17"/>
          <w:szCs w:val="17"/>
        </w:rPr>
        <w:t xml:space="preserve">E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single-leg control and bracing together under gait, one hand at a time with both sides working evenly. Distance and quality govern this work,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 The closing carry keeps that control working all the way out the door.</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E53935"/>
          <w:sz w:val="17"/>
          <w:szCs w:val="17"/>
        </w:rPr>
        <w:t xml:space="preserve">A — SHOULDER CORRECTIVE — SCAPULAR SET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Scapular and rotator-cuff preparation before any pressing — the standing rule for every session given the right-shoulder force deficit. Control precedes power: set the shoulder blades first, then load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B — PRIMARY COMPOUND — SEATED OH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 If the day calls for a press variation, rotate between: a half-kneeling single-arm DB press (right arm leads, reduced load) or a landmine press (the shoulder-friendly arc) — both live inside the same controlled-load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INCLINE PUSH-UP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press accessory behind the day's primary — worked hard in a controlled, non-overhead range that respects the shoulder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SINGLE-ARM ROW</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day's second compound pattern — pulling, rotating off the pressing above. Single-arm row trains the weaker right shoulder unilaterally under full control. If the day calls for a row variation, rotate between: a chest-supported row, a Kieser row, or a band row — right arm leads on every option, at the same controlled load. The single-arm DB row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day's pressing posture, pulling strength, and grip pulled together under gait, then core under load. Distance and quality govern the carry,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 Week 4 closes with the strength check; the planned lighter week that follows (Week 5, flexible — see the note above)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(reached through the Wk4 check, the flexible Week 5 lighter week, and the Weeks 6-8 rebuild).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2026-08-20T17:13:43.188Z</dcterms:created>
  <dcterms:modified xsi:type="dcterms:W3CDTF">2026-08-20T17:13:43.188Z</dcterms:modified>
</cp:coreProperties>
</file>

<file path=docProps/custom.xml><?xml version="1.0" encoding="utf-8"?>
<Properties xmlns="http://schemas.openxmlformats.org/officeDocument/2006/custom-properties" xmlns:vt="http://schemas.openxmlformats.org/officeDocument/2006/docPropsVTypes"/>
</file>