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E65100"/>
          <w:sz w:val="17"/>
          <w:szCs w:val="17"/>
        </w:rPr>
        <w:t xml:space="preserve">Asymmetry Trigger Recalculation — Flagged Discrepancy (8/19/2026):  </w:t>
      </w:r>
      <w:r>
        <w:rPr>
          <w:rFonts w:ascii="Arial" w:cs="Arial" w:eastAsia="Arial" w:hAnsi="Arial"/>
          <w:color w:val="2C2C2C"/>
          <w:sz w:val="17"/>
          <w:szCs w:val="17"/>
        </w:rPr>
        <w:t xml:space="preserve">CLAUDE.md's Asymmetry Protocol trigger was corrected 8/17/2026 from an absolute 0.5 lb L/R gap to a relative &gt;=10% gap (the old absolute figure was firing on measurement noise). Recomputed against this client's actual numbers at this document's first touch since that correction: Left Leg 14.6 lbs / Right Leg 15.1 lbs is a 0.5 lb gap — it met the OLD absolute trigger exactly (the original basis for this document's LEFT-leads protocol, per the Johanna Castillo exact-threshold precedent) but is only ~3.3% relative, so it does NOT clear the corrected &gt;=10% threshold. Arms (7.3 vs 7.2, ~1.4% relative) sit below it either way. Per the Nicolette Scott precedent, the left-leg-leads prescription programmed throughout (Split Stance Squat, Step-Up, DB Reverse Lunge, Single-Leg RDL) is left UNCHANGED pending a dedicated per-client review — a functional single-leg strength/power test is the preferred primary trigger for that review. Client-visible trigger language was reworded off the retired absolute standard; this note makes the discrepancy visible rather than resolving it silently. Flagged to the main thread/icons-expert.</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A's power block (Block E as of the 8/19/2026 Block Method restructure, part of the day's Full-Body Integration close)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deliberately preserving the 8/12/2026 and 8/16/2026 Antagonist Rotation fixes verbatim. Day A: slots 1 and 4 honestly omitted (no documented corrective finding, and no Jason Bethea exercise/coordinated-care relationship on file — no filler inserted); slot 2 = Hex Bar Deadlift; slot 3 = Hip Thrust + Face Pull (the 8/16 fix's Face-Pull placement survives); slot 5 = SA Row + SL RDL + Bent-Over Row + Incline Press; slot 6 = Carry + Core and the Trap Bar Jump power block, retitled as the day's Full-Body Integration close (pilot Day-3 pattern); conditioning finisher follows. Day B: slots 1 and 4 omitted (same reasoning); slot 2 = Back Squat; slot 3 = Split Stance Squat + Lateral Raise + Reverse Lunge; slot 5 = Bench + OHP + pull-up battery + Step-Up; Push-Up Progression retained as a standing baseline-protocol block; slot 6 = the metabolic circuit retitled Full-Body Integration. Compound-slot options menus added to every compound slot, filtered by the confirmed studio inventory and her record (no clinical movement constraint on file; forcePelvicFloor already handles the unconfirmed-menopausal-status caution on both days and survives untouched; left-leads side rules restated on every unilateral option); anchors named in every menu. Same pass: Face Pull renamed to Kieser; asymmetry trigger language reworded off the retired 0.5 lb absolute standard (see the discrepancy note above — prescription unchanged); combined-model Week-5 deload added; 4-week strength / 8-12-week Styku cadence split stated in the summary.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2026-08-20T17:13:46.818Z</dcterms:created>
  <dcterms:modified xsi:type="dcterms:W3CDTF">2026-08-20T17:13:46.819Z</dcterms:modified>
</cp:coreProperties>
</file>

<file path=docProps/custom.xml><?xml version="1.0" encoding="utf-8"?>
<Properties xmlns="http://schemas.openxmlformats.org/officeDocument/2006/custom-properties" xmlns:vt="http://schemas.openxmlformats.org/officeDocument/2006/docPropsVTypes"/>
</file>