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the VFA trend figure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12.5 lbs/hand x8 — becomes the new 8-week baseline; target 15–17.5 lbs/hand by Week 4 as shoulder tolerates load</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00695C"/>
          <w:sz w:val="17"/>
          <w:szCs w:val="17"/>
        </w:rPr>
        <w:t xml:space="preserve">Styku Findings — Body Composition &amp; ALST:  </w:t>
      </w:r>
      <w:r>
        <w:rPr>
          <w:rFonts w:ascii="Arial" w:cs="Arial" w:eastAsia="Arial" w:hAnsi="Arial"/>
          <w:color w:val="2C2C2C"/>
          <w:sz w:val="17"/>
          <w:szCs w:val="17"/>
        </w:rPr>
        <w:t xml:space="preserve">Body Fat 36.5% (58.6 lbs fat mass) — Styku's own "Average" classification (35–39.9% band). Lean Mass 96.6 lbs (60.2%) carries Styku's "Ideal Lean Mass" flag — a genuinely positive marker. Bone Mass 5.3 lbs (3.3%). BMI 23.7 — Normal (18.5–24.9). Shape Score 70/100 — Good. ALST Index 6.32 kg/m²: Styku's own report labels this binary "Not At-Risk," which is correct against the EWGSOP2 &lt;5.5 kg/m² female at-risk cutoff — this system treats 5.5 kg/m² as the governing threshold, not a graded scale above it (EWGSOP2 sets no higher "Optimal" tier for women). ALST above 5.5 kg/m² is best read as within normal reference range and tracked as a trend metric, not a precision score — worth tracking again at the 8-week rescan simply to confirm it holds steady or continues trending upward, not against any higher numeric target.</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 a mid-range figure tracked as a personal trend, not assigned a risk band) and ALST (6.32 kg/m², within normal reference range) don't support an elevated cardiometabolic read on their own, and Lean Mass carries the positive "Ideal Lean Mass" flag noted above. The full picture is a healthy profile, not one driven by any single number in isolation.</w:t>
      </w:r>
    </w:p>
    <w:p>
      <w:pPr>
        <w:spacing w:after="100"/>
      </w:pPr>
      <w:r>
        <w:rPr>
          <w:rFonts w:ascii="Arial" w:cs="Arial" w:eastAsia="Arial" w:hAnsi="Arial"/>
          <w:b/>
          <w:bCs/>
          <w:color w:val="00695C"/>
          <w:sz w:val="17"/>
          <w:szCs w:val="17"/>
        </w:rPr>
        <w:t xml:space="preserve">VFA 82.7 cm² — Tracked as a Trend:  </w:t>
      </w:r>
      <w:r>
        <w:rPr>
          <w:rFonts w:ascii="Arial" w:cs="Arial" w:eastAsia="Arial" w:hAnsi="Arial"/>
          <w:color w:val="2C2C2C"/>
          <w:sz w:val="17"/>
          <w:szCs w:val="17"/>
        </w:rPr>
        <w:t xml:space="preserve">Presented as a personal trend figure to follow scan over scan rather than assigned a risk band: no consensus body endorses a single visceral-fat cutoff, published thresholds vary widely across studies, and this scanner's visceral-fat output was validated against DXA in kilograms rather than CT in cm² — so the absolute number carries real individual-level uncertainty. Waist circumference, measured to protocol, is the primary clinical-facing metric going forward; add it at the next scan and track the two together.</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the left leg reads as the lighter/weaker side on this scan and leads every unilateral lower-body exercise across this program; reps/loads are logged per side. Arms: Left 8.4 lbs / Right 8.5 lbs — a difference small enough to read as routine scan-to-scan variation, so arms are tracked as monitoring only with no formal unilateral-lead requirement.</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because the old absolute figure was firing on measurement noise. Recomputed against this client's actual numbers: Left Leg 16.8 lbs / Right Leg 18.2 lbs is a 1.4 lb gap — the largest currently on the roster — but ~7.7% relative, so it cleared the OLD absolute trigger comfortably and still falls short of the corrected ≥10% threshold. Arms (8.4 vs 8.5 lbs, ~1.2% relative) sit below it either way. Per the Nicolette Scott precedent, the left-leg-leads prescription already programmed into this document (Single-Leg RDL, DB Reverse Lunge, Step-Up) is left UNCHANGED pending a dedicated per-client clinical review — this note makes the discrepancy visible for that review rather than resolving it silently, and a functional single-leg strength or power test is the preferred primary trigger going forward. Flagged to the main thread / icons-expert.</w:t>
      </w:r>
    </w:p>
    <w:p>
      <w:pPr>
        <w:spacing w:after="100"/>
      </w:pPr>
      <w:r>
        <w:rPr>
          <w:rFonts w:ascii="Arial" w:cs="Arial" w:eastAsia="Arial" w:hAnsi="Arial"/>
          <w:b/>
          <w:bCs/>
          <w:color w:val="C9A227"/>
          <w:sz w:val="17"/>
          <w:szCs w:val="17"/>
        </w:rPr>
        <w:t xml:space="preserve">Squat, Deadlift &amp; Incline Press — Baselines Established This Week:  </w:t>
      </w:r>
      <w:r>
        <w:rPr>
          <w:rFonts w:ascii="Arial" w:cs="Arial" w:eastAsia="Arial" w:hAnsi="Arial"/>
          <w:color w:val="2C2C2C"/>
          <w:sz w:val="17"/>
          <w:szCs w:val="17"/>
        </w:rPr>
        <w:t xml:space="preserve">Three lifts were not part of the initial testing battery: Back Squat, Deadlift, and Incline Dumbbell Press. Day 1's deliberately light working loads (Goblet Squat 25 lbs, Trap Bar Deadlift 55 lbs) and Day 2's Incline Dumbbell Press (12.5 lbs/hand, technique-first, same conservative posture as her Overhead Press given the frozen shoulder history) all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Creatine is strongly indicated by age alone regardless of ALST status. Protein moves up within the 1.6–2.2 g/kg range for a genuine energy deficit, heavy training load, or ALST At-Risk status — not for age or bracket alone (her ALST, 6.32 kg/m², is within normal reference range, not At-Risk). Bone-loading candidacy (LIFTMOR-style, T-score dependent) is worth screening for as she moves through this window even though nothing on the current scan indicates low bone mass.</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With two brand-new lift baselines being established and a shoulder trained deliberately conservatively, this is how the program consolidates the strength built in Weeks 1-4 before Weeks 6-8 rebuild from the Week 4 loads toward the 8-week retest and rescan.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All three days restructured onto the ICONS Block Method six-slot order (Corrective → Primary Compound → Accessory → Jason's Exercise → Secondary Compound → Third Compound/Integration). Slot 4 omitted on all days — no Jason Bethea exercise or coordinated-care relationship on file (her shoulder work is a self-contained corrective priority per intake); no filler inserted. Day 1: corrective = Hip Activation &amp; 90/90; primary = Goblet Squat; accessory = the Tibia &amp; Inner-Thigh pairing, MOVED between the two lifts (the one genuine resequencing — previous order was Squat → Trap Bar DL → tibia block; antagonist walk clean: squat → isolated correctives → hinge; no documented audit-fix ordering existed on this day); secondary = Trap Bar Deadlift; integration = NEW light Farmers Carry (2x25-30 yd, 20-25 lbs/hand, anchored below her tested 30 lbs/hand baseline). Day 2: corrective = Shoulder Internal Rotation; primary = Seated OHP (split from the old press block); accessory = Incline Push-Up; secondary = row/face-pull/incline-press block unchanged; integration = NEW Farmers Carry, packed-shoulder framing (shoulder-safe by design — overhead carry excluded on constraint grounds). CLAUDE.md's shoulder-reintroduction addendum (press → closed-chain hold) was considered and deliberately not applied: its scope is a reintroduced press after rehab/reconstruction; her OHP is a tested, continuously-programmed lift under a corrective gate, not a reintroduction. Day 3: primary = DB Hip Thrust; accessory = SL RDL (left-led); secondary = Reverse Lunge + tibia/Copenhagen touch-up; integration = the existing Carry + Core block retitled (Farmers Carry rirNote aligned to the carry convention; suitcase/front-rack options alternate sides — arms effectively even, no lead fabricated). Options menus on every compound slot, constraint-filtered: technique-band options only on the two not-yet-baselined patterns; every press option inside the pain-free-range/sharp-pinch stop rule; no overhead carries or ballistic overhead options anywhere. Same pass: Face Pull renamed (Band or Kieser), proactive Week-5 deload added, 4-week strength / 8-12-week Styku cadence split stated, warm-up drift checked clean, 10-movement coverage re-verified intact.</w:t>
      </w:r>
    </w:p>
    <w:p>
      <w:pPr>
        <w:spacing w:after="100"/>
      </w:pPr>
      <w:r>
        <w:rPr>
          <w:rFonts w:ascii="Arial" w:cs="Arial" w:eastAsia="Arial" w:hAnsi="Arial"/>
          <w:b/>
          <w:bCs/>
          <w:color w:val="00695C"/>
          <w:sz w:val="17"/>
          <w:szCs w:val="17"/>
        </w:rPr>
        <w:t xml:space="preserve">Perimenopausal Status — Not Assessed, isPostmenopausal Left False: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treating an unconfirmed 45–55-bracket client as pelvic-floor-cautious by default applies specifically WHEN those symptoms are reported — none were reported here, so isPostmenopausal is left false rather than escalated, and the pelvic floor callout correctly does not auto-fire despite squat, deadlift, hip thrust, and lunge content appearing across this program. Revisit this if symptom data becomes available at a future session.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~22g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COMPOUND — GOBLET SQUAT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the squat. Today's deliberately light load becomes the new baseline — the goal is a clean, repeatable pattern, not maximal weight. If the day calls for a variation while the pattern is still being established, both options stay in the same technique band: a box squat (depth set by the box) or a supported split-stance squat holding a rail (left leg leads). The goblet squat stays the lift we track — its working load is the number that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ACCESSORY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 Placed between today's two main lifts, this work also gives the legs a controlled breather before the hinge pattern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SECONDARY COMPOUND — TRAP BAR DEADLIFT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hinge, rotating off the squat work above. No baseline was recorded for the deadlift; today's deliberately light load becomes the new baseline. If a variation is needed while the pattern is established, both options stay in the same technique band: a trap bar pull from low blocks (shortened range) or a light double-DB Romanian deadlift. The trap bar lift stays the one we track — its working load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FARMERS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that puts today's two brand-new lift patterns to work as one integrated movement: the hinge to pick the weights up, the braced, tall posture of the squat work, carried under gait. Loads stay deliberately below her tested 30 lbs/hand carry baseline — this closes a technique day with quality movement, not extra load. Distance and movement quality govern this work, not an effort target. A goblet carry (one DB held at the chest) covers the same ground with an upright-posture bias if it suits the day better.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Tall posture, ribs down,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COMPOUND — SEATED OVERHEAD PRESS</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Seated overhead press tested at 15 lbs x8 (Epley 1RM ≈19 lbs). Given the frozen shoulder history, Week 1 trains conservatively below baseline (12.5 lbs) and progresses only as far as pain-free range allows, reaching 17.5 lbs by Week 4. If the day calls for a press variation, rotate between: a landmine press (a friendlier, angled arc when the fully vertical line isn't comfortable) or a half-kneeling single-arm DB press (light, one side at a time). Every option lives inside the same rule as the press itself — pain-free range only, sharp or pinching pain ends the set — and the seated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INCLINE PUSH-UP</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pressing accessory directly behind the overhead work — a controlled, non-overhead range that builds pushing volume while staying well clear of the shoulder's sensitive arc.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D — SECONDARY COMPOUND — PULL STRENGTH &amp; INCLINE PRESS BASELINE</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The day's second compound territory — pulling, rotating off the pressing work above. Rowing volume balances the pressing and builds scapular stability around the healing shoulder. Incline Dumbbell Press was not part of the initial testing battery — it closes the block as a new horizontal-press baseline, light load and technique-first, respecting the same pain-free-range guardrail as the rest of this session. If the row needs a variation: a chest-supported DB row (torso fully supported) or a single-arm Kieser row covers the same pattern; the bent-over row stays the one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Stop at any pinch or sharp pain.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press within pain-free range only.</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E — FULL-BODY INTEGRATION — FARMERS CARRY (PACKED SHOULDERS)</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loaded carry that puts today's shoulder work to use in the position it is strongest and safest: shoulders packed down and back, arms locked at the sides, load carried under a tall, braced posture. This directly reinforces the shoulder-care priority in a closed, neutral position — nothing travels overhead. Loads stay below her tested 30 lbs/hand carry baseline. Distance and movement quality govern this work, not an effort target. A goblet carry (one DB at the chest) is the alternate if it suits the day better; no overhead carry variation is used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down and back, tall posture,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 segmental lean mass reads lighter on the left (16.8 vs 18.2 lbs), so the left side sets the working load and the right matches it.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COMPOUND — DB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built on her strongest tested number. Hip Thrust tested at 55 lbs x8 (Epley 1RM ≈70 lbs); Week 1 trains at 55 lbs, climbing to 60 lbs by Week 4. If the day calls for a variation, rotate between: a floor glute bridge (the simplest regression), a B-stance hip thrust (left leg takes the working share), or a single-leg glute bridge (left leg leads). The bench-supported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SINGLE-LEG RDL (LEFT-LED)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directly behind the hip thrust — same posterior chain, worked one leg at a time with the left leading.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LUNGE (LEFT-LED)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day's second compound pattern — knee-dominant lunging, rotating off the hip-extension work above. Lunge tested at 15 lbs/hand x8 (Epley 1RM ≈19 lbs) — Week 1 trains at 12.5 lbs/hand, climbing to 17.5 lbs/hand by Week 4, left leg leading. If the lunge needs a variation: a DB step-up (left leg leads) or a static split squat covers the same knee-dominant territory; the reverse lunge stays the lift we track.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carry pulls the day's hip-extension strength into upright, braced gait at her full tested working load (30 lbs/hand), building the deep spinal stabilizer strength that supports posture under all the compound lifts above. Distance and movement quality govern the carry, not an effort target. If a variation suits the day: a suitcase carry (one side at a time, alternating sides evenly — her arms read effectively even on the scan, so no side leads) or a front-rack carry (upright-posture bias).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the left leg lighter by 1.4 lbs (16.8 vs 18.2 lbs), the largest segmental difference on her scan.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 Incline Dumbbell Press baseline newly established this week at 12.5 lbs/hand, technique-first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Incline Dumbbell Press progressing from 12.5 lbs/hand toward 15 lbs/hand, pain-free. Left-leg single-leg RDL load matched toward parity with right within 10%. Week 4 closes with the strength check (the standing 4-week reassessment); Week 5 that follows is the planned deload week — same movements, sets reduced,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strength is reassessed on the standing 4-week cadence (the Week 4 check, then the Week 8 retest at the end of the rebuild), while the Styku body-composition rescan books at 8 weeks — landing at the end of the Weeks 6–8 rebuild that follows the planned Week 5 deload, so the scan reads a consolidated block. Track: ALST Index trend (currently 6.32 kg/m², within normal reference range), VFA (currently 82.7 cm² — track the direction of travel rather than a risk band, and pair it with a waist-circumference measurement at the next scan), left/right leg LST gap (baseline 1.4 lbs, ≈8% relative — track the percentage narrowing, not just the raw pounds),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2026-08-20T21:50:08.453Z</dcterms:created>
  <dcterms:modified xsi:type="dcterms:W3CDTF">2026-08-20T21:50:08.453Z</dcterms:modified>
</cp:coreProperties>
</file>

<file path=docProps/custom.xml><?xml version="1.0" encoding="utf-8"?>
<Properties xmlns="http://schemas.openxmlformats.org/officeDocument/2006/custom-properties" xmlns:vt="http://schemas.openxmlformats.org/officeDocument/2006/docPropsVTypes"/>
</file>