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Block D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Age Bracket — 44 Years Is a Working Figure, Not Confirmed:  </w:t>
      </w:r>
      <w:r>
        <w:rPr>
          <w:rFonts w:ascii="Arial" w:cs="Arial" w:eastAsia="Arial" w:hAnsi="Arial"/>
          <w:color w:val="2C2C2C"/>
          <w:sz w:val="17"/>
          <w:szCs w:val="17"/>
        </w:rPr>
        <w:t xml:space="preserve">Kayma's trainer confirmed she is in her 40s but did not supply an exact age. 44 is used here as a working figure, positioned at the boundary of CLAUDE.md's 35-45 "Transition Onset" and 45-55 "Perimenopause/Menopause Transition" brackets — treat the bracket-specific detail (LIFTMOR bone-loading candidacy screening, perimenopausal symptom monitoring) as provisional until her actual age is confirmed. What does not depend on resolving this: the 1.6 g/kg/day protein baseline applies to her regardless of exactly where in her 40s she falls; moving toward 2.2 g/kg/day once real weight data exists is gated on a genuine energy deficit, heavy training load, or ALST At-Risk status — not age alone (corrected 8/17/2026, CLAUDE.md's Protein Targets section).</w:t>
      </w:r>
    </w:p>
    <w:p>
      <w:pPr>
        <w:spacing w:after="100"/>
      </w:pPr>
      <w:r>
        <w:rPr>
          <w:rFonts w:ascii="Arial" w:cs="Arial" w:eastAsia="Arial" w:hAnsi="Arial"/>
          <w:b/>
          <w:bCs/>
          <w:color w:val="C9A227"/>
          <w:sz w:val="17"/>
          <w:szCs w:val="17"/>
        </w:rPr>
        <w:t xml:space="preserve">Intake Gap — No Styku Scan, Weigh-In, or Baseline Battery on File:  </w:t>
      </w:r>
      <w:r>
        <w:rPr>
          <w:rFonts w:ascii="Arial" w:cs="Arial" w:eastAsia="Arial" w:hAnsi="Arial"/>
          <w:color w:val="2C2C2C"/>
          <w:sz w:val="17"/>
          <w:szCs w:val="17"/>
        </w:rPr>
        <w:t xml:space="preserve">No Styku body-composition scan and no weight are on file, so protein/creatine targets and full clinical interpretation (ALST, VFA, BMI) are not calculated here — inventing them from an assumed weight would be fabrication, not programming. No tested strength battery (1RM/5RM) is on file either, so every load below is a descriptive band ("Heavy," "Moderate-Heavy," a working range in lbs/hand) rather than a percentage of a real number. Recommend running the standard 11-exercise ICONS Baseline Testing Protocol at her next session, alongside a Styku scan and weigh-in, so this document can be revised from descriptive to numeric prescriptions using epley1RM()/workingLoad() off real data.</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Revisit this if symptom data becomes available at a future session.</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open at real working intensity (80% / 90%)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RIR 1-2 on all working sets — advanced expresses as load and complexity, never as training to failure.</w:t>
      </w:r>
    </w:p>
    <w:p>
      <w:pPr>
        <w:spacing w:after="100"/>
      </w:pPr>
      <w:r>
        <w:rPr>
          <w:rFonts w:ascii="Arial" w:cs="Arial" w:eastAsia="Arial" w:hAnsi="Arial"/>
          <w:b/>
          <w:bCs/>
          <w:color w:val="C9A227"/>
          <w:sz w:val="17"/>
          <w:szCs w:val="17"/>
        </w:rPr>
        <w:t xml:space="preserve">ICONS Index Coverage Added — Push-Ups &amp; Single-Leg RDL (8/13/2026):  </w:t>
      </w:r>
      <w:r>
        <w:rPr>
          <w:rFonts w:ascii="Arial" w:cs="Arial" w:eastAsia="Arial" w:hAnsi="Arial"/>
          <w:color w:val="2C2C2C"/>
          <w:sz w:val="17"/>
          <w:szCs w:val="17"/>
        </w:rPr>
        <w:t xml:space="preserve">Push-Ups and Single-Leg RDL were genuinely absent from this program — not just lightly touched — and are added to close that gap: Push-Up (Day A, Block D, loaded-carry/core/conditioning) and Single-Leg RDL (Day B, Block B, primary hinge/squat). Both use the same descriptive-band load convention already established throughout this document (no tested 1RM battery exists yet to derive numbers from), and both are placed to preserve the Antagonist Rotation Rule's no-3-consecutive-same-pattern standard within their block — not waived for her Advanced level, per CLAUDE.md's explicit note that heavier absolute loads at an advanced level make that rule's underlying accumulated-stress mechanism higher-stakes, not lower. Both should be included in her first ICONS Baseline Testing Protocol session so these descriptive bands can convert to real numbers alongside the rest of the program.</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FULL-BODY STRENGTH I</w:t>
            </w:r>
          </w:p>
          <w:p>
            <w:pPr>
              <w:spacing w:after="30"/>
            </w:pPr>
            <w:r>
              <w:rPr>
                <w:rFonts w:ascii="Arial" w:cs="Arial" w:eastAsia="Arial" w:hAnsi="Arial"/>
                <w:b/>
                <w:bCs/>
                <w:color w:val="2C2C2C"/>
                <w:sz w:val="19"/>
                <w:szCs w:val="19"/>
              </w:rPr>
              <w:t xml:space="preserve">Squat, Push &amp; Loaded Carry Emphasis</w:t>
            </w:r>
          </w:p>
          <w:p>
            <w:r>
              <w:rPr>
                <w:rFonts w:ascii="Arial" w:cs="Arial" w:eastAsia="Arial" w:hAnsi="Arial"/>
                <w:b/>
                <w:bCs/>
                <w:color w:val="C9A227"/>
                <w:sz w:val="14"/>
                <w:szCs w:val="14"/>
              </w:rPr>
              <w:t xml:space="preserve">PRIMARY SQUAT &amp; PUSH STRENGTH · FULL-BODY EVERY SESSION · 60–70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Advanced full-body session — no technique day, no foundation ramp: squat, hinge, upper push, upper pull, and loaded carry/core all land in this one session, true to the two-day full-body structure requested. Restructured 8/20/2026 onto the ICONS Block Method: corrective → primary compound → accessory → secondary compound → integration closer. Control precedes power: the corrective/activation block opens every session before compound loading. Working sets run at 1-2 RIR — hard, never to failure. Heart-rate monitor on from warm-up through the closing integration block (see cardiac flag above) — the 160 bpm ceiling applies to every block, checked explicitly during Block 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&amp; ACTIVATION — CONTROL AND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Slot 1 of the ICONS Block Method. No Styku scan, movement screen, or PT note exists for this client, so this block is a general activation primer rather than a finding-specific corrective — that is stated honestly rather than dressed up as targeted corrective work, and it becomes finding-specific once the baseline assessment is on file.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C9A227"/>
          <w:sz w:val="17"/>
          <w:szCs w:val="17"/>
        </w:rPr>
        <w:t xml:space="preserve">B — PRIMARY COMPOUND — BARBELL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Slot 2 — the day's main lift and the heaviest work of the session, drawn from the 10 core ICONS Index movements. Coach options, same pattern, all runnable on the studio's rack and Olympic bar: Barbell Back Squat (the tracked anchor — this is the lift that gets retested), Front Squat (more upright torso, less lumbar shear), Box Squat (fixed depth when tolerance varies), or Goblet Squat at the 25 lb kettlebell ceiling for a lighter technique day. The anchor stays the anchor: substitute for a session, not for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w:t>
            </w:r>
            <w:r>
              <w:rPr>
                <w:rFonts w:ascii="Arial" w:cs="Arial" w:eastAsia="Arial" w:hAnsi="Arial"/>
                <w:i/>
                <w:iCs/>
                <w:color w:val="00695C"/>
                <w:sz w:val="14"/>
                <w:szCs w:val="14"/>
              </w:rPr>
              <w:t xml:space="preserve">  2 RIR — primary lift default</w:t>
            </w:r>
          </w:p>
        </w:tc>
      </w:tr>
    </w:tbl>
    <w:p>
      <w:pPr>
        <w:spacing w:after="100"/>
      </w:pPr>
    </w:p>
    <w:p>
      <w:pPr>
        <w:spacing w:after="60" w:before="120"/>
      </w:pPr>
      <w:r>
        <w:rPr>
          <w:rFonts w:ascii="Arial" w:cs="Arial" w:eastAsia="Arial" w:hAnsi="Arial"/>
          <w:b/>
          <w:bCs/>
          <w:color w:val="C9A227"/>
          <w:sz w:val="17"/>
          <w:szCs w:val="17"/>
        </w:rPr>
        <w:t xml:space="preserve">C — ACCESSORY — BULGARIAN SPLIT SQUAT</w:t>
      </w:r>
    </w:p>
    <w:p>
      <w:pPr>
        <w:spacing w:after="80"/>
      </w:pPr>
      <w:r>
        <w:rPr>
          <w:rFonts w:ascii="Arial" w:cs="Arial" w:eastAsia="Arial" w:hAnsi="Arial"/>
          <w:b/>
          <w:bCs/>
          <w:color w:val="C9A227"/>
          <w:sz w:val="17"/>
          <w:szCs w:val="17"/>
        </w:rPr>
        <w:t xml:space="preserve">Why This Follows the Squat:  </w:t>
      </w:r>
      <w:r>
        <w:rPr>
          <w:rFonts w:ascii="Arial" w:cs="Arial" w:eastAsia="Arial" w:hAnsi="Arial"/>
          <w:color w:val="2C2C2C"/>
          <w:sz w:val="17"/>
          <w:szCs w:val="17"/>
        </w:rPr>
        <w:t xml:space="preserve">Slot 3 — hypertrophy work supporting the primary, in the same knee-dominant pattern. A primary lift immediately followed by a close accessory in its own pattern is the pairing the Antagonist Rotation Rule explicitly allows; it is the *third* consecutive same-chain lift the rule forbids, which is why the hinge does not sit here (see Block 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C9A227"/>
          <w:sz w:val="17"/>
          <w:szCs w:val="17"/>
        </w:rPr>
        <w:t xml:space="preserve">D — SECONDARY COMPOUND — UPPER PUSH &amp; PULL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Slot 5 — a second compound in a genuinely different movement pattern from the squat, and the block that breaks the leg-chain run before the hinge. Paired sets: press then pull, 15 seconds between the pair, full rest after. Press options, all studio-available: Incline DB Bench Press (anchor, a core ICONS Index movement), Flat DB Press, Landmine Press, or Standing Barbell Overhead Press. Pull options: Single-Arm DB Row (anchor), Kieser Row, Chest-Supported Row, or Assisted Pull-Up on the machine. Dumbbells cap at 60 lbs/hand in this studio — progression past that moves to the barbell or the Kieser line, not to a heavier dumbbell.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heavy Kieser stack</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HINGE-TO-CARRY, CORE &amp; CONDITIONING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Slot 6 — the session's closer, built as the hinge-to-carry complex the Block Method names: the Romanian Deadlift loads the posterior chain, the suitcase carry then expresses that same braced hinge under load and locomotion, and core and kettlebell work finish it. Energy becomes identity — at a controlled pace, respecting the 160 bpm ceiling throughout. Hinge options: Romanian Deadlift (anchor), Trap Bar RDL, Single-Leg RDL, or Good Morning. Carry options: Suitcase Carry (anchor), Farmer Carry, Front Rack Carry, or a moderate-pace Sled Push. Check the HR monitor between every set in this block — ease pace immediately if approaching 160 bpm.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vest/plate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to a 3-count for advanced loading — brief effort, minimal HR carryover.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 Chest pain, dizziness, shortness of breath disproportionate to effort, or a monitor reading above 160 bpm is a hard stop for that set or the session — flag your coach immediately. On the strength side: advanced loading is about complexity and load, not grinding to failure — primary lifts sit at 2 RIR, hypertrophy-priority accessories at 1 RIR.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B — FULL-BODY STRENGTH II</w:t>
            </w:r>
          </w:p>
          <w:p>
            <w:pPr>
              <w:spacing w:after="30"/>
            </w:pPr>
            <w:r>
              <w:rPr>
                <w:rFonts w:ascii="Arial" w:cs="Arial" w:eastAsia="Arial" w:hAnsi="Arial"/>
                <w:b/>
                <w:bCs/>
                <w:color w:val="2C2C2C"/>
                <w:sz w:val="19"/>
                <w:szCs w:val="19"/>
              </w:rPr>
              <w:t xml:space="preserve">Hinge, Pull &amp; Peak Intensity Emphasis</w:t>
            </w:r>
          </w:p>
          <w:p>
            <w:r>
              <w:rPr>
                <w:rFonts w:ascii="Arial" w:cs="Arial" w:eastAsia="Arial" w:hAnsi="Arial"/>
                <w:b/>
                <w:bCs/>
                <w:color w:val="E53935"/>
                <w:sz w:val="14"/>
                <w:szCs w:val="14"/>
              </w:rPr>
              <w:t xml:space="preserve">PRIMARY HINGE &amp; PULL STRENGTH · NEAR-MAXIMAL LOADS · FULL RECOVERY BETWEEN SETS · 60–70 MIN</w:t>
            </w:r>
          </w:p>
        </w:tc>
      </w:tr>
    </w:tbl>
    <w:p>
      <w:pPr>
        <w:spacing w:after="100"/>
      </w:pPr>
    </w:p>
    <w:p>
      <w:pPr>
        <w:spacing w:after="100"/>
      </w:pPr>
      <w:r>
        <w:rPr>
          <w:rFonts w:ascii="Arial" w:cs="Arial" w:eastAsia="Arial" w:hAnsi="Arial"/>
          <w:b/>
          <w:bCs/>
          <w:color w:val="E53935"/>
          <w:sz w:val="17"/>
          <w:szCs w:val="17"/>
        </w:rPr>
        <w:t xml:space="preserve">Day B's Purpose:  </w:t>
      </w:r>
      <w:r>
        <w:rPr>
          <w:rFonts w:ascii="Arial" w:cs="Arial" w:eastAsia="Arial" w:hAnsi="Arial"/>
          <w:color w:val="2C2C2C"/>
          <w:sz w:val="17"/>
          <w:szCs w:val="17"/>
        </w:rPr>
        <w:t xml:space="preserve">Peak-intensity full-body session — near-maximal loads on the week's heaviest hinge and pull work, with full recovery between strength sets, no near-failure grinding. Same Block Method skeleton as Day A, sequenced hinge-and-pull-forward this session for balanced weekly emphasis. IMPORTANT: "peak intensity" here describes the resistance-training loads only — the closing integration block is deliberately capped well below an all-out effort per the 160 bpm cardiac ceiling (see cardiac flag above); the strength side of advanced programming is not restricted by that ceiling, only the sustained-conditioning side is.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&amp; ACTIVATION — HINGE PRIMER AND ANTI-ROTATION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Slot 1 — primes the hip hinge pattern and posterior shoulder before the day's heaviest lifts, and locks in anti-rotation core control ahead of the loaded carry. As on Day A, this is a general activation primer rather than a finding-specific corrective: no scan, screen, or PT note exists for this client yet.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E53935"/>
          <w:sz w:val="17"/>
          <w:szCs w:val="17"/>
        </w:rPr>
        <w:t xml:space="preserve">B — PRIMARY COMPOUND — TRAP BAR DEADLIFT</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Slot 2 — the week's heaviest resistance work, and a core ICONS Index movement. Full recovery between every set: near-maximal loading, not fatigue accumulation. This block is not affected by the cardiac ceiling the way conditioning is — controlled heavy sets with full rest between them do not sustain heart rate the way continuous circuit work does — but the monitor stays on throughout regardless. Hinge options, all studio-available: Trap Bar Deadlift (the tracked anchor), Conventional Barbell Deadlift, Sumo Deadlift, or Block/Rack Pulls to shorten the range while keeping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near-maximal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w:t>
            </w:r>
            <w:r>
              <w:rPr>
                <w:rFonts w:ascii="Arial" w:cs="Arial" w:eastAsia="Arial" w:hAnsi="Arial"/>
                <w:i/>
                <w:iCs/>
                <w:color w:val="00695C"/>
                <w:sz w:val="14"/>
                <w:szCs w:val="14"/>
              </w:rPr>
              <w:t xml:space="preserve">  2 RIR — primary lift default, even on a peak day</w:t>
            </w:r>
          </w:p>
        </w:tc>
      </w:tr>
    </w:tbl>
    <w:p>
      <w:pPr>
        <w:spacing w:after="100"/>
      </w:pPr>
    </w:p>
    <w:p>
      <w:pPr>
        <w:spacing w:after="60" w:before="120"/>
      </w:pPr>
      <w:r>
        <w:rPr>
          <w:rFonts w:ascii="Arial" w:cs="Arial" w:eastAsia="Arial" w:hAnsi="Arial"/>
          <w:b/>
          <w:bCs/>
          <w:color w:val="C9A227"/>
          <w:sz w:val="17"/>
          <w:szCs w:val="17"/>
        </w:rPr>
        <w:t xml:space="preserve">C — ACCESSORY — BARBELL HIP THRUST</w:t>
      </w:r>
    </w:p>
    <w:p>
      <w:pPr>
        <w:spacing w:after="80"/>
      </w:pPr>
      <w:r>
        <w:rPr>
          <w:rFonts w:ascii="Arial" w:cs="Arial" w:eastAsia="Arial" w:hAnsi="Arial"/>
          <w:b/>
          <w:bCs/>
          <w:color w:val="C9A227"/>
          <w:sz w:val="17"/>
          <w:szCs w:val="17"/>
        </w:rPr>
        <w:t xml:space="preserve">Why This Follows the Deadlift:  </w:t>
      </w:r>
      <w:r>
        <w:rPr>
          <w:rFonts w:ascii="Arial" w:cs="Arial" w:eastAsia="Arial" w:hAnsi="Arial"/>
          <w:color w:val="2C2C2C"/>
          <w:sz w:val="17"/>
          <w:szCs w:val="17"/>
        </w:rPr>
        <w:t xml:space="preserve">Slot 3 — glute-focused hypertrophy supporting the primary hinge. Second consecutive hip-dominant lift, which the Antagonist Rotation Rule permits as a primary-plus-accessory pair; the pattern breaks at Block D before a third could stack.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E53935"/>
          <w:sz w:val="17"/>
          <w:szCs w:val="17"/>
        </w:rPr>
        <w:t xml:space="preserve">D — SECONDARY COMPOUND — UPPER PULL &amp; PUSH SUPERSET</w:t>
      </w:r>
    </w:p>
    <w:p>
      <w:pPr>
        <w:spacing w:after="80"/>
      </w:pPr>
      <w:r>
        <w:rPr>
          <w:rFonts w:ascii="Arial" w:cs="Arial" w:eastAsia="Arial" w:hAnsi="Arial"/>
          <w:b/>
          <w:bCs/>
          <w:color w:val="E53935"/>
          <w:sz w:val="17"/>
          <w:szCs w:val="17"/>
        </w:rPr>
        <w:t xml:space="preserve">Format:  </w:t>
      </w:r>
      <w:r>
        <w:rPr>
          <w:rFonts w:ascii="Arial" w:cs="Arial" w:eastAsia="Arial" w:hAnsi="Arial"/>
          <w:color w:val="2C2C2C"/>
          <w:sz w:val="17"/>
          <w:szCs w:val="17"/>
        </w:rPr>
        <w:t xml:space="preserve">Slot 5 — the second compound pattern, and the block that breaks the hip-dominant run. Pull leads this session: paired sets, 15 seconds between the pair, full rest after. Pull options: Weighted Pull-Up or Chin-Up (anchor), Assisted Pull-Up on the machine, Kieser Pulldown, or Bent-Over Barbell Row. Press options: Close-Grip Bench Press (anchor), Weighted Dip, Landmine Press, or Standing DB Arnold Press. Dumbbell work caps at 60 lbs/hand in this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or Weighted Dip (Paired A2)</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UNILATERAL LEG, CARRY &amp; CONDITIONING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Slot 6 — the closer, pulling the day's patterns into one integrated expression: unilateral knee-dominant and unilateral hinge work, then the loaded carry, then a HR-capped conditioning finish. Deliberately steady-state-adjacent, not a HIIT interval finisher — per the cardiac flag the ceiling is 160 bpm and there is no all-out or sprint work anywhere in this program. HR monitor checked explicitly between every round; extend the easy portion of any round rather than pushing pace if approaching the ceiling. Carry options: Farmer Carry (anchor), Suitcase Carry, Front Rack Carry, or a moderate-pace Sled Push.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advanced target is unassisted. Left leg leads first.</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E's bike/rower circuit and between carry sets. Chest pain, dizziness, shortness of breath disproportionate to effort, or a monitor reading above 160 bpm is a hard stop for that set or the session — flag your coach immediately. On the strength side: near-maximal does not mean near-failure — primary lifts hold 2 RIR even on a peak day, hypertrophy-priority accessories 1 RIR. Full recovery between the heaviest sets is what makes the load legitimate; rushing rest defeats the purpose of a peak-intensity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2 RIR at target reps with clean form. Log every set — this becomes the numeric baseline once a Styku scan and battery are on file. Cardiac ceiling (160 bpm) applies to Block D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Peak Intensity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peak intensity — full recovery, never grind. Block D stays HR-capped, moderate effort. Prioritize completing the ICONS Baseline Testing Protocol before Week 3 to convert descriptive loads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protein/creatine targets. Until then, track RIR and load progression qualitatively — add weight only when the prescribed reps land at 1-2 RIR with clean form. Confirm the HR monitor has not read above 160 bpm in any session; if it has, flag for a programming review before continuing.</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(protein/creatine targets) gets added once weight is known. Confirm your exact age at that session so age-bracket guidance is set precisely rather than as a working estimate. Re-confirm cardiac clearance/coordination status before increasing conditioning-block duration or intensity beyond what is prescribed here.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8-week "rescan" in the usual sense — this is the baseline scan. Recommend scheduling it at her next session per the ICONS Baseline Testing Protocol; results should be used to revise this document from descriptive to numeric prescriptions. Cardiac status/HR-ceiling clearance should be reconfirmed with her physician/cardiologist at or before this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2026-08-20T21:50:09.099Z</dcterms:created>
  <dcterms:modified xsi:type="dcterms:W3CDTF">2026-08-20T21:50:09.099Z</dcterms:modified>
</cp:coreProperties>
</file>

<file path=docProps/custom.xml><?xml version="1.0" encoding="utf-8"?>
<Properties xmlns="http://schemas.openxmlformats.org/officeDocument/2006/custom-properties" xmlns:vt="http://schemas.openxmlformats.org/officeDocument/2006/docPropsVTypes"/>
</file>