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 runs 2.6–3.6× larger than 0.5 lb per an external evidence review. Recomputed against this client’s actual numbers: Left Leg 15.7 lbs / Right Leg 16.5 lbs is a 0.8 lb gap but only ~5.0% relative, which met the OLD trigger comfortably and does NOT clear the corrected ≥10% threshold. No arm segmental data is on file at all. Per the Nicolette Scott precedent, the left-leg-leads prescription already programmed throughout this document (Single-Leg Glute Bridge, Step-Up, Lateral Lunge, Single-Leg RDL, Suitcase Carry, Reverse Wall Lunge, Pistol Squat) is left UNCHANGED pending a dedicated per-client review — this note exists to make the discrepancy visible for that review, not to resolve it silently. A functional single-leg strength test would settle it; the corrected protocol prefers one over an imaging-derived lean-mass gap.</w:t>
      </w:r>
    </w:p>
    <w:p>
      <w:pPr>
        <w:spacing w:after="100"/>
      </w:pPr>
      <w:r>
        <w:rPr>
          <w:rFonts w:ascii="Arial" w:cs="Arial" w:eastAsia="Arial" w:hAnsi="Arial"/>
          <w:b/>
          <w:bCs/>
          <w:color w:val="E65100"/>
          <w:sz w:val="17"/>
          <w:szCs w:val="17"/>
        </w:rPr>
        <w:t xml:space="preserve">Clinical Framework Scope &amp; Data Gaps:  </w:t>
      </w:r>
      <w:r>
        <w:rPr>
          <w:rFonts w:ascii="Arial" w:cs="Arial" w:eastAsia="Arial" w:hAnsi="Arial"/>
          <w:color w:val="2C2C2C"/>
          <w:sz w:val="17"/>
          <w:szCs w:val="17"/>
        </w:rPr>
        <w:t xml:space="preserve">Age 35 places her at the 20–35 / 35–45 bracket boundary; no numeric threshold differs between them at this exact age. Protein sits at the active-women general 1.6 g/kg tier (neither ALST At-Risk nor 40+) and creatine is indicated, not strongly indicated. The "ICONS Index Full-Spectrum Progression Standard" is scoped to women 40–55 and is NOT applied to her as a requirement. Data gaps on file, none of them invented: her 6/17/2026 Styku record carries body fat %, lean mass, Shape Score and leg segmental LST only — no ALST index, VFA, BMI, bone mass, BMR or arm segmental LST — which is why no stykuBlock() renders and why no ALST-driven escalation is applied. Perimenopausal-status screening is not applicable at 35. No cardiac, OA, postpartum or GLP-1 flags are on file.</w:t>
      </w:r>
    </w:p>
    <w:p>
      <w:pPr>
        <w:spacing w:after="100"/>
      </w:pPr>
      <w:r>
        <w:rPr>
          <w:rFonts w:ascii="Arial" w:cs="Arial" w:eastAsia="Arial" w:hAnsi="Arial"/>
          <w:b/>
          <w:bCs/>
          <w:color w:val="E65100"/>
          <w:sz w:val="17"/>
          <w:szCs w:val="17"/>
        </w:rPr>
        <w:t xml:space="preserve">Document Provenance — First Engine Build (8/18/2026):  </w:t>
      </w:r>
      <w:r>
        <w:rPr>
          <w:rFonts w:ascii="Arial" w:cs="Arial" w:eastAsia="Arial" w:hAnsi="Arial"/>
          <w:color w:val="2C2C2C"/>
          <w:sz w:val="17"/>
          <w:szCs w:val="17"/>
        </w:rPr>
        <w:t xml:space="preserve">This is the first script-driven build of Kelly’s program. Her delivered .docx previously doubled as the engine’s byte-identical XML-audit reference, which is why she was the only client on the roster with no build script, no Client View, and no route for a documented safety finding to reach her document. The reference artifact is now frozen separately at system_documents/reference/Kelly_Mulroy_5Day_Training_Plan_ENGINE_REFERENCE.docx and is the engine standard going forward; this document is her live program and is revised like any other client’s. Program content below is reproduced verbatim from the frozen reference except for the clinical additions and RIR prescriptions dated 8/18/2026.</w:t>
      </w:r>
    </w:p>
    <w:p>
      <w:pPr>
        <w:spacing w:after="100"/>
      </w:pPr>
      <w:r>
        <w:rPr>
          <w:rFonts w:ascii="Arial" w:cs="Arial" w:eastAsia="Arial" w:hAnsi="Arial"/>
          <w:b/>
          <w:bCs/>
          <w:color w:val="E65100"/>
          <w:sz w:val="17"/>
          <w:szCs w:val="17"/>
        </w:rPr>
        <w:t xml:space="preserve">Session Architecture — ICONS Block Method Restructure (8/19/2026):  </w:t>
      </w:r>
      <w:r>
        <w:rPr>
          <w:rFonts w:ascii="Arial" w:cs="Arial" w:eastAsia="Arial" w:hAnsi="Arial"/>
          <w:color w:val="2C2C2C"/>
          <w:sz w:val="17"/>
          <w:szCs w:val="17"/>
        </w:rPr>
        <w:t xml:space="preserve">Days 1–4 restructured to the ICONS Block Method six-slot order (Corrective → Primary Compound → Accessory → Jason's Exercise → Secondary Compound → Third Compound/Integration); Sunday AR deliberately untouched (no compound lifts to slot). Organizational only — every exercise, baseline, load, RIR tier, stop-signal placement and left-lead prescription preserved; no RIR tier changed. Slot 4 omitted on every day: Jason Bethea's documented exercises for Kelly (crab walk primer, anti-valgus ladder, home glute-med program) are corrective in nature and are consumed by the corrective slots exactly as his documentation used them, per the pilot precedent. Judgment calls: (1) Tuesday's Anti-Valgus Progression moved UP from the end of the session to the second corrective block — the 8/18 end-of-session placement was a build choice, not a documented Jason sequence, and corrective work belongs fresh, before loading; internal order preserved. (2) Wednesday/Friday slot 1 honestly omitted — no documented corrective exists for her upper-body days, and filler is forbidden. (3) Friday's accessory slot is absorbed into the primary/secondary blocks (pull-up progression, trap-bar shrug are in-block accessories). (4) New light integration closers on TUE (suitcase carry 20–25 lbs left lead, anchored below Friday's 25–30 lb suitcase load), THU (farmer carry 25–30 lbs/hand, below the 35 lb baseline, hinge stop-signal explicitly on the pickup); WED's closer is the existing Plank migrated to slot 6; FRI's is the existing core/posture/push-up-test block retitled. (5) Warm-up drift rule: "light DB warm-up press 2×10" promoted from WED/FRI warmUp prose into ramp rows (3+ RIR). Compound-slot options menus: every hinge option carries the stop-signal verbatim; every squat option keeps the band-above-knees tracking standard; REJECTED on constraint grounds — any barbell squat option (her document defers the barbell until tracking is consistently clean), kettlebell/DB swing as a hinge alternate (ballistic hip hinge under an active lumbar stop-signal), and a barbell push press on the 90% day (momentum overhead adds nothing a near-maximal strict press doesn't already track). Cable → Kieser renames throughout (pulldown, face pull, seated row, adductor pull, tricep pushdown, pallof); hex bar named as the carry vehicle past 60 lbs/hand for the Week 8 target. The travel plan was revised at the same touch with the identical restructure translated to hotel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60" w:before="120"/>
      </w:pPr>
      <w:r>
        <w:rPr>
          <w:rFonts w:ascii="Arial" w:cs="Arial" w:eastAsia="Arial" w:hAnsi="Arial"/>
          <w:b/>
          <w:bCs/>
          <w:color w:val="C9A227"/>
          <w:sz w:val="17"/>
          <w:szCs w:val="17"/>
        </w:rPr>
        <w:t xml:space="preserve">D — ACCESSORY — UNILATERAL LOWER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2026-08-20T21:50:09.438Z</dcterms:created>
  <dcterms:modified xsi:type="dcterms:W3CDTF">2026-08-20T21:50:09.438Z</dcterms:modified>
</cp:coreProperties>
</file>

<file path=docProps/custom.xml><?xml version="1.0" encoding="utf-8"?>
<Properties xmlns="http://schemas.openxmlformats.org/officeDocument/2006/custom-properties" xmlns:vt="http://schemas.openxmlformats.org/officeDocument/2006/docPropsVTypes"/>
</file>