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Days 2 and 3 in this program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C9A227"/>
          <w:sz w:val="17"/>
          <w:szCs w:val="17"/>
        </w:rPr>
        <w:t xml:space="preserve">Session Architecture — ICONS Block Method Pilot (8/18/2026):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see CLAUDE.md). Restructure is organizational only — every clinical element (left-hip tendinitis flags on all 6 hip-loaded exercises, shoulder reintroduction protocol, scapular gate, both asymmetry leads, pelvic-floor auto-fire on Days 2-3, protein bar on all days) and every Wk1→Wk4 load survives verbatim. What moved: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carries/core/power/finisher retained as post-architecture standing blocks (no named slot in the five-slot format — a pilot friction finding). Accessory-slot RIR held at 2 (not the 1-RIR default) on both hip-flagged accessories (SL Stance Squat, Hip Thrust) as a deliberate clinical override during active tendinitis rehab.</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F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2026-08-18T19:08:02.691Z</dcterms:created>
  <dcterms:modified xsi:type="dcterms:W3CDTF">2026-08-18T19:08:02.692Z</dcterms:modified>
</cp:coreProperties>
</file>

<file path=docProps/custom.xml><?xml version="1.0" encoding="utf-8"?>
<Properties xmlns="http://schemas.openxmlformats.org/officeDocument/2006/custom-properties" xmlns:vt="http://schemas.openxmlformats.org/officeDocument/2006/docPropsVTypes"/>
</file>