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all days — no Jason Bethea relationship on file, re-verified. Slot 1: Day 2's existing corrective circuit; Day 3 opens with Band Pull-Apart resequenced out of the old pull block as scapular/cuff preparation before pressing (serves the clinical note's own "rotator cuff and scapular stability work every session" instruction with existing content); Day 1 omitted (warm-up activation only, legitimately in prose). One latent fix: Day 1's bodyweight pattern set now renders before the loaded goblet squat, matching its own cue. New Day 1 integration carry (20-25 lb/hand) anchors at/below the tested 25 lb/hand baseline. Wk1→Wk4 convention applied only where documented targets exist (Goblet 35→40-42.5, Hip Thrust 45→55-60 from milestones4wk; RDL 17.5→20-22.5 by Wk8 from the baselines table); shoulder-governed lifts deliberately keep flat controlled loads — their progression is capacity-governed by the right-shoulder protocol. Day 2 Block A intro's retired screening-as-risk-prediction ACL framing corrected to injury-prevention framing (Nicolette Scott precedent — exercises unchanged). Options menus constraint-filtered: every press option carries the right-leads/controlled-load rule and no near-maximal bilateral overhead option is listed; every unilateral lower option is left-led; KB goblet excluded (35 lb load &gt; 25 lb KB ceiling). Deload: autoregulated combined model (25, robust, moderate intensities, no rehab flags). Carry-hand policy unchanged: sides even — the arm LST gap is below the ≥10% trigger and the shoulder force deficit is governed by its own controlled-load rule, so no carry lead is fabricated.</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2026-08-19T15:26:52.090Z</dcterms:created>
  <dcterms:modified xsi:type="dcterms:W3CDTF">2026-08-19T15:26:52.090Z</dcterms:modified>
</cp:coreProperties>
</file>

<file path=docProps/custom.xml><?xml version="1.0" encoding="utf-8"?>
<Properties xmlns="http://schemas.openxmlformats.org/officeDocument/2006/custom-properties" xmlns:vt="http://schemas.openxmlformats.org/officeDocument/2006/docPropsVTypes"/>
</file>