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reassess at 8-week retest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reassess at 8-week retest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Optimal — 7.23 kg/m²:  </w:t>
      </w:r>
      <w:r>
        <w:rPr>
          <w:rFonts w:ascii="Arial" w:cs="Arial" w:eastAsia="Arial" w:hAnsi="Arial"/>
          <w:color w:val="2C2C2C"/>
          <w:sz w:val="17"/>
          <w:szCs w:val="17"/>
        </w:rPr>
        <w:t xml:space="preserve">Above the 7.0 kg/m² EWGSOP2 optimal threshold.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E65100"/>
          <w:sz w:val="17"/>
          <w:szCs w:val="17"/>
        </w:rPr>
        <w:t xml:space="preserve">VFA 142.7 cm² — Moderate Cardiometabolic Risk:  </w:t>
      </w:r>
      <w:r>
        <w:rPr>
          <w:rFonts w:ascii="Arial" w:cs="Arial" w:eastAsia="Arial" w:hAnsi="Arial"/>
          <w:color w:val="2C2C2C"/>
          <w:sz w:val="17"/>
          <w:szCs w:val="17"/>
        </w:rPr>
        <w:t xml:space="preserve">Falls in the 100–149 cm² moderate-risk band. Drives the metabolic finisher on every training day — brisk, sustainable conditioning, not max-effort testing.</w:t>
      </w:r>
    </w:p>
    <w:p>
      <w:pPr>
        <w:spacing w:after="100"/>
      </w:pPr>
      <w:r>
        <w:rPr>
          <w:rFonts w:ascii="Arial" w:cs="Arial" w:eastAsia="Arial" w:hAnsi="Arial"/>
          <w:b/>
          <w:bCs/>
          <w:color w:val="E65100"/>
          <w:sz w:val="17"/>
          <w:szCs w:val="17"/>
        </w:rPr>
        <w:t xml:space="preserve">Body Fat 40.4% At-Risk:  </w:t>
      </w:r>
      <w:r>
        <w:rPr>
          <w:rFonts w:ascii="Arial" w:cs="Arial" w:eastAsia="Arial" w:hAnsi="Arial"/>
          <w:color w:val="2C2C2C"/>
          <w:sz w:val="17"/>
          <w:szCs w:val="17"/>
        </w:rPr>
        <w:t xml:space="preserve">Tracked alongside VFA as the cardiometabolic/fat-loss priority for this block. Reassess at the 8-week Styku rescan.</w:t>
      </w:r>
    </w:p>
    <w:p>
      <w:pPr>
        <w:spacing w:after="100"/>
      </w:pPr>
      <w:r>
        <w:rPr>
          <w:rFonts w:ascii="Arial" w:cs="Arial" w:eastAsia="Arial" w:hAnsi="Arial"/>
          <w:b/>
          <w:bCs/>
          <w:color w:val="00695C"/>
          <w:sz w:val="17"/>
          <w:szCs w:val="17"/>
        </w:rPr>
        <w:t xml:space="preserve">Left Leg Asymmetry — 17.5 vs 18.0 lbs LST:  </w:t>
      </w:r>
      <w:r>
        <w:rPr>
          <w:rFonts w:ascii="Arial" w:cs="Arial" w:eastAsia="Arial" w:hAnsi="Arial"/>
          <w:color w:val="2C2C2C"/>
          <w:sz w:val="17"/>
          <w:szCs w:val="17"/>
        </w:rPr>
        <w:t xml:space="preserve">Gap of 0.5 lbs meets the asymmetry protocol trigger. LEFT leg leads every unilateral lower-body exercise. Log left vs. right loads separately.</w:t>
      </w:r>
    </w:p>
    <w:p>
      <w:pPr>
        <w:spacing w:after="100"/>
      </w:pPr>
      <w:r>
        <w:rPr>
          <w:rFonts w:ascii="Arial" w:cs="Arial" w:eastAsia="Arial" w:hAnsi="Arial"/>
          <w:b/>
          <w:bCs/>
          <w:color w:val="00695C"/>
          <w:sz w:val="17"/>
          <w:szCs w:val="17"/>
        </w:rPr>
        <w:t xml:space="preserve">Right Arm — 8.4 vs 8.7 lbs LST (Monitor Only):  </w:t>
      </w:r>
      <w:r>
        <w:rPr>
          <w:rFonts w:ascii="Arial" w:cs="Arial" w:eastAsia="Arial" w:hAnsi="Arial"/>
          <w:color w:val="2C2C2C"/>
          <w:sz w:val="17"/>
          <w:szCs w:val="17"/>
        </w:rPr>
        <w:t xml:space="preserve">Gap of 0.3 lbs sits below the 0.5 lb asymmetry-protocol threshold. Logged per side on single-arm row and suitcase carry as routine monitoring, not a formal lead-side prescription.</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E65100"/>
          <w:sz w:val="17"/>
          <w:szCs w:val="17"/>
        </w:rPr>
        <w:t xml:space="preserve">Baselines Table Scope — Confirmed Tested Lifts Only:  </w:t>
      </w:r>
      <w:r>
        <w:rPr>
          <w:rFonts w:ascii="Arial" w:cs="Arial" w:eastAsia="Arial" w:hAnsi="Arial"/>
          <w:color w:val="2C2C2C"/>
          <w:sz w:val="17"/>
          <w:szCs w:val="17"/>
        </w:rPr>
        <w:t xml:space="preserve">The table above lists only the lifts this program explicitly documents as tested (Hip Thrust, Seated OHP) or explicitly documents as newly established this week (Goblet Squat, Trap Bar Deadlift). Other core ICONS movements in this program — DB Farmers Carry, Plank Hold, Incline DB Press, Single-Leg RDL, Reverse Lunge, Incline Push-Up — carry real current working loads in their exercise tables but are not labeled tested or untested anywhere in the source record, so their loads are not presented here as confirmed baselines. Confirm with the trainer whether these were part of the same initial battery before treating them as retest-tracked baselines.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already optimal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Brace before lifting, exhale on exertion — no breath-holding.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Farmers Carry is bilateral load-bearing — same pelvic floor bracing cue applies before every pass.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Styku segmental LST shows a 0.5 lb deficit (17.5 vs 18.0 lbs), exactly at the asymmetry protocol trigger.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Brace before lifting, exhale on exertion — no breath-holding.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STRENGTH —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the goal is a clean, repeatable pattern for 8-week testing,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UNILATERAL LEG —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Styku scan shows a 0.5 lb left-leg deficit (L 17.5 / R 18.0) — at the asymmetry trigger threshold. Left leg leads every set below;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deficit on Styku (0.3 lb gap — below the formal 0.5 lb trigger, tracked as routine monitoring).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Brace before lifting, exhale on exertion — no breath-holding.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on all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Suitcase carry loads the pelvic floor bracing pattern under single-side load — same cue as flagged above. Single-arm row and suitcase carry track L/R per the marginal Styku arm gap.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though below the formal asymmetry trigger.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VFA and body fat % trending down from 142.7 cm² / 40.4%. Left/right leg LST gap reduced from 0.5 lbs.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(baseline 0.5 lb), right arm LST gap (baseline 0.3 lb, monitor for trigger), ALST maintenance (currently optimal at 7.23 kg/m²).</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2026-08-13T11:54:27.561Z</dcterms:created>
  <dcterms:modified xsi:type="dcterms:W3CDTF">2026-08-13T11:54:27.563Z</dcterms:modified>
</cp:coreProperties>
</file>

<file path=docProps/custom.xml><?xml version="1.0" encoding="utf-8"?>
<Properties xmlns="http://schemas.openxmlformats.org/officeDocument/2006/custom-properties" xmlns:vt="http://schemas.openxmlformats.org/officeDocument/2006/docPropsVTypes"/>
</file>