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rPr>
          <w:b/>
          <w:bCs/>
          <w:sz w:val="24"/>
          <w:szCs w:val="24"/>
        </w:rPr>
        <w:t xml:space="preserve">УТВЕРЖДАЮ</w:t>
      </w:r>
    </w:p>
    <w:p>
      <w:pPr>
        <w:spacing w:after="80"/>
        <w:jc w:val="right"/>
      </w:pPr>
      <w:r>
        <w:rPr>
          <w:sz w:val="22"/>
          <w:szCs w:val="22"/>
        </w:rPr>
        <w:t xml:space="preserve">____________________________</w:t>
      </w:r>
    </w:p>
    <w:p>
      <w:pPr>
        <w:spacing w:after="80"/>
        <w:jc w:val="right"/>
      </w:pPr>
      <w:r>
        <w:rPr>
          <w:i/>
          <w:iCs/>
          <w:color w:val="5A6B7B"/>
          <w:sz w:val="18"/>
          <w:szCs w:val="18"/>
        </w:rPr>
        <w:t xml:space="preserve">(должность, ФИО уполномоченного лица)</w:t>
      </w:r>
    </w:p>
    <w:p>
      <w:pPr>
        <w:spacing w:after="600"/>
        <w:jc w:val="right"/>
      </w:pPr>
      <w:r>
        <w:rPr>
          <w:sz w:val="22"/>
          <w:szCs w:val="22"/>
        </w:rPr>
        <w:t xml:space="preserve">«____» __________________ 20___ г.</w:t>
      </w:r>
    </w:p>
    <w:p>
      <w:pPr>
        <w:spacing w:after="120" w:before="400"/>
        <w:jc w:val="center"/>
      </w:pPr>
      <w:r>
        <w:rPr>
          <w:b/>
          <w:bCs/>
          <w:color w:val="1F4E79"/>
          <w:sz w:val="44"/>
          <w:szCs w:val="44"/>
        </w:rPr>
        <w:t xml:space="preserve">ТЕХНИЧЕСКОЕ ЗАДАНИЕ</w:t>
      </w:r>
    </w:p>
    <w:p>
      <w:pPr>
        <w:spacing w:after="80"/>
        <w:jc w:val="center"/>
      </w:pPr>
      <w:r>
        <w:rPr>
          <w:sz w:val="28"/>
          <w:szCs w:val="28"/>
        </w:rPr>
        <w:t xml:space="preserve">на создание Единого портала государственных услуг</w:t>
      </w:r>
    </w:p>
    <w:p>
      <w:pPr>
        <w:spacing w:after="80"/>
        <w:jc w:val="center"/>
      </w:pPr>
      <w:r>
        <w:rPr>
          <w:b/>
          <w:bCs/>
          <w:color w:val="1F4E79"/>
          <w:sz w:val="28"/>
          <w:szCs w:val="28"/>
        </w:rPr>
        <w:t xml:space="preserve">Республики Таджикистан «eKhizmat»</w:t>
      </w:r>
    </w:p>
    <w:p>
      <w:pPr>
        <w:spacing w:after="360"/>
        <w:jc w:val="center"/>
      </w:pPr>
      <w:r>
        <w:rPr>
          <w:i/>
          <w:iCs/>
          <w:color w:val="5A6B7B"/>
          <w:sz w:val="22"/>
          <w:szCs w:val="22"/>
        </w:rPr>
        <w:t xml:space="preserve">(цифровая сервисная платформа предоставления государственных услуг)</w:t>
      </w:r>
    </w:p>
    <w:p>
      <w:pPr>
        <w:pBdr>
          <w:top w:val="single" w:color="2E75B6" w:sz="8" w:space="6"/>
          <w:bottom w:val="single" w:color="2E75B6" w:sz="8" w:space="6"/>
        </w:pBdr>
        <w:spacing w:after="120" w:before="120"/>
        <w:jc w:val="center"/>
      </w:pPr>
      <w:r>
        <w:rPr>
          <w:b/>
          <w:bCs/>
          <w:sz w:val="22"/>
          <w:szCs w:val="22"/>
        </w:rPr>
        <w:t xml:space="preserve">Микросервисная архитектура · Low-Code · Сквозная автоматизация процессов</w:t>
      </w:r>
    </w:p>
    <w:p>
      <w:pPr>
        <w:spacing w:after="60" w:before="200"/>
        <w:jc w:val="center"/>
      </w:pPr>
      <w:r>
        <w:rPr>
          <w:color w:val="5A6B7B"/>
          <w:sz w:val="20"/>
          <w:szCs w:val="20"/>
        </w:rPr>
        <w:t xml:space="preserve">Единая модель данных · Информационная безопасность · Межведомственное взаимодействие</w:t>
      </w:r>
    </w:p>
    <w:p>
      <w:pPr>
        <w:spacing w:after="60" w:before="600"/>
        <w:jc w:val="center"/>
      </w:pPr>
      <w:r>
        <w:rPr>
          <w:sz w:val="22"/>
          <w:szCs w:val="22"/>
        </w:rPr>
        <w:t xml:space="preserve">Душанбе · 2026 г.</w:t>
      </w:r>
    </w:p>
    <w:p>
      <w:r>
        <w:br w:type="page"/>
      </w:r>
    </w:p>
    <w:p>
      <w:pPr>
        <w:spacing w:after="200"/>
      </w:pPr>
      <w:r>
        <w:rPr>
          <w:b/>
          <w:bCs/>
          <w:color w:val="1F4E79"/>
          <w:sz w:val="30"/>
          <w:szCs w:val="30"/>
        </w:rPr>
        <w:t xml:space="preserve">Содержание</w:t>
      </w:r>
    </w:p>
    <w:p>
      <w:pPr>
        <w:spacing w:after="60" w:before="80" w:line="252"/>
      </w:pPr>
      <w:r>
        <w:rPr>
          <w:b/>
          <w:bCs/>
          <w:color w:val="2E75B6"/>
          <w:sz w:val="21"/>
          <w:szCs w:val="21"/>
        </w:rPr>
        <w:t xml:space="preserve">1. Общие положения</w:t>
      </w:r>
      <w:r>
        <w:rPr>
          <w:color w:val="5A6B7B"/>
          <w:sz w:val="20"/>
          <w:szCs w:val="20"/>
        </w:rPr>
        <w:ptab w:alignment="right" w:relativeTo="margin" w:leader="dot"/>
        <w:t xml:space="preserve">5</w:t>
      </w:r>
    </w:p>
    <w:p>
      <w:pPr>
        <w:spacing w:after="60" w:before="80" w:line="252"/>
      </w:pPr>
      <w:r>
        <w:rPr>
          <w:b/>
          <w:bCs/>
          <w:color w:val="2E75B6"/>
          <w:sz w:val="21"/>
          <w:szCs w:val="21"/>
        </w:rPr>
        <w:t xml:space="preserve">2. Назначение и цели создания системы</w:t>
      </w:r>
      <w:r>
        <w:rPr>
          <w:color w:val="5A6B7B"/>
          <w:sz w:val="20"/>
          <w:szCs w:val="20"/>
        </w:rPr>
        <w:ptab w:alignment="right" w:relativeTo="margin" w:leader="dot"/>
        <w:t xml:space="preserve">8</w:t>
      </w:r>
    </w:p>
    <w:p>
      <w:pPr>
        <w:spacing w:after="30" w:before="0" w:line="252"/>
        <w:ind w:left="360"/>
      </w:pPr>
      <w:r>
        <w:rPr>
          <w:b w:val="false"/>
          <w:bCs w:val="false"/>
          <w:color w:val="1A1A1A"/>
          <w:sz w:val="20"/>
          <w:szCs w:val="20"/>
        </w:rPr>
        <w:t xml:space="preserve">2А. Контекст, границы и заинтересованные стороны</w:t>
      </w:r>
      <w:r>
        <w:rPr>
          <w:color w:val="5A6B7B"/>
          <w:sz w:val="20"/>
          <w:szCs w:val="20"/>
        </w:rPr>
        <w:ptab w:alignment="right" w:relativeTo="margin" w:leader="dot"/>
        <w:t xml:space="preserve">9</w:t>
      </w:r>
    </w:p>
    <w:p>
      <w:pPr>
        <w:spacing w:after="60" w:before="80" w:line="252"/>
      </w:pPr>
      <w:r>
        <w:rPr>
          <w:b/>
          <w:bCs/>
          <w:color w:val="2E75B6"/>
          <w:sz w:val="21"/>
          <w:szCs w:val="21"/>
        </w:rPr>
        <w:t xml:space="preserve">3. Ключевые принципы построения системы</w:t>
      </w:r>
      <w:r>
        <w:rPr>
          <w:color w:val="5A6B7B"/>
          <w:sz w:val="20"/>
          <w:szCs w:val="20"/>
        </w:rPr>
        <w:ptab w:alignment="right" w:relativeTo="margin" w:leader="dot"/>
        <w:t xml:space="preserve">11</w:t>
      </w:r>
    </w:p>
    <w:p>
      <w:pPr>
        <w:spacing w:after="60" w:before="80" w:line="252"/>
      </w:pPr>
      <w:r>
        <w:rPr>
          <w:b/>
          <w:bCs/>
          <w:color w:val="2E75B6"/>
          <w:sz w:val="21"/>
          <w:szCs w:val="21"/>
        </w:rPr>
        <w:t xml:space="preserve">4. Требования к архитектуре системы</w:t>
      </w:r>
      <w:r>
        <w:rPr>
          <w:color w:val="5A6B7B"/>
          <w:sz w:val="20"/>
          <w:szCs w:val="20"/>
        </w:rPr>
        <w:ptab w:alignment="right" w:relativeTo="margin" w:leader="dot"/>
        <w:t xml:space="preserve">12</w:t>
      </w:r>
    </w:p>
    <w:p>
      <w:pPr>
        <w:spacing w:after="30" w:before="0" w:line="252"/>
        <w:ind w:left="360"/>
      </w:pPr>
      <w:r>
        <w:rPr>
          <w:b w:val="false"/>
          <w:bCs w:val="false"/>
          <w:color w:val="1A1A1A"/>
          <w:sz w:val="20"/>
          <w:szCs w:val="20"/>
        </w:rPr>
        <w:t xml:space="preserve">4.0. Сводная архитектурная схема (целевая редакция)</w:t>
      </w:r>
      <w:r>
        <w:rPr>
          <w:color w:val="5A6B7B"/>
          <w:sz w:val="20"/>
          <w:szCs w:val="20"/>
        </w:rPr>
        <w:ptab w:alignment="right" w:relativeTo="margin" w:leader="dot"/>
        <w:t xml:space="preserve">12</w:t>
      </w:r>
    </w:p>
    <w:p>
      <w:pPr>
        <w:spacing w:after="30" w:before="0" w:line="252"/>
        <w:ind w:left="360"/>
      </w:pPr>
      <w:r>
        <w:rPr>
          <w:b w:val="false"/>
          <w:bCs w:val="false"/>
          <w:color w:val="1A1A1A"/>
          <w:sz w:val="20"/>
          <w:szCs w:val="20"/>
        </w:rPr>
        <w:t xml:space="preserve">4А. Архитектура: детальная проработка</w:t>
      </w:r>
      <w:r>
        <w:rPr>
          <w:color w:val="5A6B7B"/>
          <w:sz w:val="20"/>
          <w:szCs w:val="20"/>
        </w:rPr>
        <w:ptab w:alignment="right" w:relativeTo="margin" w:leader="dot"/>
        <w:t xml:space="preserve">16</w:t>
      </w:r>
    </w:p>
    <w:p>
      <w:pPr>
        <w:spacing w:after="30" w:before="0" w:line="252"/>
        <w:ind w:left="360"/>
      </w:pPr>
      <w:r>
        <w:rPr>
          <w:b w:val="false"/>
          <w:bCs w:val="false"/>
          <w:color w:val="1A1A1A"/>
          <w:sz w:val="20"/>
          <w:szCs w:val="20"/>
        </w:rPr>
        <w:t xml:space="preserve">4Б. Детальные спецификации доменных сервисов</w:t>
      </w:r>
      <w:r>
        <w:rPr>
          <w:color w:val="5A6B7B"/>
          <w:sz w:val="20"/>
          <w:szCs w:val="20"/>
        </w:rPr>
        <w:ptab w:alignment="right" w:relativeTo="margin" w:leader="dot"/>
        <w:t xml:space="preserve">22</w:t>
      </w:r>
    </w:p>
    <w:p>
      <w:pPr>
        <w:spacing w:after="60" w:before="80" w:line="252"/>
      </w:pPr>
      <w:r>
        <w:rPr>
          <w:b/>
          <w:bCs/>
          <w:color w:val="2E75B6"/>
          <w:sz w:val="21"/>
          <w:szCs w:val="21"/>
        </w:rPr>
        <w:t xml:space="preserve">5. Технологический стек</w:t>
      </w:r>
      <w:r>
        <w:rPr>
          <w:color w:val="5A6B7B"/>
          <w:sz w:val="20"/>
          <w:szCs w:val="20"/>
        </w:rPr>
        <w:ptab w:alignment="right" w:relativeTo="margin" w:leader="dot"/>
        <w:t xml:space="preserve">44</w:t>
      </w:r>
    </w:p>
    <w:p>
      <w:pPr>
        <w:spacing w:after="30" w:before="0" w:line="252"/>
        <w:ind w:left="360"/>
      </w:pPr>
      <w:r>
        <w:rPr>
          <w:b w:val="false"/>
          <w:bCs w:val="false"/>
          <w:color w:val="1A1A1A"/>
          <w:sz w:val="20"/>
          <w:szCs w:val="20"/>
        </w:rPr>
        <w:t xml:space="preserve">5А. Платформенные возможности: детальная проработка</w:t>
      </w:r>
      <w:r>
        <w:rPr>
          <w:color w:val="5A6B7B"/>
          <w:sz w:val="20"/>
          <w:szCs w:val="20"/>
        </w:rPr>
        <w:ptab w:alignment="right" w:relativeTo="margin" w:leader="dot"/>
        <w:t xml:space="preserve">47</w:t>
      </w:r>
    </w:p>
    <w:p>
      <w:pPr>
        <w:spacing w:after="30" w:before="0" w:line="252"/>
        <w:ind w:left="360"/>
      </w:pPr>
      <w:r>
        <w:rPr>
          <w:b w:val="false"/>
          <w:bCs w:val="false"/>
          <w:color w:val="1A1A1A"/>
          <w:sz w:val="20"/>
          <w:szCs w:val="20"/>
        </w:rPr>
        <w:t xml:space="preserve">5Б. Архитектура данных</w:t>
      </w:r>
      <w:r>
        <w:rPr>
          <w:color w:val="5A6B7B"/>
          <w:sz w:val="20"/>
          <w:szCs w:val="20"/>
        </w:rPr>
        <w:ptab w:alignment="right" w:relativeTo="margin" w:leader="dot"/>
        <w:t xml:space="preserve">50</w:t>
      </w:r>
    </w:p>
    <w:p>
      <w:pPr>
        <w:spacing w:after="30" w:before="0" w:line="252"/>
        <w:ind w:left="360"/>
      </w:pPr>
      <w:r>
        <w:rPr>
          <w:b w:val="false"/>
          <w:bCs w:val="false"/>
          <w:color w:val="1A1A1A"/>
          <w:sz w:val="20"/>
          <w:szCs w:val="20"/>
        </w:rPr>
        <w:t xml:space="preserve">5В. Стандарты проектирования API</w:t>
      </w:r>
      <w:r>
        <w:rPr>
          <w:color w:val="5A6B7B"/>
          <w:sz w:val="20"/>
          <w:szCs w:val="20"/>
        </w:rPr>
        <w:ptab w:alignment="right" w:relativeTo="margin" w:leader="dot"/>
        <w:t xml:space="preserve">53</w:t>
      </w:r>
    </w:p>
    <w:p>
      <w:pPr>
        <w:spacing w:after="30" w:before="0" w:line="252"/>
        <w:ind w:left="360"/>
      </w:pPr>
      <w:r>
        <w:rPr>
          <w:b w:val="false"/>
          <w:bCs w:val="false"/>
          <w:color w:val="1A1A1A"/>
          <w:sz w:val="20"/>
          <w:szCs w:val="20"/>
        </w:rPr>
        <w:t xml:space="preserve">5Г. Событийная модель и каталог событий</w:t>
      </w:r>
      <w:r>
        <w:rPr>
          <w:color w:val="5A6B7B"/>
          <w:sz w:val="20"/>
          <w:szCs w:val="20"/>
        </w:rPr>
        <w:ptab w:alignment="right" w:relativeTo="margin" w:leader="dot"/>
        <w:t xml:space="preserve">55</w:t>
      </w:r>
    </w:p>
    <w:p>
      <w:pPr>
        <w:spacing w:after="30" w:before="0" w:line="252"/>
        <w:ind w:left="360"/>
      </w:pPr>
      <w:r>
        <w:rPr>
          <w:b w:val="false"/>
          <w:bCs w:val="false"/>
          <w:color w:val="1A1A1A"/>
          <w:sz w:val="20"/>
          <w:szCs w:val="20"/>
        </w:rPr>
        <w:t xml:space="preserve">5Д. Архитектура клиентских приложений</w:t>
      </w:r>
      <w:r>
        <w:rPr>
          <w:color w:val="5A6B7B"/>
          <w:sz w:val="20"/>
          <w:szCs w:val="20"/>
        </w:rPr>
        <w:ptab w:alignment="right" w:relativeTo="margin" w:leader="dot"/>
        <w:t xml:space="preserve">57</w:t>
      </w:r>
    </w:p>
    <w:p>
      <w:pPr>
        <w:spacing w:after="30" w:before="0" w:line="252"/>
        <w:ind w:left="360"/>
      </w:pPr>
      <w:r>
        <w:rPr>
          <w:b w:val="false"/>
          <w:bCs w:val="false"/>
          <w:color w:val="1A1A1A"/>
          <w:sz w:val="20"/>
          <w:szCs w:val="20"/>
        </w:rPr>
        <w:t xml:space="preserve">5Д.4. Мобильное приложение (React Native, mobile-first)</w:t>
      </w:r>
      <w:r>
        <w:rPr>
          <w:color w:val="5A6B7B"/>
          <w:sz w:val="20"/>
          <w:szCs w:val="20"/>
        </w:rPr>
        <w:ptab w:alignment="right" w:relativeTo="margin" w:leader="dot"/>
        <w:t xml:space="preserve">58</w:t>
      </w:r>
    </w:p>
    <w:p>
      <w:pPr>
        <w:spacing w:after="30" w:before="0" w:line="252"/>
        <w:ind w:left="360"/>
      </w:pPr>
      <w:r>
        <w:rPr>
          <w:b w:val="false"/>
          <w:bCs w:val="false"/>
          <w:color w:val="1A1A1A"/>
          <w:sz w:val="20"/>
          <w:szCs w:val="20"/>
        </w:rPr>
        <w:t xml:space="preserve">5Е. Слой мастер-данных и аналитики (перспектива, вне scope)</w:t>
      </w:r>
      <w:r>
        <w:rPr>
          <w:color w:val="5A6B7B"/>
          <w:sz w:val="20"/>
          <w:szCs w:val="20"/>
        </w:rPr>
        <w:ptab w:alignment="right" w:relativeTo="margin" w:leader="dot"/>
        <w:t xml:space="preserve">60</w:t>
      </w:r>
    </w:p>
    <w:p>
      <w:pPr>
        <w:spacing w:after="60" w:before="80" w:line="252"/>
      </w:pPr>
      <w:r>
        <w:rPr>
          <w:b/>
          <w:bCs/>
          <w:color w:val="2E75B6"/>
          <w:sz w:val="21"/>
          <w:szCs w:val="21"/>
        </w:rPr>
        <w:t xml:space="preserve">6. Требования к Low-Code платформе</w:t>
      </w:r>
      <w:r>
        <w:rPr>
          <w:color w:val="5A6B7B"/>
          <w:sz w:val="20"/>
          <w:szCs w:val="20"/>
        </w:rPr>
        <w:ptab w:alignment="right" w:relativeTo="margin" w:leader="dot"/>
        <w:t xml:space="preserve">62</w:t>
      </w:r>
    </w:p>
    <w:p>
      <w:pPr>
        <w:spacing w:after="30" w:before="0" w:line="252"/>
        <w:ind w:left="360"/>
      </w:pPr>
      <w:r>
        <w:rPr>
          <w:b w:val="false"/>
          <w:bCs w:val="false"/>
          <w:color w:val="1A1A1A"/>
          <w:sz w:val="20"/>
          <w:szCs w:val="20"/>
        </w:rPr>
        <w:t xml:space="preserve">6А. Конструктор электронных форм (Form.io)</w:t>
      </w:r>
      <w:r>
        <w:rPr>
          <w:color w:val="5A6B7B"/>
          <w:sz w:val="20"/>
          <w:szCs w:val="20"/>
        </w:rPr>
        <w:ptab w:alignment="right" w:relativeTo="margin" w:leader="dot"/>
        <w:t xml:space="preserve">63</w:t>
      </w:r>
    </w:p>
    <w:p>
      <w:pPr>
        <w:spacing w:after="30" w:before="0" w:line="252"/>
        <w:ind w:left="360"/>
      </w:pPr>
      <w:r>
        <w:rPr>
          <w:b w:val="false"/>
          <w:bCs w:val="false"/>
          <w:color w:val="1A1A1A"/>
          <w:sz w:val="20"/>
          <w:szCs w:val="20"/>
        </w:rPr>
        <w:t xml:space="preserve">6Б. Каналы доступа и требования к UX</w:t>
      </w:r>
      <w:r>
        <w:rPr>
          <w:color w:val="5A6B7B"/>
          <w:sz w:val="20"/>
          <w:szCs w:val="20"/>
        </w:rPr>
        <w:ptab w:alignment="right" w:relativeTo="margin" w:leader="dot"/>
        <w:t xml:space="preserve">64</w:t>
      </w:r>
    </w:p>
    <w:p>
      <w:pPr>
        <w:spacing w:after="30" w:before="0" w:line="252"/>
        <w:ind w:left="360"/>
      </w:pPr>
      <w:r>
        <w:rPr>
          <w:b w:val="false"/>
          <w:bCs w:val="false"/>
          <w:color w:val="1A1A1A"/>
          <w:sz w:val="20"/>
          <w:szCs w:val="20"/>
        </w:rPr>
        <w:t xml:space="preserve">6В. Доступность и многоязычность</w:t>
      </w:r>
      <w:r>
        <w:rPr>
          <w:color w:val="5A6B7B"/>
          <w:sz w:val="20"/>
          <w:szCs w:val="20"/>
        </w:rPr>
        <w:ptab w:alignment="right" w:relativeTo="margin" w:leader="dot"/>
        <w:t xml:space="preserve">65</w:t>
      </w:r>
    </w:p>
    <w:p>
      <w:pPr>
        <w:spacing w:after="30" w:before="0" w:line="252"/>
        <w:ind w:left="360"/>
      </w:pPr>
      <w:r>
        <w:rPr>
          <w:b w:val="false"/>
          <w:bCs w:val="false"/>
          <w:color w:val="1A1A1A"/>
          <w:sz w:val="20"/>
          <w:szCs w:val="20"/>
        </w:rPr>
        <w:t xml:space="preserve">6Г. Совместимость каналов и устройств</w:t>
      </w:r>
      <w:r>
        <w:rPr>
          <w:color w:val="5A6B7B"/>
          <w:sz w:val="20"/>
          <w:szCs w:val="20"/>
        </w:rPr>
        <w:ptab w:alignment="right" w:relativeTo="margin" w:leader="dot"/>
        <w:t xml:space="preserve">66</w:t>
      </w:r>
    </w:p>
    <w:p>
      <w:pPr>
        <w:spacing w:after="60" w:before="80" w:line="252"/>
      </w:pPr>
      <w:r>
        <w:rPr>
          <w:b/>
          <w:bCs/>
          <w:color w:val="2E75B6"/>
          <w:sz w:val="21"/>
          <w:szCs w:val="21"/>
        </w:rPr>
        <w:t xml:space="preserve">7. Функциональные требования и сценарии услуг</w:t>
      </w:r>
      <w:r>
        <w:rPr>
          <w:color w:val="5A6B7B"/>
          <w:sz w:val="20"/>
          <w:szCs w:val="20"/>
        </w:rPr>
        <w:ptab w:alignment="right" w:relativeTo="margin" w:leader="dot"/>
        <w:t xml:space="preserve">67</w:t>
      </w:r>
    </w:p>
    <w:p>
      <w:pPr>
        <w:spacing w:after="30" w:before="0" w:line="252"/>
        <w:ind w:left="360"/>
      </w:pPr>
      <w:r>
        <w:rPr>
          <w:b w:val="false"/>
          <w:bCs w:val="false"/>
          <w:color w:val="1A1A1A"/>
          <w:sz w:val="20"/>
          <w:szCs w:val="20"/>
        </w:rPr>
        <w:t xml:space="preserve">7А. Детальная проработка эталонных сценариев</w:t>
      </w:r>
      <w:r>
        <w:rPr>
          <w:color w:val="5A6B7B"/>
          <w:sz w:val="20"/>
          <w:szCs w:val="20"/>
        </w:rPr>
        <w:ptab w:alignment="right" w:relativeTo="margin" w:leader="dot"/>
        <w:t xml:space="preserve">72</w:t>
      </w:r>
    </w:p>
    <w:p>
      <w:pPr>
        <w:spacing w:after="30" w:before="0" w:line="252"/>
        <w:ind w:left="360"/>
      </w:pPr>
      <w:r>
        <w:rPr>
          <w:b w:val="false"/>
          <w:bCs w:val="false"/>
          <w:color w:val="1A1A1A"/>
          <w:sz w:val="20"/>
          <w:szCs w:val="20"/>
        </w:rPr>
        <w:t xml:space="preserve">7Б. Автоматизированное рабочее место специалиста (АРМ)</w:t>
      </w:r>
      <w:r>
        <w:rPr>
          <w:color w:val="5A6B7B"/>
          <w:sz w:val="20"/>
          <w:szCs w:val="20"/>
        </w:rPr>
        <w:ptab w:alignment="right" w:relativeTo="margin" w:leader="dot"/>
        <w:t xml:space="preserve">75</w:t>
      </w:r>
    </w:p>
    <w:p>
      <w:pPr>
        <w:spacing w:after="30" w:before="0" w:line="252"/>
        <w:ind w:left="360"/>
      </w:pPr>
      <w:r>
        <w:rPr>
          <w:b w:val="false"/>
          <w:bCs w:val="false"/>
          <w:color w:val="1A1A1A"/>
          <w:sz w:val="20"/>
          <w:szCs w:val="20"/>
        </w:rPr>
        <w:t xml:space="preserve">7В. Кабинет администратора услуг (Low-Code)</w:t>
      </w:r>
      <w:r>
        <w:rPr>
          <w:color w:val="5A6B7B"/>
          <w:sz w:val="20"/>
          <w:szCs w:val="20"/>
        </w:rPr>
        <w:ptab w:alignment="right" w:relativeTo="margin" w:leader="dot"/>
        <w:t xml:space="preserve">76</w:t>
      </w:r>
    </w:p>
    <w:p>
      <w:pPr>
        <w:spacing w:after="60" w:before="80" w:line="252"/>
      </w:pPr>
      <w:r>
        <w:rPr>
          <w:b/>
          <w:bCs/>
          <w:color w:val="2E75B6"/>
          <w:sz w:val="21"/>
          <w:szCs w:val="21"/>
        </w:rPr>
        <w:t xml:space="preserve">8. Управление моделью данных (SSOT)</w:t>
      </w:r>
      <w:r>
        <w:rPr>
          <w:color w:val="5A6B7B"/>
          <w:sz w:val="20"/>
          <w:szCs w:val="20"/>
        </w:rPr>
        <w:ptab w:alignment="right" w:relativeTo="margin" w:leader="dot"/>
        <w:t xml:space="preserve">77</w:t>
      </w:r>
    </w:p>
    <w:p>
      <w:pPr>
        <w:spacing w:after="30" w:before="0" w:line="252"/>
        <w:ind w:left="360"/>
      </w:pPr>
      <w:r>
        <w:rPr>
          <w:b w:val="false"/>
          <w:bCs w:val="false"/>
          <w:color w:val="1A1A1A"/>
          <w:sz w:val="20"/>
          <w:szCs w:val="20"/>
        </w:rPr>
        <w:t xml:space="preserve">8А. Управление мастер-данными и НСИ</w:t>
      </w:r>
      <w:r>
        <w:rPr>
          <w:color w:val="5A6B7B"/>
          <w:sz w:val="20"/>
          <w:szCs w:val="20"/>
        </w:rPr>
        <w:ptab w:alignment="right" w:relativeTo="margin" w:leader="dot"/>
        <w:t xml:space="preserve">78</w:t>
      </w:r>
    </w:p>
    <w:p>
      <w:pPr>
        <w:spacing w:after="60" w:before="80" w:line="252"/>
      </w:pPr>
      <w:r>
        <w:rPr>
          <w:b/>
          <w:bCs/>
          <w:color w:val="2E75B6"/>
          <w:sz w:val="21"/>
          <w:szCs w:val="21"/>
        </w:rPr>
        <w:t xml:space="preserve">9. Автоматизация процессов (BPM)</w:t>
      </w:r>
      <w:r>
        <w:rPr>
          <w:color w:val="5A6B7B"/>
          <w:sz w:val="20"/>
          <w:szCs w:val="20"/>
        </w:rPr>
        <w:ptab w:alignment="right" w:relativeTo="margin" w:leader="dot"/>
        <w:t xml:space="preserve">79</w:t>
      </w:r>
    </w:p>
    <w:p>
      <w:pPr>
        <w:spacing w:after="30" w:before="0" w:line="252"/>
        <w:ind w:left="360"/>
      </w:pPr>
      <w:r>
        <w:rPr>
          <w:b w:val="false"/>
          <w:bCs w:val="false"/>
          <w:color w:val="1A1A1A"/>
          <w:sz w:val="20"/>
          <w:szCs w:val="20"/>
        </w:rPr>
        <w:t xml:space="preserve">9А. Модель исполнения процессов</w:t>
      </w:r>
      <w:r>
        <w:rPr>
          <w:color w:val="5A6B7B"/>
          <w:sz w:val="20"/>
          <w:szCs w:val="20"/>
        </w:rPr>
        <w:ptab w:alignment="right" w:relativeTo="margin" w:leader="dot"/>
        <w:t xml:space="preserve">79</w:t>
      </w:r>
    </w:p>
    <w:p>
      <w:pPr>
        <w:spacing w:after="60" w:before="80" w:line="252"/>
      </w:pPr>
      <w:r>
        <w:rPr>
          <w:b/>
          <w:bCs/>
          <w:color w:val="2E75B6"/>
          <w:sz w:val="21"/>
          <w:szCs w:val="21"/>
        </w:rPr>
        <w:t xml:space="preserve">10. Предотвращение ошибок</w:t>
      </w:r>
      <w:r>
        <w:rPr>
          <w:color w:val="5A6B7B"/>
          <w:sz w:val="20"/>
          <w:szCs w:val="20"/>
        </w:rPr>
        <w:ptab w:alignment="right" w:relativeTo="margin" w:leader="dot"/>
        <w:t xml:space="preserve">81</w:t>
      </w:r>
    </w:p>
    <w:p>
      <w:pPr>
        <w:spacing w:after="60" w:before="80" w:line="252"/>
      </w:pPr>
      <w:r>
        <w:rPr>
          <w:b/>
          <w:bCs/>
          <w:color w:val="2E75B6"/>
          <w:sz w:val="21"/>
          <w:szCs w:val="21"/>
        </w:rPr>
        <w:t xml:space="preserve">11. Информационная безопасность</w:t>
      </w:r>
      <w:r>
        <w:rPr>
          <w:color w:val="5A6B7B"/>
          <w:sz w:val="20"/>
          <w:szCs w:val="20"/>
        </w:rPr>
        <w:ptab w:alignment="right" w:relativeTo="margin" w:leader="dot"/>
        <w:t xml:space="preserve">81</w:t>
      </w:r>
    </w:p>
    <w:p>
      <w:pPr>
        <w:spacing w:after="30" w:before="0" w:line="252"/>
        <w:ind w:left="360"/>
      </w:pPr>
      <w:r>
        <w:rPr>
          <w:b w:val="false"/>
          <w:bCs w:val="false"/>
          <w:color w:val="1A1A1A"/>
          <w:sz w:val="20"/>
          <w:szCs w:val="20"/>
        </w:rPr>
        <w:t xml:space="preserve">11А. Информационная безопасность: детальная проработка</w:t>
      </w:r>
      <w:r>
        <w:rPr>
          <w:color w:val="5A6B7B"/>
          <w:sz w:val="20"/>
          <w:szCs w:val="20"/>
        </w:rPr>
        <w:ptab w:alignment="right" w:relativeTo="margin" w:leader="dot"/>
        <w:t xml:space="preserve">82</w:t>
      </w:r>
    </w:p>
    <w:p>
      <w:pPr>
        <w:spacing w:after="30" w:before="0" w:line="252"/>
        <w:ind w:left="360"/>
      </w:pPr>
      <w:r>
        <w:rPr>
          <w:b w:val="false"/>
          <w:bCs w:val="false"/>
          <w:color w:val="1A1A1A"/>
          <w:sz w:val="20"/>
          <w:szCs w:val="20"/>
        </w:rPr>
        <w:t xml:space="preserve">11Г. Управление уязвимостями и соответствием</w:t>
      </w:r>
      <w:r>
        <w:rPr>
          <w:color w:val="5A6B7B"/>
          <w:sz w:val="20"/>
          <w:szCs w:val="20"/>
        </w:rPr>
        <w:ptab w:alignment="right" w:relativeTo="margin" w:leader="dot"/>
        <w:t xml:space="preserve">87</w:t>
      </w:r>
    </w:p>
    <w:p>
      <w:pPr>
        <w:spacing w:after="60" w:before="80" w:line="252"/>
      </w:pPr>
      <w:r>
        <w:rPr>
          <w:b/>
          <w:bCs/>
          <w:color w:val="2E75B6"/>
          <w:sz w:val="21"/>
          <w:szCs w:val="21"/>
        </w:rPr>
        <w:t xml:space="preserve">12. Нефункциональные требования</w:t>
      </w:r>
      <w:r>
        <w:rPr>
          <w:color w:val="5A6B7B"/>
          <w:sz w:val="20"/>
          <w:szCs w:val="20"/>
        </w:rPr>
        <w:ptab w:alignment="right" w:relativeTo="margin" w:leader="dot"/>
        <w:t xml:space="preserve">88</w:t>
      </w:r>
    </w:p>
    <w:p>
      <w:pPr>
        <w:spacing w:after="30" w:before="0" w:line="252"/>
        <w:ind w:left="360"/>
      </w:pPr>
      <w:r>
        <w:rPr>
          <w:b w:val="false"/>
          <w:bCs w:val="false"/>
          <w:color w:val="1A1A1A"/>
          <w:sz w:val="20"/>
          <w:szCs w:val="20"/>
        </w:rPr>
        <w:t xml:space="preserve">12А. Инфраструктура и эксплуатация (DevOps)</w:t>
      </w:r>
      <w:r>
        <w:rPr>
          <w:color w:val="5A6B7B"/>
          <w:sz w:val="20"/>
          <w:szCs w:val="20"/>
        </w:rPr>
        <w:ptab w:alignment="right" w:relativeTo="margin" w:leader="dot"/>
        <w:t xml:space="preserve">90</w:t>
      </w:r>
    </w:p>
    <w:p>
      <w:pPr>
        <w:spacing w:after="30" w:before="0" w:line="252"/>
        <w:ind w:left="360"/>
      </w:pPr>
      <w:r>
        <w:rPr>
          <w:b w:val="false"/>
          <w:bCs w:val="false"/>
          <w:color w:val="1A1A1A"/>
          <w:sz w:val="20"/>
          <w:szCs w:val="20"/>
        </w:rPr>
        <w:t xml:space="preserve">12В. Методика планирования ёмкости</w:t>
      </w:r>
      <w:r>
        <w:rPr>
          <w:color w:val="5A6B7B"/>
          <w:sz w:val="20"/>
          <w:szCs w:val="20"/>
        </w:rPr>
        <w:ptab w:alignment="right" w:relativeTo="margin" w:leader="dot"/>
        <w:t xml:space="preserve">93</w:t>
      </w:r>
    </w:p>
    <w:p>
      <w:pPr>
        <w:spacing w:after="30" w:before="0" w:line="252"/>
        <w:ind w:left="360"/>
      </w:pPr>
      <w:r>
        <w:rPr>
          <w:b w:val="false"/>
          <w:bCs w:val="false"/>
          <w:color w:val="1A1A1A"/>
          <w:sz w:val="20"/>
          <w:szCs w:val="20"/>
        </w:rPr>
        <w:t xml:space="preserve">12Г. Инженерия производительности</w:t>
      </w:r>
      <w:r>
        <w:rPr>
          <w:color w:val="5A6B7B"/>
          <w:sz w:val="20"/>
          <w:szCs w:val="20"/>
        </w:rPr>
        <w:ptab w:alignment="right" w:relativeTo="margin" w:leader="dot"/>
        <w:t xml:space="preserve">94</w:t>
      </w:r>
    </w:p>
    <w:p>
      <w:pPr>
        <w:spacing w:after="30" w:before="0" w:line="252"/>
        <w:ind w:left="360"/>
      </w:pPr>
      <w:r>
        <w:rPr>
          <w:b w:val="false"/>
          <w:bCs w:val="false"/>
          <w:color w:val="1A1A1A"/>
          <w:sz w:val="20"/>
          <w:szCs w:val="20"/>
        </w:rPr>
        <w:t xml:space="preserve">12Д. Обоснование нефункциональных требований</w:t>
      </w:r>
      <w:r>
        <w:rPr>
          <w:color w:val="5A6B7B"/>
          <w:sz w:val="20"/>
          <w:szCs w:val="20"/>
        </w:rPr>
        <w:ptab w:alignment="right" w:relativeTo="margin" w:leader="dot"/>
        <w:t xml:space="preserve">95</w:t>
      </w:r>
    </w:p>
    <w:p>
      <w:pPr>
        <w:spacing w:after="60" w:before="80" w:line="252"/>
      </w:pPr>
      <w:r>
        <w:rPr>
          <w:b/>
          <w:bCs/>
          <w:color w:val="2E75B6"/>
          <w:sz w:val="21"/>
          <w:szCs w:val="21"/>
        </w:rPr>
        <w:t xml:space="preserve">13. Интеграция и межведомственное взаимодействие</w:t>
      </w:r>
      <w:r>
        <w:rPr>
          <w:color w:val="5A6B7B"/>
          <w:sz w:val="20"/>
          <w:szCs w:val="20"/>
        </w:rPr>
        <w:ptab w:alignment="right" w:relativeTo="margin" w:leader="dot"/>
        <w:t xml:space="preserve">97</w:t>
      </w:r>
    </w:p>
    <w:p>
      <w:pPr>
        <w:spacing w:after="30" w:before="0" w:line="252"/>
        <w:ind w:left="360"/>
      </w:pPr>
      <w:r>
        <w:rPr>
          <w:b w:val="false"/>
          <w:bCs w:val="false"/>
          <w:color w:val="1A1A1A"/>
          <w:sz w:val="20"/>
          <w:szCs w:val="20"/>
        </w:rPr>
        <w:t xml:space="preserve">13А. Межведомственная интеграция: детальная проработка</w:t>
      </w:r>
      <w:r>
        <w:rPr>
          <w:color w:val="5A6B7B"/>
          <w:sz w:val="20"/>
          <w:szCs w:val="20"/>
        </w:rPr>
        <w:ptab w:alignment="right" w:relativeTo="margin" w:leader="dot"/>
        <w:t xml:space="preserve">98</w:t>
      </w:r>
    </w:p>
    <w:p>
      <w:pPr>
        <w:spacing w:after="30" w:before="0" w:line="252"/>
        <w:ind w:left="360"/>
      </w:pPr>
      <w:r>
        <w:rPr>
          <w:b w:val="false"/>
          <w:bCs w:val="false"/>
          <w:color w:val="1A1A1A"/>
          <w:sz w:val="20"/>
          <w:szCs w:val="20"/>
        </w:rPr>
        <w:t xml:space="preserve">13Б. Слой MCP (AI-callable интеграционный канал)</w:t>
      </w:r>
      <w:r>
        <w:rPr>
          <w:color w:val="5A6B7B"/>
          <w:sz w:val="20"/>
          <w:szCs w:val="20"/>
        </w:rPr>
        <w:ptab w:alignment="right" w:relativeTo="margin" w:leader="dot"/>
        <w:t xml:space="preserve">100</w:t>
      </w:r>
    </w:p>
    <w:p>
      <w:pPr>
        <w:spacing w:after="30" w:before="0" w:line="252"/>
        <w:ind w:left="360"/>
      </w:pPr>
      <w:r>
        <w:rPr>
          <w:b w:val="false"/>
          <w:bCs w:val="false"/>
          <w:color w:val="1A1A1A"/>
          <w:sz w:val="20"/>
          <w:szCs w:val="20"/>
        </w:rPr>
        <w:t xml:space="preserve">12Б. Эксплуатация, непрерывность и поддержка</w:t>
      </w:r>
      <w:r>
        <w:rPr>
          <w:color w:val="5A6B7B"/>
          <w:sz w:val="20"/>
          <w:szCs w:val="20"/>
        </w:rPr>
        <w:ptab w:alignment="right" w:relativeTo="margin" w:leader="dot"/>
        <w:t xml:space="preserve">103</w:t>
      </w:r>
    </w:p>
    <w:p>
      <w:pPr>
        <w:spacing w:after="60" w:before="80" w:line="252"/>
      </w:pPr>
      <w:r>
        <w:rPr>
          <w:b/>
          <w:bCs/>
          <w:color w:val="2E75B6"/>
          <w:sz w:val="21"/>
          <w:szCs w:val="21"/>
        </w:rPr>
        <w:t xml:space="preserve">14. Мониторинг и наблюдаемость</w:t>
      </w:r>
      <w:r>
        <w:rPr>
          <w:color w:val="5A6B7B"/>
          <w:sz w:val="20"/>
          <w:szCs w:val="20"/>
        </w:rPr>
        <w:ptab w:alignment="right" w:relativeTo="margin" w:leader="dot"/>
        <w:t xml:space="preserve">104</w:t>
      </w:r>
    </w:p>
    <w:p>
      <w:pPr>
        <w:spacing w:after="30" w:before="0" w:line="252"/>
        <w:ind w:left="360"/>
      </w:pPr>
      <w:r>
        <w:rPr>
          <w:b w:val="false"/>
          <w:bCs w:val="false"/>
          <w:color w:val="1A1A1A"/>
          <w:sz w:val="20"/>
          <w:szCs w:val="20"/>
        </w:rPr>
        <w:t xml:space="preserve">14А. Наблюдаемость и надёжность (SRE)</w:t>
      </w:r>
      <w:r>
        <w:rPr>
          <w:color w:val="5A6B7B"/>
          <w:sz w:val="20"/>
          <w:szCs w:val="20"/>
        </w:rPr>
        <w:ptab w:alignment="right" w:relativeTo="margin" w:leader="dot"/>
        <w:t xml:space="preserve">105</w:t>
      </w:r>
    </w:p>
    <w:p>
      <w:pPr>
        <w:spacing w:after="60" w:before="80" w:line="252"/>
      </w:pPr>
      <w:r>
        <w:rPr>
          <w:b/>
          <w:bCs/>
          <w:color w:val="2E75B6"/>
          <w:sz w:val="21"/>
          <w:szCs w:val="21"/>
        </w:rPr>
        <w:t xml:space="preserve">15. Организация команды и процессов разработки</w:t>
      </w:r>
      <w:r>
        <w:rPr>
          <w:color w:val="5A6B7B"/>
          <w:sz w:val="20"/>
          <w:szCs w:val="20"/>
        </w:rPr>
        <w:ptab w:alignment="right" w:relativeTo="margin" w:leader="dot"/>
        <w:t xml:space="preserve">107</w:t>
      </w:r>
    </w:p>
    <w:p>
      <w:pPr>
        <w:spacing w:after="60" w:before="80" w:line="252"/>
      </w:pPr>
      <w:r>
        <w:rPr>
          <w:b/>
          <w:bCs/>
          <w:color w:val="2E75B6"/>
          <w:sz w:val="21"/>
          <w:szCs w:val="21"/>
        </w:rPr>
        <w:t xml:space="preserve">16. Этапы создания системы</w:t>
      </w:r>
      <w:r>
        <w:rPr>
          <w:color w:val="5A6B7B"/>
          <w:sz w:val="20"/>
          <w:szCs w:val="20"/>
        </w:rPr>
        <w:ptab w:alignment="right" w:relativeTo="margin" w:leader="dot"/>
        <w:t xml:space="preserve">107</w:t>
      </w:r>
    </w:p>
    <w:p>
      <w:pPr>
        <w:spacing w:after="30" w:before="0" w:line="252"/>
        <w:ind w:left="360"/>
      </w:pPr>
      <w:r>
        <w:rPr>
          <w:b w:val="false"/>
          <w:bCs w:val="false"/>
          <w:color w:val="1A1A1A"/>
          <w:sz w:val="20"/>
          <w:szCs w:val="20"/>
        </w:rPr>
        <w:t xml:space="preserve">16А. Детализация плана работ</w:t>
      </w:r>
      <w:r>
        <w:rPr>
          <w:color w:val="5A6B7B"/>
          <w:sz w:val="20"/>
          <w:szCs w:val="20"/>
        </w:rPr>
        <w:ptab w:alignment="right" w:relativeTo="margin" w:leader="dot"/>
        <w:t xml:space="preserve">108</w:t>
      </w:r>
    </w:p>
    <w:p>
      <w:pPr>
        <w:spacing w:after="60" w:before="80" w:line="252"/>
      </w:pPr>
      <w:r>
        <w:rPr>
          <w:b/>
          <w:bCs/>
          <w:color w:val="2E75B6"/>
          <w:sz w:val="21"/>
          <w:szCs w:val="21"/>
        </w:rPr>
        <w:t xml:space="preserve">17. Миграция</w:t>
      </w:r>
      <w:r>
        <w:rPr>
          <w:color w:val="5A6B7B"/>
          <w:sz w:val="20"/>
          <w:szCs w:val="20"/>
        </w:rPr>
        <w:ptab w:alignment="right" w:relativeTo="margin" w:leader="dot"/>
        <w:t xml:space="preserve">109</w:t>
      </w:r>
    </w:p>
    <w:p>
      <w:pPr>
        <w:spacing w:after="30" w:before="0" w:line="252"/>
        <w:ind w:left="360"/>
      </w:pPr>
      <w:r>
        <w:rPr>
          <w:b w:val="false"/>
          <w:bCs w:val="false"/>
          <w:color w:val="1A1A1A"/>
          <w:sz w:val="20"/>
          <w:szCs w:val="20"/>
        </w:rPr>
        <w:t xml:space="preserve">17А. Детальный план миграции</w:t>
      </w:r>
      <w:r>
        <w:rPr>
          <w:color w:val="5A6B7B"/>
          <w:sz w:val="20"/>
          <w:szCs w:val="20"/>
        </w:rPr>
        <w:ptab w:alignment="right" w:relativeTo="margin" w:leader="dot"/>
        <w:t xml:space="preserve">109</w:t>
      </w:r>
    </w:p>
    <w:p>
      <w:pPr>
        <w:spacing w:after="60" w:before="80" w:line="252"/>
      </w:pPr>
      <w:r>
        <w:rPr>
          <w:b/>
          <w:bCs/>
          <w:color w:val="2E75B6"/>
          <w:sz w:val="21"/>
          <w:szCs w:val="21"/>
        </w:rPr>
        <w:t xml:space="preserve">18. Управление рисками</w:t>
      </w:r>
      <w:r>
        <w:rPr>
          <w:color w:val="5A6B7B"/>
          <w:sz w:val="20"/>
          <w:szCs w:val="20"/>
        </w:rPr>
        <w:ptab w:alignment="right" w:relativeTo="margin" w:leader="dot"/>
        <w:t xml:space="preserve">111</w:t>
      </w:r>
    </w:p>
    <w:p>
      <w:pPr>
        <w:spacing w:after="60" w:before="80" w:line="252"/>
      </w:pPr>
      <w:r>
        <w:rPr>
          <w:b/>
          <w:bCs/>
          <w:color w:val="2E75B6"/>
          <w:sz w:val="21"/>
          <w:szCs w:val="21"/>
        </w:rPr>
        <w:t xml:space="preserve">19. Структура затрат</w:t>
      </w:r>
      <w:r>
        <w:rPr>
          <w:color w:val="5A6B7B"/>
          <w:sz w:val="20"/>
          <w:szCs w:val="20"/>
        </w:rPr>
        <w:ptab w:alignment="right" w:relativeTo="margin" w:leader="dot"/>
        <w:t xml:space="preserve">111</w:t>
      </w:r>
    </w:p>
    <w:p>
      <w:pPr>
        <w:spacing w:after="30" w:before="0" w:line="252"/>
        <w:ind w:left="360"/>
      </w:pPr>
      <w:r>
        <w:rPr>
          <w:b w:val="false"/>
          <w:bCs w:val="false"/>
          <w:color w:val="1A1A1A"/>
          <w:sz w:val="20"/>
          <w:szCs w:val="20"/>
        </w:rPr>
        <w:t xml:space="preserve">19А. Структура затрат: детализация</w:t>
      </w:r>
      <w:r>
        <w:rPr>
          <w:color w:val="5A6B7B"/>
          <w:sz w:val="20"/>
          <w:szCs w:val="20"/>
        </w:rPr>
        <w:ptab w:alignment="right" w:relativeTo="margin" w:leader="dot"/>
        <w:t xml:space="preserve">112</w:t>
      </w:r>
    </w:p>
    <w:p>
      <w:pPr>
        <w:spacing w:after="30" w:before="0" w:line="252"/>
        <w:ind w:left="360"/>
      </w:pPr>
      <w:r>
        <w:rPr>
          <w:b w:val="false"/>
          <w:bCs w:val="false"/>
          <w:color w:val="1A1A1A"/>
          <w:sz w:val="20"/>
          <w:szCs w:val="20"/>
        </w:rPr>
        <w:t xml:space="preserve">20А. Стратегия тестирования и обеспечения качества</w:t>
      </w:r>
      <w:r>
        <w:rPr>
          <w:color w:val="5A6B7B"/>
          <w:sz w:val="20"/>
          <w:szCs w:val="20"/>
        </w:rPr>
        <w:ptab w:alignment="right" w:relativeTo="margin" w:leader="dot"/>
        <w:t xml:space="preserve">113</w:t>
      </w:r>
    </w:p>
    <w:p>
      <w:pPr>
        <w:spacing w:after="30" w:before="0" w:line="252"/>
        <w:ind w:left="360"/>
      </w:pPr>
      <w:r>
        <w:rPr>
          <w:b w:val="false"/>
          <w:bCs w:val="false"/>
          <w:color w:val="1A1A1A"/>
          <w:sz w:val="20"/>
          <w:szCs w:val="20"/>
        </w:rPr>
        <w:t xml:space="preserve">20В. Критерии готовности (Definition of Done)</w:t>
      </w:r>
      <w:r>
        <w:rPr>
          <w:color w:val="5A6B7B"/>
          <w:sz w:val="20"/>
          <w:szCs w:val="20"/>
        </w:rPr>
        <w:ptab w:alignment="right" w:relativeTo="margin" w:leader="dot"/>
        <w:t xml:space="preserve">115</w:t>
      </w:r>
    </w:p>
    <w:p>
      <w:pPr>
        <w:spacing w:after="60" w:before="80" w:line="252"/>
      </w:pPr>
      <w:r>
        <w:rPr>
          <w:b/>
          <w:bCs/>
          <w:color w:val="2E75B6"/>
          <w:sz w:val="21"/>
          <w:szCs w:val="21"/>
        </w:rPr>
        <w:t xml:space="preserve">20. Приёмка и обеспечение качества</w:t>
      </w:r>
      <w:r>
        <w:rPr>
          <w:color w:val="5A6B7B"/>
          <w:sz w:val="20"/>
          <w:szCs w:val="20"/>
        </w:rPr>
        <w:ptab w:alignment="right" w:relativeTo="margin" w:leader="dot"/>
        <w:t xml:space="preserve">116</w:t>
      </w:r>
    </w:p>
    <w:p>
      <w:pPr>
        <w:spacing w:after="30" w:before="0" w:line="252"/>
        <w:ind w:left="360"/>
      </w:pPr>
      <w:r>
        <w:rPr>
          <w:b w:val="false"/>
          <w:bCs w:val="false"/>
          <w:color w:val="1A1A1A"/>
          <w:sz w:val="20"/>
          <w:szCs w:val="20"/>
        </w:rPr>
        <w:t xml:space="preserve">20Б. Гарантийные обязательства и уровни обслуживания</w:t>
      </w:r>
      <w:r>
        <w:rPr>
          <w:color w:val="5A6B7B"/>
          <w:sz w:val="20"/>
          <w:szCs w:val="20"/>
        </w:rPr>
        <w:ptab w:alignment="right" w:relativeTo="margin" w:leader="dot"/>
        <w:t xml:space="preserve">116</w:t>
      </w:r>
    </w:p>
    <w:p>
      <w:pPr>
        <w:spacing w:after="60" w:before="80" w:line="252"/>
      </w:pPr>
      <w:r>
        <w:rPr>
          <w:b/>
          <w:bCs/>
          <w:color w:val="2E75B6"/>
          <w:sz w:val="21"/>
          <w:szCs w:val="21"/>
        </w:rPr>
        <w:t xml:space="preserve">21. Заключительные положения</w:t>
      </w:r>
      <w:r>
        <w:rPr>
          <w:color w:val="5A6B7B"/>
          <w:sz w:val="20"/>
          <w:szCs w:val="20"/>
        </w:rPr>
        <w:ptab w:alignment="right" w:relativeTo="margin" w:leader="dot"/>
        <w:t xml:space="preserve">118</w:t>
      </w:r>
    </w:p>
    <w:p>
      <w:pPr>
        <w:spacing w:after="60" w:before="80" w:line="252"/>
      </w:pPr>
      <w:r>
        <w:rPr>
          <w:b/>
          <w:bCs/>
          <w:color w:val="2E75B6"/>
          <w:sz w:val="21"/>
          <w:szCs w:val="21"/>
        </w:rPr>
        <w:t xml:space="preserve">22. Искусственный интеллект, управление ИИ и автоматизированные решения</w:t>
      </w:r>
      <w:r>
        <w:rPr>
          <w:color w:val="5A6B7B"/>
          <w:sz w:val="20"/>
          <w:szCs w:val="20"/>
        </w:rPr>
        <w:ptab w:alignment="right" w:relativeTo="margin" w:leader="dot"/>
        <w:t xml:space="preserve">118</w:t>
      </w:r>
    </w:p>
    <w:p>
      <w:pPr>
        <w:spacing w:after="60" w:before="80" w:line="252"/>
      </w:pPr>
      <w:r>
        <w:rPr>
          <w:b/>
          <w:bCs/>
          <w:color w:val="2E75B6"/>
          <w:sz w:val="21"/>
          <w:szCs w:val="21"/>
        </w:rPr>
        <w:t xml:space="preserve">Приложение А. Расширенный глоссарий</w:t>
      </w:r>
      <w:r>
        <w:rPr>
          <w:color w:val="5A6B7B"/>
          <w:sz w:val="20"/>
          <w:szCs w:val="20"/>
        </w:rPr>
        <w:ptab w:alignment="right" w:relativeTo="margin" w:leader="dot"/>
        <w:t xml:space="preserve">122</w:t>
      </w:r>
    </w:p>
    <w:p>
      <w:pPr>
        <w:spacing w:after="60" w:before="80" w:line="252"/>
      </w:pPr>
      <w:r>
        <w:rPr>
          <w:b/>
          <w:bCs/>
          <w:color w:val="2E75B6"/>
          <w:sz w:val="21"/>
          <w:szCs w:val="21"/>
        </w:rPr>
        <w:t xml:space="preserve">Приложение Б. Матрица трассируемости требований (RTM)</w:t>
      </w:r>
      <w:r>
        <w:rPr>
          <w:color w:val="5A6B7B"/>
          <w:sz w:val="20"/>
          <w:szCs w:val="20"/>
        </w:rPr>
        <w:ptab w:alignment="right" w:relativeTo="margin" w:leader="dot"/>
        <w:t xml:space="preserve">124</w:t>
      </w:r>
    </w:p>
    <w:p>
      <w:pPr>
        <w:spacing w:after="60" w:before="80" w:line="252"/>
      </w:pPr>
      <w:r>
        <w:rPr>
          <w:b/>
          <w:bCs/>
          <w:color w:val="2E75B6"/>
          <w:sz w:val="21"/>
          <w:szCs w:val="21"/>
        </w:rPr>
        <w:t xml:space="preserve">Приложение В. Реестр рисков</w:t>
      </w:r>
      <w:r>
        <w:rPr>
          <w:color w:val="5A6B7B"/>
          <w:sz w:val="20"/>
          <w:szCs w:val="20"/>
        </w:rPr>
        <w:ptab w:alignment="right" w:relativeTo="margin" w:leader="dot"/>
        <w:t xml:space="preserve">125</w:t>
      </w:r>
    </w:p>
    <w:p>
      <w:pPr>
        <w:spacing w:after="60" w:before="80" w:line="252"/>
      </w:pPr>
      <w:r>
        <w:rPr>
          <w:b/>
          <w:bCs/>
          <w:color w:val="2E75B6"/>
          <w:sz w:val="21"/>
          <w:szCs w:val="21"/>
        </w:rPr>
        <w:t xml:space="preserve">Приложение Г. Матрица ответственности (RACI)</w:t>
      </w:r>
      <w:r>
        <w:rPr>
          <w:color w:val="5A6B7B"/>
          <w:sz w:val="20"/>
          <w:szCs w:val="20"/>
        </w:rPr>
        <w:ptab w:alignment="right" w:relativeTo="margin" w:leader="dot"/>
        <w:t xml:space="preserve">126</w:t>
      </w:r>
    </w:p>
    <w:p>
      <w:pPr>
        <w:spacing w:after="60" w:before="80" w:line="252"/>
      </w:pPr>
      <w:r>
        <w:rPr>
          <w:b/>
          <w:bCs/>
          <w:color w:val="2E75B6"/>
          <w:sz w:val="21"/>
          <w:szCs w:val="21"/>
        </w:rPr>
        <w:t xml:space="preserve">Приложение Д. Каталог нефункциональных требований</w:t>
      </w:r>
      <w:r>
        <w:rPr>
          <w:color w:val="5A6B7B"/>
          <w:sz w:val="20"/>
          <w:szCs w:val="20"/>
        </w:rPr>
        <w:ptab w:alignment="right" w:relativeTo="margin" w:leader="dot"/>
        <w:t xml:space="preserve">127</w:t>
      </w:r>
    </w:p>
    <w:p>
      <w:pPr>
        <w:spacing w:after="60" w:before="80" w:line="252"/>
      </w:pPr>
      <w:r>
        <w:rPr>
          <w:b/>
          <w:bCs/>
          <w:color w:val="2E75B6"/>
          <w:sz w:val="21"/>
          <w:szCs w:val="21"/>
        </w:rPr>
        <w:t xml:space="preserve">Приложение Е. Шаблон архитектурного решения (ADR)</w:t>
      </w:r>
      <w:r>
        <w:rPr>
          <w:color w:val="5A6B7B"/>
          <w:sz w:val="20"/>
          <w:szCs w:val="20"/>
        </w:rPr>
        <w:ptab w:alignment="right" w:relativeTo="margin" w:leader="dot"/>
        <w:t xml:space="preserve">128</w:t>
      </w:r>
    </w:p>
    <w:p>
      <w:pPr>
        <w:spacing w:after="60" w:before="80" w:line="252"/>
      </w:pPr>
      <w:r>
        <w:rPr>
          <w:b/>
          <w:bCs/>
          <w:color w:val="2E75B6"/>
          <w:sz w:val="21"/>
          <w:szCs w:val="21"/>
        </w:rPr>
        <w:t xml:space="preserve">Приложение Ж. Шаблон описания услуги</w:t>
      </w:r>
      <w:r>
        <w:rPr>
          <w:color w:val="5A6B7B"/>
          <w:sz w:val="20"/>
          <w:szCs w:val="20"/>
        </w:rPr>
        <w:ptab w:alignment="right" w:relativeTo="margin" w:leader="dot"/>
        <w:t xml:space="preserve">130</w:t>
      </w:r>
    </w:p>
    <w:p>
      <w:pPr>
        <w:spacing w:after="60" w:before="80" w:line="252"/>
      </w:pPr>
      <w:r>
        <w:rPr>
          <w:b/>
          <w:bCs/>
          <w:color w:val="2E75B6"/>
          <w:sz w:val="21"/>
          <w:szCs w:val="21"/>
        </w:rPr>
        <w:t xml:space="preserve">Приложение И. Реестр интеграций</w:t>
      </w:r>
      <w:r>
        <w:rPr>
          <w:color w:val="5A6B7B"/>
          <w:sz w:val="20"/>
          <w:szCs w:val="20"/>
        </w:rPr>
        <w:ptab w:alignment="right" w:relativeTo="margin" w:leader="dot"/>
        <w:t xml:space="preserve">131</w:t>
      </w:r>
    </w:p>
    <w:p>
      <w:pPr>
        <w:spacing w:after="60" w:before="80" w:line="252"/>
      </w:pPr>
      <w:r>
        <w:rPr>
          <w:b/>
          <w:bCs/>
          <w:color w:val="2E75B6"/>
          <w:sz w:val="21"/>
          <w:szCs w:val="21"/>
        </w:rPr>
        <w:t xml:space="preserve">Приложение К. Чек-листы готовности</w:t>
      </w:r>
      <w:r>
        <w:rPr>
          <w:color w:val="5A6B7B"/>
          <w:sz w:val="20"/>
          <w:szCs w:val="20"/>
        </w:rPr>
        <w:ptab w:alignment="right" w:relativeTo="margin" w:leader="dot"/>
        <w:t xml:space="preserve">132</w:t>
      </w:r>
    </w:p>
    <w:p>
      <w:pPr>
        <w:spacing w:after="60" w:before="80" w:line="252"/>
      </w:pPr>
      <w:r>
        <w:rPr>
          <w:b/>
          <w:bCs/>
          <w:color w:val="2E75B6"/>
          <w:sz w:val="21"/>
          <w:szCs w:val="21"/>
        </w:rPr>
        <w:t xml:space="preserve">Приложение Л. Каталог кодов ошибок</w:t>
      </w:r>
      <w:r>
        <w:rPr>
          <w:color w:val="5A6B7B"/>
          <w:sz w:val="20"/>
          <w:szCs w:val="20"/>
        </w:rPr>
        <w:ptab w:alignment="right" w:relativeTo="margin" w:leader="dot"/>
        <w:t xml:space="preserve">133</w:t>
      </w:r>
    </w:p>
    <w:p>
      <w:pPr>
        <w:spacing w:after="60" w:before="80" w:line="252"/>
      </w:pPr>
      <w:r>
        <w:rPr>
          <w:b/>
          <w:bCs/>
          <w:color w:val="2E75B6"/>
          <w:sz w:val="21"/>
          <w:szCs w:val="21"/>
        </w:rPr>
        <w:t xml:space="preserve">Приложение М. Каталог метрик и индикаторов</w:t>
      </w:r>
      <w:r>
        <w:rPr>
          <w:color w:val="5A6B7B"/>
          <w:sz w:val="20"/>
          <w:szCs w:val="20"/>
        </w:rPr>
        <w:ptab w:alignment="right" w:relativeTo="margin" w:leader="dot"/>
        <w:t xml:space="preserve">134</w:t>
      </w:r>
    </w:p>
    <w:p>
      <w:pPr>
        <w:spacing w:after="60" w:before="80" w:line="252"/>
      </w:pPr>
      <w:r>
        <w:rPr>
          <w:b/>
          <w:bCs/>
          <w:color w:val="2E75B6"/>
          <w:sz w:val="21"/>
          <w:szCs w:val="21"/>
        </w:rPr>
        <w:t xml:space="preserve">Приложение Н. Словарь данных ключевых сущностей</w:t>
      </w:r>
      <w:r>
        <w:rPr>
          <w:color w:val="5A6B7B"/>
          <w:sz w:val="20"/>
          <w:szCs w:val="20"/>
        </w:rPr>
        <w:ptab w:alignment="right" w:relativeTo="margin" w:leader="dot"/>
        <w:t xml:space="preserve">135</w:t>
      </w:r>
    </w:p>
    <w:p>
      <w:pPr>
        <w:spacing w:after="60" w:before="80" w:line="252"/>
      </w:pPr>
      <w:r>
        <w:rPr>
          <w:b/>
          <w:bCs/>
          <w:color w:val="2E75B6"/>
          <w:sz w:val="21"/>
          <w:szCs w:val="21"/>
        </w:rPr>
        <w:t xml:space="preserve">Приложение П. Справочник элементов процессов</w:t>
      </w:r>
      <w:r>
        <w:rPr>
          <w:color w:val="5A6B7B"/>
          <w:sz w:val="20"/>
          <w:szCs w:val="20"/>
        </w:rPr>
        <w:ptab w:alignment="right" w:relativeTo="margin" w:leader="dot"/>
        <w:t xml:space="preserve">137</w:t>
      </w:r>
    </w:p>
    <w:p>
      <w:pPr>
        <w:spacing w:after="60" w:before="80" w:line="252"/>
      </w:pPr>
      <w:r>
        <w:rPr>
          <w:b/>
          <w:bCs/>
          <w:color w:val="2E75B6"/>
          <w:sz w:val="21"/>
          <w:szCs w:val="21"/>
        </w:rPr>
        <w:t xml:space="preserve">Приложение Р. Роли проектной команды</w:t>
      </w:r>
      <w:r>
        <w:rPr>
          <w:color w:val="5A6B7B"/>
          <w:sz w:val="20"/>
          <w:szCs w:val="20"/>
        </w:rPr>
        <w:ptab w:alignment="right" w:relativeTo="margin" w:leader="dot"/>
        <w:t xml:space="preserve">138</w:t>
      </w:r>
    </w:p>
    <w:p>
      <w:pPr>
        <w:spacing w:after="60" w:before="80" w:line="252"/>
      </w:pPr>
      <w:r>
        <w:rPr>
          <w:b/>
          <w:bCs/>
          <w:color w:val="2E75B6"/>
          <w:sz w:val="21"/>
          <w:szCs w:val="21"/>
        </w:rPr>
        <w:t xml:space="preserve">Приложение С. Каталог приёмочных проверок</w:t>
      </w:r>
      <w:r>
        <w:rPr>
          <w:color w:val="5A6B7B"/>
          <w:sz w:val="20"/>
          <w:szCs w:val="20"/>
        </w:rPr>
        <w:ptab w:alignment="right" w:relativeTo="margin" w:leader="dot"/>
        <w:t xml:space="preserve">139</w:t>
      </w:r>
    </w:p>
    <w:p>
      <w:pPr>
        <w:spacing w:after="60" w:before="80" w:line="252"/>
      </w:pPr>
      <w:r>
        <w:rPr>
          <w:b/>
          <w:bCs/>
          <w:color w:val="2E75B6"/>
          <w:sz w:val="21"/>
          <w:szCs w:val="21"/>
        </w:rPr>
        <w:t xml:space="preserve">Приложение Т. Журнал ключевых проектных решений</w:t>
      </w:r>
      <w:r>
        <w:rPr>
          <w:color w:val="5A6B7B"/>
          <w:sz w:val="20"/>
          <w:szCs w:val="20"/>
        </w:rPr>
        <w:ptab w:alignment="right" w:relativeTo="margin" w:leader="dot"/>
        <w:t xml:space="preserve">140</w:t>
      </w:r>
    </w:p>
    <w:p>
      <w:pPr>
        <w:spacing w:after="60" w:before="80" w:line="252"/>
      </w:pPr>
      <w:r>
        <w:rPr>
          <w:b/>
          <w:bCs/>
          <w:color w:val="2E75B6"/>
          <w:sz w:val="21"/>
          <w:szCs w:val="21"/>
        </w:rPr>
        <w:t xml:space="preserve">Приложение Э. Каталог тест-кейсов эталонных сценариев</w:t>
      </w:r>
      <w:r>
        <w:rPr>
          <w:color w:val="5A6B7B"/>
          <w:sz w:val="20"/>
          <w:szCs w:val="20"/>
        </w:rPr>
        <w:ptab w:alignment="right" w:relativeTo="margin" w:leader="dot"/>
        <w:t xml:space="preserve">141</w:t>
      </w:r>
    </w:p>
    <w:p>
      <w:pPr>
        <w:spacing w:after="60" w:before="80" w:line="252"/>
      </w:pPr>
      <w:r>
        <w:rPr>
          <w:b/>
          <w:bCs/>
          <w:color w:val="2E75B6"/>
          <w:sz w:val="21"/>
          <w:szCs w:val="21"/>
        </w:rPr>
        <w:t xml:space="preserve">Приложение У. Соглашения об именовании и стиле</w:t>
      </w:r>
      <w:r>
        <w:rPr>
          <w:color w:val="5A6B7B"/>
          <w:sz w:val="20"/>
          <w:szCs w:val="20"/>
        </w:rPr>
        <w:ptab w:alignment="right" w:relativeTo="margin" w:leader="dot"/>
        <w:t xml:space="preserve">143</w:t>
      </w:r>
    </w:p>
    <w:p>
      <w:pPr>
        <w:spacing w:after="60" w:before="80" w:line="252"/>
      </w:pPr>
      <w:r>
        <w:rPr>
          <w:b/>
          <w:bCs/>
          <w:color w:val="2E75B6"/>
          <w:sz w:val="21"/>
          <w:szCs w:val="21"/>
        </w:rPr>
        <w:t xml:space="preserve">Приложение Ф. Справочник конфигурации</w:t>
      </w:r>
      <w:r>
        <w:rPr>
          <w:color w:val="5A6B7B"/>
          <w:sz w:val="20"/>
          <w:szCs w:val="20"/>
        </w:rPr>
        <w:ptab w:alignment="right" w:relativeTo="margin" w:leader="dot"/>
        <w:t xml:space="preserve">144</w:t>
      </w:r>
    </w:p>
    <w:p>
      <w:pPr>
        <w:spacing w:after="60" w:before="80" w:line="252"/>
      </w:pPr>
      <w:r>
        <w:rPr>
          <w:b/>
          <w:bCs/>
          <w:color w:val="2E75B6"/>
          <w:sz w:val="21"/>
          <w:szCs w:val="21"/>
        </w:rPr>
        <w:t xml:space="preserve">Приложение Х. Примеры моделей процессов и правил</w:t>
      </w:r>
      <w:r>
        <w:rPr>
          <w:color w:val="5A6B7B"/>
          <w:sz w:val="20"/>
          <w:szCs w:val="20"/>
        </w:rPr>
        <w:ptab w:alignment="right" w:relativeTo="margin" w:leader="dot"/>
        <w:t xml:space="preserve">145</w:t>
      </w:r>
    </w:p>
    <w:p>
      <w:pPr>
        <w:spacing w:after="60" w:before="80" w:line="252"/>
      </w:pPr>
      <w:r>
        <w:rPr>
          <w:b/>
          <w:bCs/>
          <w:color w:val="2E75B6"/>
          <w:sz w:val="21"/>
          <w:szCs w:val="21"/>
        </w:rPr>
        <w:t xml:space="preserve">Приложение Ц. График хранения данных</w:t>
      </w:r>
      <w:r>
        <w:rPr>
          <w:color w:val="5A6B7B"/>
          <w:sz w:val="20"/>
          <w:szCs w:val="20"/>
        </w:rPr>
        <w:ptab w:alignment="right" w:relativeTo="margin" w:leader="dot"/>
        <w:t xml:space="preserve">146</w:t>
      </w:r>
    </w:p>
    <w:p>
      <w:pPr>
        <w:spacing w:after="60" w:before="80" w:line="252"/>
      </w:pPr>
      <w:r>
        <w:rPr>
          <w:b/>
          <w:bCs/>
          <w:color w:val="2E75B6"/>
          <w:sz w:val="21"/>
          <w:szCs w:val="21"/>
        </w:rPr>
        <w:t xml:space="preserve">Приложение Ч. Карта соответствия требованиям</w:t>
      </w:r>
      <w:r>
        <w:rPr>
          <w:color w:val="5A6B7B"/>
          <w:sz w:val="20"/>
          <w:szCs w:val="20"/>
        </w:rPr>
        <w:ptab w:alignment="right" w:relativeTo="margin" w:leader="dot"/>
        <w:t xml:space="preserve">147</w:t>
      </w:r>
    </w:p>
    <w:p>
      <w:pPr>
        <w:spacing w:after="60" w:before="80" w:line="252"/>
      </w:pPr>
      <w:r>
        <w:rPr>
          <w:b/>
          <w:bCs/>
          <w:color w:val="2E75B6"/>
          <w:sz w:val="21"/>
          <w:szCs w:val="21"/>
        </w:rPr>
        <w:t xml:space="preserve">Приложение Ш. Глоссарий (дополнение)</w:t>
      </w:r>
      <w:r>
        <w:rPr>
          <w:color w:val="5A6B7B"/>
          <w:sz w:val="20"/>
          <w:szCs w:val="20"/>
        </w:rPr>
        <w:ptab w:alignment="right" w:relativeTo="margin" w:leader="dot"/>
        <w:t xml:space="preserve">148</w:t>
      </w:r>
    </w:p>
    <w:p>
      <w:pPr>
        <w:spacing w:after="60" w:before="80" w:line="252"/>
      </w:pPr>
      <w:r>
        <w:rPr>
          <w:b/>
          <w:bCs/>
          <w:color w:val="2E75B6"/>
          <w:sz w:val="21"/>
          <w:szCs w:val="21"/>
        </w:rPr>
        <w:t xml:space="preserve">Приложение Щ. О структуре документа</w:t>
      </w:r>
      <w:r>
        <w:rPr>
          <w:color w:val="5A6B7B"/>
          <w:sz w:val="20"/>
          <w:szCs w:val="20"/>
        </w:rPr>
        <w:ptab w:alignment="right" w:relativeTo="margin" w:leader="dot"/>
        <w:t xml:space="preserve">149</w:t>
      </w:r>
    </w:p>
    <w:p>
      <w:pPr>
        <w:spacing w:after="60" w:before="80" w:line="252"/>
      </w:pPr>
      <w:r>
        <w:rPr>
          <w:b/>
          <w:bCs/>
          <w:color w:val="2E75B6"/>
          <w:sz w:val="21"/>
          <w:szCs w:val="21"/>
        </w:rPr>
        <w:t xml:space="preserve">Приложение Ю. Сводный справочник API доменных сервисов</w:t>
      </w:r>
      <w:r>
        <w:rPr>
          <w:color w:val="5A6B7B"/>
          <w:sz w:val="20"/>
          <w:szCs w:val="20"/>
        </w:rPr>
        <w:ptab w:alignment="right" w:relativeTo="margin" w:leader="dot"/>
        <w:t xml:space="preserve">150</w:t>
      </w:r>
    </w:p>
    <w:p>
      <w:pPr>
        <w:spacing w:after="60" w:before="80" w:line="252"/>
      </w:pPr>
      <w:r>
        <w:rPr>
          <w:b/>
          <w:bCs/>
          <w:color w:val="2E75B6"/>
          <w:sz w:val="21"/>
          <w:szCs w:val="21"/>
        </w:rPr>
        <w:t xml:space="preserve">Приложение Я. Матрица событий «источник — потребители»</w:t>
      </w:r>
      <w:r>
        <w:rPr>
          <w:color w:val="5A6B7B"/>
          <w:sz w:val="20"/>
          <w:szCs w:val="20"/>
        </w:rPr>
        <w:ptab w:alignment="right" w:relativeTo="margin" w:leader="dot"/>
        <w:t xml:space="preserve">153</w:t>
      </w:r>
    </w:p>
    <w:p>
      <w:pPr>
        <w:spacing w:after="60" w:before="80" w:line="252"/>
      </w:pPr>
      <w:r>
        <w:rPr>
          <w:b/>
          <w:bCs/>
          <w:color w:val="2E75B6"/>
          <w:sz w:val="21"/>
          <w:szCs w:val="21"/>
        </w:rPr>
        <w:t xml:space="preserve">Приложение АА. Реестр допущений и ограничений</w:t>
      </w:r>
      <w:r>
        <w:rPr>
          <w:color w:val="5A6B7B"/>
          <w:sz w:val="20"/>
          <w:szCs w:val="20"/>
        </w:rPr>
        <w:ptab w:alignment="right" w:relativeTo="margin" w:leader="dot"/>
        <w:t xml:space="preserve">154</w:t>
      </w:r>
    </w:p>
    <w:p>
      <w:pPr>
        <w:spacing w:after="60" w:before="80" w:line="252"/>
      </w:pPr>
      <w:r>
        <w:rPr>
          <w:b/>
          <w:bCs/>
          <w:color w:val="2E75B6"/>
          <w:sz w:val="21"/>
          <w:szCs w:val="21"/>
        </w:rPr>
        <w:t xml:space="preserve">Приложение АБ. Реестр заинтересованных сторон</w:t>
      </w:r>
      <w:r>
        <w:rPr>
          <w:color w:val="5A6B7B"/>
          <w:sz w:val="20"/>
          <w:szCs w:val="20"/>
        </w:rPr>
        <w:ptab w:alignment="right" w:relativeTo="margin" w:leader="dot"/>
        <w:t xml:space="preserve">155</w:t>
      </w:r>
    </w:p>
    <w:p>
      <w:pPr>
        <w:spacing w:after="60" w:before="80" w:line="252"/>
      </w:pPr>
      <w:r>
        <w:rPr>
          <w:b/>
          <w:bCs/>
          <w:color w:val="2E75B6"/>
          <w:sz w:val="21"/>
          <w:szCs w:val="21"/>
        </w:rPr>
        <w:t xml:space="preserve">Приложение АВ. Журнал открытых вопросов</w:t>
      </w:r>
      <w:r>
        <w:rPr>
          <w:color w:val="5A6B7B"/>
          <w:sz w:val="20"/>
          <w:szCs w:val="20"/>
        </w:rPr>
        <w:ptab w:alignment="right" w:relativeTo="margin" w:leader="dot"/>
        <w:t xml:space="preserve">156</w:t>
      </w:r>
    </w:p>
    <w:p>
      <w:pPr>
        <w:spacing w:after="60" w:before="80" w:line="252"/>
      </w:pPr>
      <w:r>
        <w:rPr>
          <w:b/>
          <w:bCs/>
          <w:color w:val="2E75B6"/>
          <w:sz w:val="21"/>
          <w:szCs w:val="21"/>
        </w:rPr>
        <w:t xml:space="preserve">Приложение АГ. Типовые эксплуатационные процедуры (runbook)</w:t>
      </w:r>
      <w:r>
        <w:rPr>
          <w:color w:val="5A6B7B"/>
          <w:sz w:val="20"/>
          <w:szCs w:val="20"/>
        </w:rPr>
        <w:ptab w:alignment="right" w:relativeTo="margin" w:leader="dot"/>
        <w:t xml:space="preserve">157</w:t>
      </w:r>
    </w:p>
    <w:p>
      <w:pPr>
        <w:spacing w:after="60" w:before="80" w:line="252"/>
      </w:pPr>
      <w:r>
        <w:rPr>
          <w:b/>
          <w:bCs/>
          <w:color w:val="2E75B6"/>
          <w:sz w:val="21"/>
          <w:szCs w:val="21"/>
        </w:rPr>
        <w:t xml:space="preserve">Приложение АД. Справочник расчётной ёмкости</w:t>
      </w:r>
      <w:r>
        <w:rPr>
          <w:color w:val="5A6B7B"/>
          <w:sz w:val="20"/>
          <w:szCs w:val="20"/>
        </w:rPr>
        <w:ptab w:alignment="right" w:relativeTo="margin" w:leader="dot"/>
        <w:t xml:space="preserve">159</w:t>
      </w:r>
    </w:p>
    <w:p>
      <w:pPr>
        <w:spacing w:after="60" w:before="80" w:line="252"/>
      </w:pPr>
      <w:r>
        <w:rPr>
          <w:b/>
          <w:bCs/>
          <w:color w:val="2E75B6"/>
          <w:sz w:val="21"/>
          <w:szCs w:val="21"/>
        </w:rPr>
        <w:t xml:space="preserve">Приложение АЕ. Каталог правил оповещения</w:t>
      </w:r>
      <w:r>
        <w:rPr>
          <w:color w:val="5A6B7B"/>
          <w:sz w:val="20"/>
          <w:szCs w:val="20"/>
        </w:rPr>
        <w:ptab w:alignment="right" w:relativeTo="margin" w:leader="dot"/>
        <w:t xml:space="preserve">160</w:t>
      </w:r>
    </w:p>
    <w:p>
      <w:pPr>
        <w:spacing w:after="60" w:before="80" w:line="252"/>
      </w:pPr>
      <w:r>
        <w:rPr>
          <w:b/>
          <w:bCs/>
          <w:color w:val="2E75B6"/>
          <w:sz w:val="21"/>
          <w:szCs w:val="21"/>
        </w:rPr>
        <w:t xml:space="preserve">Приложение АЖ. Описание ключевых потоков данных</w:t>
      </w:r>
      <w:r>
        <w:rPr>
          <w:color w:val="5A6B7B"/>
          <w:sz w:val="20"/>
          <w:szCs w:val="20"/>
        </w:rPr>
        <w:ptab w:alignment="right" w:relativeTo="margin" w:leader="dot"/>
        <w:t xml:space="preserve">161</w:t>
      </w:r>
    </w:p>
    <w:p>
      <w:pPr>
        <w:spacing w:after="60" w:before="80" w:line="252"/>
      </w:pPr>
      <w:r>
        <w:rPr>
          <w:b/>
          <w:bCs/>
          <w:color w:val="2E75B6"/>
          <w:sz w:val="21"/>
          <w:szCs w:val="21"/>
        </w:rPr>
        <w:t xml:space="preserve">Приложение АЗ. Быстрый справочник сокращений</w:t>
      </w:r>
      <w:r>
        <w:rPr>
          <w:color w:val="5A6B7B"/>
          <w:sz w:val="20"/>
          <w:szCs w:val="20"/>
        </w:rPr>
        <w:ptab w:alignment="right" w:relativeTo="margin" w:leader="dot"/>
        <w:t xml:space="preserve">162</w:t>
      </w:r>
    </w:p>
    <w:p>
      <w:pPr>
        <w:spacing w:after="60" w:before="80" w:line="252"/>
      </w:pPr>
      <w:r>
        <w:rPr>
          <w:b/>
          <w:bCs/>
          <w:color w:val="2E75B6"/>
          <w:sz w:val="21"/>
          <w:szCs w:val="21"/>
        </w:rPr>
        <w:t xml:space="preserve">Приложение АИ. Сводка технологического стека</w:t>
      </w:r>
      <w:r>
        <w:rPr>
          <w:color w:val="5A6B7B"/>
          <w:sz w:val="20"/>
          <w:szCs w:val="20"/>
        </w:rPr>
        <w:ptab w:alignment="right" w:relativeTo="margin" w:leader="dot"/>
        <w:t xml:space="preserve">164</w:t>
      </w:r>
    </w:p>
    <w:p>
      <w:r>
        <w:br w:type="page"/>
      </w:r>
    </w:p>
    <w:p>
      <w:pPr>
        <w:pStyle w:val="Heading1"/>
      </w:pPr>
      <w:r>
        <w:t xml:space="preserve">1. Общие положения</w:t>
      </w:r>
    </w:p>
    <w:p>
      <w:pPr>
        <w:pStyle w:val="Heading2"/>
      </w:pPr>
      <w:r>
        <w:t xml:space="preserve">1.1. Назначение документа</w:t>
      </w:r>
    </w:p>
    <w:p>
      <w:pPr>
        <w:spacing w:after="120" w:line="276"/>
      </w:pPr>
      <w:r>
        <w:t xml:space="preserve">Настоящее Техническое задание (далее — ТЗ) определяет цели, требования и порядок создания Единого портала государственных услуг Республики Таджикистан «eKhizmat» (далее — Система, Платформа) — национальной цифровой сервисной платформы предоставления государственных и муниципальных услуг в электронной форме.</w:t>
      </w:r>
    </w:p>
    <w:p>
      <w:pPr>
        <w:spacing w:after="120" w:line="276"/>
      </w:pPr>
      <w:r>
        <w:t xml:space="preserve">Документ детально определяет требования к Системе: цели и принципы, архитектуру, модель данных, функциональные требования и эталонные сценарии услуг, информационную безопасность, нефункциональные характеристики, интеграцию, приёмку и управление проектом. Техническое задание предназначено для двух аудиторий одновременно:</w:t>
      </w:r>
    </w:p>
    <w:p>
      <w:pPr>
        <w:pStyle w:val="ListParagraph"/>
        <w:numPr>
          <w:ilvl w:val="0"/>
          <w:numId w:val="2"/>
        </w:numPr>
        <w:spacing w:after="80" w:line="264"/>
      </w:pPr>
      <w:r>
        <w:rPr>
          <w:b/>
          <w:bCs/>
        </w:rPr>
        <w:t xml:space="preserve">команды разработки и сопровождения</w:t>
      </w:r>
      <w:r>
        <w:t xml:space="preserve"> — как источник детальных проектных и технических требований, на основании которого формируются архитектурные решения (ADR), API-контракты, модель данных и план работ;</w:t>
      </w:r>
    </w:p>
    <w:p>
      <w:pPr>
        <w:pStyle w:val="ListParagraph"/>
        <w:numPr>
          <w:ilvl w:val="0"/>
          <w:numId w:val="2"/>
        </w:numPr>
        <w:spacing w:after="80" w:line="264"/>
      </w:pPr>
      <w:r>
        <w:rPr>
          <w:b/>
          <w:bCs/>
        </w:rPr>
        <w:t xml:space="preserve">заказчика, ведомств и согласующих органов</w:t>
      </w:r>
      <w:r>
        <w:t xml:space="preserve"> — как документ, фиксирующий объём, границы, показатели качества и обязательства сторон.</w:t>
      </w:r>
    </w:p>
    <w:p>
      <w:pPr>
        <w:spacing w:after="120" w:line="276"/>
      </w:pPr>
      <w:r>
        <w:t xml:space="preserve">Требования, изложенные в настоящем ТЗ, являются обязательными. Любые отклонения оформляются протоколом согласования между Заказчиком и Исполнителем.</w:t>
      </w:r>
    </w:p>
    <w:p>
      <w:pPr>
        <w:pStyle w:val="Heading2"/>
      </w:pPr>
      <w:r>
        <w:t xml:space="preserve">1.2. Наименование и условное обозначение</w:t>
      </w:r>
    </w:p>
    <w:p>
      <w:pPr>
        <w:spacing w:after="120" w:line="276"/>
      </w:pPr>
      <w:r>
        <w:t xml:space="preserve">Сведения о Системе, её типе и классе приведены в таблице ниже. Класс системы определяет повышенные требования к доступности, отказоустойчивости и масштабированию, раскрытые в разделах 10 и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Параметр</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Значение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Полное наименование</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Единый портал государственных услуг Республики Таджикистан «eKhizmat»</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Условное обозначение</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bCs/>
                <w:color w:val="1A1A1A"/>
                <w:sz w:val="20"/>
                <w:szCs w:val="20"/>
              </w:rPr>
              <w:t xml:space="preserve">eKhizmat</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Тип системы</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Государственная информационная система (ГИС) РТ; сервисная цифровая платформа</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Класс системы</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Высоконагруженная распределённая система национального масштаба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Заказчик</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Уполномоченный государственный орган в сфере цифрового развития (указывается в договоре)</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Исполнитель</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Определяется по результатам конкурсных процедур</w:t>
            </w:r>
          </w:p>
        </w:tc>
      </w:tr>
    </w:tbl>
    <w:p>
      <w:pPr>
        <w:pStyle w:val="Heading2"/>
      </w:pPr>
      <w:r>
        <w:t xml:space="preserve">1.3. Термины, определения и сокращения</w:t>
      </w:r>
    </w:p>
    <w:p>
      <w:pPr>
        <w:spacing w:after="120" w:line="276"/>
      </w:pPr>
      <w:r>
        <w:t xml:space="preserve">В настоящем ТЗ применяются следующие термины и сокращения. Перечень используется единообразно по всему тексту документа.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Термин / сокращение</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Определение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API</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Программный интерфейс взаимодействия систем (Application Programming Interface).</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ABAC</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Управление доступом на основе атрибутов (Attribute-Based Access Control).</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BFF</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Backend for Frontend — слой агрегации API под конкретный канал (веб, мобайл).</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BPMN</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Нотация моделирования бизнес-процессов (Business Process Model and Notation).</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CSAT</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Показатель удовлетворённости пользователей (Customer Satisfaction Score).</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DDD</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Предметно-ориентированное проектирование (Domain-Driven Design).</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DLQ</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Очередь необработанных сообщений (Dead Letter Queue).</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DMN</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Нотация моделей принятия решений (Decision Model and Notation).</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eID</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Электронная идентификация гражданина.</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ЭЦП</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Электронная цифровая подпись.</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ЕСИА/IAM</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Подсистема идентификации и управления доступом (на базе Keycloak).</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GSLB</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Глобальная балансировка нагрузки между ЦОД (Global Server Load Balancing).</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HSM</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Аппаратный модуль безопасности для хранения ключей (Hardware Security Module).</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MDM/НСИ</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Управление мастер-данными и нормативно-справочной информацией.</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Once-Only</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Принцип однократного предоставления данных гражданином.</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PITR</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Восстановление БД на произвольный момент времени (Point-in-Time Recovery).</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RBAC</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Управление доступом на основе ролей (Role-Based Access Control).</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RPO / RTO</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Допустимая потеря данных / допустимое время восстановления.</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Saga</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Шаблон управления распределёнными транзакциями через компенсирующие действия.</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SLA / SLO</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Соглашение об уровне услуг / целевой показатель уровня услуг.</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Smart Bridge</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Межведомственная интеграционная система Республики Таджикистан.</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SSOT</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Единый источник истины по сущности данных (Single Source of Truth).</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WORM</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Режим хранения «однократная запись — многократное чтение» (для аудита).</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ЦОД</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Центр обработки данных.</w:t>
            </w:r>
          </w:p>
        </w:tc>
      </w:tr>
    </w:tbl>
    <w:p>
      <w:pPr>
        <w:pStyle w:val="Heading2"/>
      </w:pPr>
      <w:r>
        <w:t xml:space="preserve">1.4. Основания и цель разработки</w:t>
      </w:r>
    </w:p>
    <w:p>
      <w:pPr>
        <w:spacing w:after="120" w:line="276"/>
      </w:pPr>
      <w:r>
        <w:t xml:space="preserve">Основанием для создания Системы являются Указ Президента Республики Таджикистан от 27 апреля 2025 года и Стратегия развития цифровой экономики на 2025–2030 годы. Стратегические задачи, решаемые Системой:</w:t>
      </w:r>
    </w:p>
    <w:p>
      <w:pPr>
        <w:pStyle w:val="ListParagraph"/>
        <w:numPr>
          <w:ilvl w:val="0"/>
          <w:numId w:val="2"/>
        </w:numPr>
        <w:spacing w:after="80" w:line="264"/>
      </w:pPr>
      <w:r>
        <w:t xml:space="preserve">перевод государственных и муниципальных услуг в электронную форму с предоставлением их в режиме 24×7;</w:t>
      </w:r>
    </w:p>
    <w:p>
      <w:pPr>
        <w:pStyle w:val="ListParagraph"/>
        <w:numPr>
          <w:ilvl w:val="0"/>
          <w:numId w:val="2"/>
        </w:numPr>
        <w:spacing w:after="80" w:line="264"/>
      </w:pPr>
      <w:r>
        <w:t xml:space="preserve">сокращение сроков и стоимости оказания услуг за счёт сквозной автоматизации процессов;</w:t>
      </w:r>
    </w:p>
    <w:p>
      <w:pPr>
        <w:pStyle w:val="ListParagraph"/>
        <w:numPr>
          <w:ilvl w:val="0"/>
          <w:numId w:val="2"/>
        </w:numPr>
        <w:spacing w:after="80" w:line="264"/>
      </w:pPr>
      <w:r>
        <w:t xml:space="preserve">реализация принципа Once-Only — однократного предоставления данных гражданином с последующим получением сведений по межведомственным каналам;</w:t>
      </w:r>
    </w:p>
    <w:p>
      <w:pPr>
        <w:pStyle w:val="ListParagraph"/>
        <w:numPr>
          <w:ilvl w:val="0"/>
          <w:numId w:val="2"/>
        </w:numPr>
        <w:spacing w:after="80" w:line="264"/>
      </w:pPr>
      <w:r>
        <w:t xml:space="preserve">построение единой переиспользуемой платформы вместо разрозненных ведомственных порталов;</w:t>
      </w:r>
    </w:p>
    <w:p>
      <w:pPr>
        <w:pStyle w:val="ListParagraph"/>
        <w:numPr>
          <w:ilvl w:val="0"/>
          <w:numId w:val="2"/>
        </w:numPr>
        <w:spacing w:after="80" w:line="264"/>
      </w:pPr>
      <w:r>
        <w:t xml:space="preserve">обеспечение технологической и лицензионной устойчивости за счёт опоры на свободное ПО.</w:t>
      </w:r>
    </w:p>
    <w:p>
      <w:pPr>
        <w:spacing w:after="120" w:line="276"/>
      </w:pPr>
      <w:r>
        <w:t xml:space="preserve">Цель разработки — создать масштабируемую, отказоустойчивую и безопасную платформу, обеспечивающую полный жизненный цикл услуги: от подачи заявления до получения юридически значимого результата.</w:t>
      </w:r>
    </w:p>
    <w:p>
      <w:pPr>
        <w:pStyle w:val="Heading2"/>
      </w:pPr>
      <w:r>
        <w:t xml:space="preserve">1.5. Нормативно-правовая основа</w:t>
      </w:r>
    </w:p>
    <w:p>
      <w:pPr>
        <w:spacing w:after="120" w:line="276"/>
      </w:pPr>
      <w:r>
        <w:t xml:space="preserve">Система создаётся и эксплуатируется в соответствии с действующим законодательством Республики Таджикистан, в том числе:</w:t>
      </w:r>
    </w:p>
    <w:p>
      <w:pPr>
        <w:pStyle w:val="ListParagraph"/>
        <w:numPr>
          <w:ilvl w:val="0"/>
          <w:numId w:val="2"/>
        </w:numPr>
        <w:spacing w:after="80" w:line="264"/>
      </w:pPr>
      <w:r>
        <w:rPr>
          <w:b/>
          <w:bCs/>
        </w:rPr>
        <w:t xml:space="preserve">Закон РТ № 1537 «О защите персональных данных» (2018)</w:t>
      </w:r>
      <w:r>
        <w:t xml:space="preserve"> — определяет порядок обработки и защиты ПДн;</w:t>
      </w:r>
    </w:p>
    <w:p>
      <w:pPr>
        <w:pStyle w:val="ListParagraph"/>
        <w:numPr>
          <w:ilvl w:val="0"/>
          <w:numId w:val="2"/>
        </w:numPr>
        <w:spacing w:after="80" w:line="264"/>
      </w:pPr>
      <w:r>
        <w:rPr>
          <w:b/>
          <w:bCs/>
        </w:rPr>
        <w:t xml:space="preserve">Закон РТ № 1965 «Об электронном документе и электронной подписи» (2023)</w:t>
      </w:r>
      <w:r>
        <w:t xml:space="preserve"> — устанавливает юридическую значимость электронных документов и ЭЦП;</w:t>
      </w:r>
    </w:p>
    <w:p>
      <w:pPr>
        <w:pStyle w:val="ListParagraph"/>
        <w:numPr>
          <w:ilvl w:val="0"/>
          <w:numId w:val="2"/>
        </w:numPr>
        <w:spacing w:after="80" w:line="264"/>
      </w:pPr>
      <w:r>
        <w:rPr>
          <w:b/>
          <w:bCs/>
        </w:rPr>
        <w:t xml:space="preserve">Закон РТ «Об информатизации»</w:t>
      </w:r>
      <w:r>
        <w:t xml:space="preserve"> — общие требования к государственным информационным системам;</w:t>
      </w:r>
    </w:p>
    <w:p>
      <w:pPr>
        <w:pStyle w:val="ListParagraph"/>
        <w:numPr>
          <w:ilvl w:val="0"/>
          <w:numId w:val="2"/>
        </w:numPr>
        <w:spacing w:after="80" w:line="264"/>
      </w:pPr>
      <w:r>
        <w:t xml:space="preserve">Концепция электронного правительства Республики Таджикистан;</w:t>
      </w:r>
    </w:p>
    <w:p>
      <w:pPr>
        <w:pStyle w:val="ListParagraph"/>
        <w:numPr>
          <w:ilvl w:val="0"/>
          <w:numId w:val="2"/>
        </w:numPr>
        <w:spacing w:after="80" w:line="264"/>
      </w:pPr>
      <w:r>
        <w:t xml:space="preserve">Концепция информационной безопасности Республики Таджикистан;</w:t>
      </w:r>
    </w:p>
    <w:p>
      <w:pPr>
        <w:pStyle w:val="ListParagraph"/>
        <w:numPr>
          <w:ilvl w:val="0"/>
          <w:numId w:val="2"/>
        </w:numPr>
        <w:spacing w:after="80" w:line="264"/>
      </w:pPr>
      <w:r>
        <w:t xml:space="preserve">подзаконные акты уполномоченного органа в сфере цифрового развития и регламенты предоставления конкретных услуг.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Принцип суверенитета данных. </w:t>
            </w:r>
            <w:r>
              <w:rPr>
                <w:sz w:val="21"/>
                <w:szCs w:val="21"/>
              </w:rPr>
              <w:t xml:space="preserve">Все персональные данные граждан Республики Таджикистан хранятся и обрабатываются исключительно на территории страны, в ЦОД, расположенных в РТ. Трансграничная передача ПДн не допускается без отдельного правового основания. Правила резидентности и статус всех внешних каналов доставки (push, SMS, e-mail, платёжные провайдеры, CDN) детально определены в разделе 11А.6А.</w:t>
            </w:r>
          </w:p>
        </w:tc>
      </w:tr>
    </w:tbl>
    <w:p>
      <w:pPr>
        <w:pStyle w:val="Heading1"/>
      </w:pPr>
      <w:r>
        <w:t xml:space="preserve">2. Назначение и цели создания системы</w:t>
      </w:r>
    </w:p>
    <w:p>
      <w:pPr>
        <w:pStyle w:val="Heading2"/>
      </w:pPr>
      <w:r>
        <w:t xml:space="preserve">2.1. Назначение системы</w:t>
      </w:r>
    </w:p>
    <w:p>
      <w:pPr>
        <w:spacing w:after="120" w:line="276"/>
      </w:pPr>
      <w:r>
        <w:t xml:space="preserve">Система предназначена для предоставления государственных и муниципальных услуг в электронной форме в круглосуточном режиме (24×7). Система обеспечивает полный жизненный цикл услуги и закрывает следующие функциональные области:</w:t>
      </w:r>
    </w:p>
    <w:p>
      <w:pPr>
        <w:pStyle w:val="ListParagraph"/>
        <w:numPr>
          <w:ilvl w:val="0"/>
          <w:numId w:val="2"/>
        </w:numPr>
        <w:spacing w:after="80" w:line="264"/>
      </w:pPr>
      <w:r>
        <w:t xml:space="preserve">информирование граждан и организаций о доступных услугах, регламентах, сроках и необходимых документах;</w:t>
      </w:r>
    </w:p>
    <w:p>
      <w:pPr>
        <w:pStyle w:val="ListParagraph"/>
        <w:numPr>
          <w:ilvl w:val="0"/>
          <w:numId w:val="2"/>
        </w:numPr>
        <w:spacing w:after="80" w:line="264"/>
      </w:pPr>
      <w:r>
        <w:t xml:space="preserve">подачу заявлений в электронной форме с автозаполнением данных из государственных реестров;</w:t>
      </w:r>
    </w:p>
    <w:p>
      <w:pPr>
        <w:pStyle w:val="ListParagraph"/>
        <w:numPr>
          <w:ilvl w:val="0"/>
          <w:numId w:val="2"/>
        </w:numPr>
        <w:spacing w:after="80" w:line="264"/>
      </w:pPr>
      <w:r>
        <w:t xml:space="preserve">маршрутизацию и исполнение заявлений по сценариям, описанным в BPM-движке;</w:t>
      </w:r>
    </w:p>
    <w:p>
      <w:pPr>
        <w:pStyle w:val="ListParagraph"/>
        <w:numPr>
          <w:ilvl w:val="0"/>
          <w:numId w:val="2"/>
        </w:numPr>
        <w:spacing w:after="80" w:line="264"/>
      </w:pPr>
      <w:r>
        <w:t xml:space="preserve">межведомственное получение сведений через Smart Bridge без участия заявителя;</w:t>
      </w:r>
    </w:p>
    <w:p>
      <w:pPr>
        <w:pStyle w:val="ListParagraph"/>
        <w:numPr>
          <w:ilvl w:val="0"/>
          <w:numId w:val="2"/>
        </w:numPr>
        <w:spacing w:after="80" w:line="264"/>
      </w:pPr>
      <w:r>
        <w:t xml:space="preserve">приём платежей, формирование начислений, сверку и возвраты;</w:t>
      </w:r>
    </w:p>
    <w:p>
      <w:pPr>
        <w:pStyle w:val="ListParagraph"/>
        <w:numPr>
          <w:ilvl w:val="0"/>
          <w:numId w:val="2"/>
        </w:numPr>
        <w:spacing w:after="80" w:line="264"/>
      </w:pPr>
      <w:r>
        <w:t xml:space="preserve">выдачу юридически значимых результатов в виде электронных документов, подписанных ЭЦП;</w:t>
      </w:r>
    </w:p>
    <w:p>
      <w:pPr>
        <w:pStyle w:val="ListParagraph"/>
        <w:numPr>
          <w:ilvl w:val="0"/>
          <w:numId w:val="2"/>
        </w:numPr>
        <w:spacing w:after="80" w:line="264"/>
      </w:pPr>
      <w:r>
        <w:t xml:space="preserve">информирование заявителя о статусе на каждом шаге (push, e-mail, SMS, личный кабинет);</w:t>
      </w:r>
    </w:p>
    <w:p>
      <w:pPr>
        <w:pStyle w:val="ListParagraph"/>
        <w:numPr>
          <w:ilvl w:val="0"/>
          <w:numId w:val="2"/>
        </w:numPr>
        <w:spacing w:after="80" w:line="264"/>
      </w:pPr>
      <w:r>
        <w:t xml:space="preserve">предоставление специалистам ведомств автоматизированных рабочих мест (АРМ);</w:t>
      </w:r>
    </w:p>
    <w:p>
      <w:pPr>
        <w:pStyle w:val="ListParagraph"/>
        <w:numPr>
          <w:ilvl w:val="0"/>
          <w:numId w:val="2"/>
        </w:numPr>
        <w:spacing w:after="80" w:line="264"/>
      </w:pPr>
      <w:r>
        <w:t xml:space="preserve">предоставление администраторам инструментов Low-Code для создания и изменения услуг.</w:t>
      </w:r>
    </w:p>
    <w:p>
      <w:pPr>
        <w:pStyle w:val="Heading2"/>
      </w:pPr>
      <w:r>
        <w:t xml:space="preserve">2.2. Измеримые цели и показатели</w:t>
      </w:r>
    </w:p>
    <w:p>
      <w:pPr>
        <w:spacing w:after="120" w:line="276"/>
      </w:pPr>
      <w:r>
        <w:t xml:space="preserve">Достижение целей создания Системы оценивается по совокупности измеримых показателей. Все показатели подлежат регулярному мониторингу (раздел 13) и проверяются при приёмочных испытаниях (раздел 18). Значения являются целевыми (минимально допустимыми, если не указано иное).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Цель</w:t>
            </w:r>
          </w:p>
        </w:tc>
        <w:tc>
          <w:tcPr>
            <w:tcW w:type="dxa" w:w="4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Показатель</w:t>
            </w:r>
          </w:p>
        </w:tc>
        <w:tc>
          <w:tcPr>
            <w:tcW w:type="dxa" w:w="2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Целевое значение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 услуг</w:t>
            </w:r>
          </w:p>
        </w:tc>
        <w:tc>
          <w:tcPr>
            <w:tcW w:type="dxa" w:w="4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Доля услуг, доступных в электронном виде</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bCs/>
                <w:color w:val="1A1A1A"/>
                <w:sz w:val="20"/>
                <w:szCs w:val="20"/>
              </w:rPr>
              <w:t xml:space="preserve">≥ 95 %</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Качество оказания</w:t>
            </w:r>
          </w:p>
        </w:tc>
        <w:tc>
          <w:tcPr>
            <w:tcW w:type="dxa" w:w="4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Доля отклонений из-за ошибок данных/процесса</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bCs/>
                <w:color w:val="1A1A1A"/>
                <w:sz w:val="20"/>
                <w:szCs w:val="20"/>
              </w:rPr>
              <w:t xml:space="preserve">≤ 1 %</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Скорость разработки</w:t>
            </w:r>
          </w:p>
        </w:tc>
        <w:tc>
          <w:tcPr>
            <w:tcW w:type="dxa" w:w="4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Срок создания типовой услуги средствами Low-Code</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bCs/>
                <w:color w:val="1A1A1A"/>
                <w:sz w:val="20"/>
                <w:szCs w:val="20"/>
              </w:rPr>
              <w:t xml:space="preserve">≤ 10 дней</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Уровень автоматизации</w:t>
            </w:r>
          </w:p>
        </w:tc>
        <w:tc>
          <w:tcPr>
            <w:tcW w:type="dxa" w:w="4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Доля шагов процесса без участия человека</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bCs/>
                <w:color w:val="1A1A1A"/>
                <w:sz w:val="20"/>
                <w:szCs w:val="20"/>
              </w:rPr>
              <w:t xml:space="preserve">≥ 70 %</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Производительность</w:t>
            </w:r>
          </w:p>
        </w:tc>
        <w:tc>
          <w:tcPr>
            <w:tcW w:type="dxa" w:w="4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отклика веб-интерфейса (P95)</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bCs/>
                <w:color w:val="1A1A1A"/>
                <w:sz w:val="20"/>
                <w:szCs w:val="20"/>
              </w:rPr>
              <w:t xml:space="preserve">≤ 1,5 с</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 платформы</w:t>
            </w:r>
          </w:p>
        </w:tc>
        <w:tc>
          <w:tcPr>
            <w:tcW w:type="dxa" w:w="4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Годовой уровень доступности (Uptime)</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bCs/>
                <w:color w:val="1A1A1A"/>
                <w:sz w:val="20"/>
                <w:szCs w:val="20"/>
              </w:rPr>
              <w:t xml:space="preserve">≥ 99,95 %</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Once-Only</w:t>
            </w:r>
          </w:p>
        </w:tc>
        <w:tc>
          <w:tcPr>
            <w:tcW w:type="dxa" w:w="4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Доля данных, не запрашиваемых у заявителя повторно</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bCs/>
                <w:color w:val="1A1A1A"/>
                <w:sz w:val="20"/>
                <w:szCs w:val="20"/>
              </w:rPr>
              <w:t xml:space="preserve">≥ 90 %</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Удовлетворённость</w:t>
            </w:r>
          </w:p>
        </w:tc>
        <w:tc>
          <w:tcPr>
            <w:tcW w:type="dxa" w:w="4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Индекс удовлетворённости пользователей (CSAT)</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bCs/>
                <w:color w:val="1A1A1A"/>
                <w:sz w:val="20"/>
                <w:szCs w:val="20"/>
              </w:rPr>
              <w:t xml:space="preserve">≥ 90 %</w:t>
            </w:r>
          </w:p>
        </w:tc>
      </w:tr>
    </w:tbl>
    <w:p>
      <w:pPr>
        <w:spacing w:after="120" w:line="276"/>
      </w:pPr>
      <w:r>
        <w:t xml:space="preserve">Показатели формируют единую систему критериев успеха проекта. Невыполнение любого из показателей по итогам опытной эксплуатации является основанием для доработки до приёмки в постоянную эксплуатацию.</w:t>
      </w:r>
    </w:p>
    <w:p>
      <w:pPr>
        <w:pStyle w:val="Heading2"/>
      </w:pPr>
      <w:r>
        <w:t xml:space="preserve">2.3. Целевые группы пользователей</w:t>
      </w:r>
    </w:p>
    <w:p>
      <w:pPr>
        <w:spacing w:after="120" w:line="276"/>
      </w:pPr>
      <w:r>
        <w:t xml:space="preserve">Система обслуживает несколько категорий пользователей, для каждой из которых предусмотрен отдельный канал доступа и набор функций. Детальные функциональные требования по ролям приведены в разделе 6 (функциональные требования).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Группа пользователей</w:t>
            </w:r>
          </w:p>
        </w:tc>
        <w:tc>
          <w:tcPr>
            <w:tcW w:type="dxa" w:w="64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Основные потребности и сценарии</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Граждане (физические лица)</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Поиск и получение услуг, отслеживание статусов, хранение полученных документов, оплата пошлин. Доступ через веб-портал и мобильные приложения.</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Организации и ИП</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Получение услуг для юридических лиц, в том числе через программную интеграцию (API) с собственными информационными системами.</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Специалисты ведомств</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Обработка поступивших заявлений на автоматизированном рабочем месте (АРМ): рассмотрение, запрос сведений, принятие решения, формирование результата.</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Администраторы услуг</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Создание и изменение услуг средствами Low-Code: процессы (BPMN), формы (Form.io), правила (DMN), шаблоны уведомлений и документов.</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DevOps / эксплуатация</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Развёртывание, мониторинг, управление инцидентами, резервное копирование, проведение DR-учений.</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Внешние информационные системы</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Потребление открытых API Платформы и предоставление сведений через Smart Bridge.</w:t>
            </w:r>
          </w:p>
        </w:tc>
      </w:tr>
    </w:tbl>
    <w:p>
      <w:pPr>
        <w:pStyle w:val="Heading1"/>
      </w:pPr>
      <w:r>
        <w:t xml:space="preserve">2А. Контекст, границы и заинтересованные стороны</w:t>
      </w:r>
    </w:p>
    <w:p>
      <w:pPr>
        <w:spacing w:after="120" w:line="276"/>
      </w:pPr>
      <w:r>
        <w:t xml:space="preserve">Настоящий раздел определяет контекст функционирования Системы, её границы (что входит и что не входит в объём), внешнее окружение, заинтересованные стороны, а также допущения и ограничения. Раздел дополняет назначение и цели (раздел 2) и служит рамкой для согласования объёма работ.</w:t>
      </w:r>
    </w:p>
    <w:p>
      <w:pPr>
        <w:pStyle w:val="Heading2"/>
      </w:pPr>
      <w:r>
        <w:t xml:space="preserve">2А.1. Контекст системы и внешнее окружение</w:t>
      </w:r>
    </w:p>
    <w:p>
      <w:pPr>
        <w:spacing w:after="120" w:line="276"/>
      </w:pPr>
      <w:r>
        <w:t xml:space="preserve">Система функционирует в окружении внешних систем и участников, с которыми она взаимодействует. Ниже приведено описание внешнего окружения (контекстная граница): что является внешним по отношению к Платформе и каков характер взаимодействия.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Внешний участник/система</w:t>
            </w:r>
          </w:p>
        </w:tc>
        <w:tc>
          <w:tcPr>
            <w:tcW w:type="dxa" w:w="3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Характер взаимодействия</w:t>
            </w:r>
          </w:p>
        </w:tc>
        <w:tc>
          <w:tcPr>
            <w:tcW w:type="dxa" w:w="2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Через что</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Граждане и организации</w:t>
            </w:r>
          </w:p>
        </w:tc>
        <w:tc>
          <w:tcPr>
            <w:tcW w:type="dxa" w:w="3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Получение услуг, подача заявлений</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Веб, мобайл</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Специалисты ведомств</w:t>
            </w:r>
          </w:p>
        </w:tc>
        <w:tc>
          <w:tcPr>
            <w:tcW w:type="dxa" w:w="3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Обработка заявлений</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АРМ (раздел 7Б)</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Государственные реестры ведомств</w:t>
            </w:r>
          </w:p>
        </w:tc>
        <w:tc>
          <w:tcPr>
            <w:tcW w:type="dxa" w:w="3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Предоставление сведений (Once-Only)</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Smart Bridge</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Система eID</w:t>
            </w:r>
          </w:p>
        </w:tc>
        <w:tc>
          <w:tcPr>
            <w:tcW w:type="dxa" w:w="3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Идентификация граждан</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IAM (Keycloak)</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Платёжные провайдеры / Нацбанк</w:t>
            </w:r>
          </w:p>
        </w:tc>
        <w:tc>
          <w:tcPr>
            <w:tcW w:type="dxa" w:w="3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Приём платежей, проводки</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ACL платежей</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Удостоверяющий центр</w:t>
            </w:r>
          </w:p>
        </w:tc>
        <w:tc>
          <w:tcPr>
            <w:tcW w:type="dxa" w:w="3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Сертификаты для ЭЦП</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Сервис ЭЦП</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Каналы доставки (SMS/Email/Push)</w:t>
            </w:r>
          </w:p>
        </w:tc>
        <w:tc>
          <w:tcPr>
            <w:tcW w:type="dxa" w:w="3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Доставка уведомлений</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Сервис уведомлений</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Внешние информационные системы</w:t>
            </w:r>
          </w:p>
        </w:tc>
        <w:tc>
          <w:tcPr>
            <w:tcW w:type="dxa" w:w="3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Программная интеграция</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Открытые API</w:t>
            </w:r>
          </w:p>
        </w:tc>
      </w:tr>
    </w:tbl>
    <w:p>
      <w:pPr>
        <w:spacing w:after="160" w:before="60" w:line="240"/>
      </w:pPr>
      <w:r>
        <w:rPr>
          <w:i/>
          <w:iCs/>
          <w:color w:val="5A6B7B"/>
          <w:sz w:val="18"/>
          <w:szCs w:val="18"/>
        </w:rPr>
        <w:t xml:space="preserve">Таблица 2А.1 — Внешнее окружение Системы (контекстная граница).</w:t>
      </w:r>
    </w:p>
    <w:p>
      <w:pPr>
        <w:pStyle w:val="Heading2"/>
      </w:pPr>
      <w:r>
        <w:t xml:space="preserve">2А.2. Границы системы (входит / не входит)</w:t>
      </w:r>
    </w:p>
    <w:p>
      <w:pPr>
        <w:spacing w:after="120" w:line="276"/>
      </w:pPr>
      <w:r>
        <w:t xml:space="preserve">Чёткое определение границ предотвращает разрастание объёма и взаимные ожидания сторон. Ниже разграничено, что входит в объём создания Платформы и что остаётся за её пределами.</w:t>
      </w:r>
    </w:p>
    <w:p>
      <w:pPr>
        <w:pStyle w:val="Heading4"/>
      </w:pPr>
      <w:r>
        <w:t xml:space="preserve">2А.2.1. Входит в объём</w:t>
      </w:r>
    </w:p>
    <w:p>
      <w:pPr>
        <w:pStyle w:val="ListParagraph"/>
        <w:numPr>
          <w:ilvl w:val="0"/>
          <w:numId w:val="2"/>
        </w:numPr>
        <w:spacing w:after="80" w:line="264"/>
      </w:pPr>
      <w:r>
        <w:t xml:space="preserve">платформа предоставления услуг (порталы, мобильные приложения, АРМ, кабинет администратора);</w:t>
      </w:r>
    </w:p>
    <w:p>
      <w:pPr>
        <w:pStyle w:val="ListParagraph"/>
        <w:numPr>
          <w:ilvl w:val="0"/>
          <w:numId w:val="2"/>
        </w:numPr>
        <w:spacing w:after="80" w:line="264"/>
      </w:pPr>
      <w:r>
        <w:t xml:space="preserve">доменные и платформенные сервисы (раздел 4.3, 5А);</w:t>
      </w:r>
    </w:p>
    <w:p>
      <w:pPr>
        <w:pStyle w:val="ListParagraph"/>
        <w:numPr>
          <w:ilvl w:val="0"/>
          <w:numId w:val="2"/>
        </w:numPr>
        <w:spacing w:after="80" w:line="264"/>
      </w:pPr>
      <w:r>
        <w:t xml:space="preserve">среда создания услуг (Low-Code: процессы, формы, правила);</w:t>
      </w:r>
    </w:p>
    <w:p>
      <w:pPr>
        <w:pStyle w:val="ListParagraph"/>
        <w:numPr>
          <w:ilvl w:val="0"/>
          <w:numId w:val="2"/>
        </w:numPr>
        <w:spacing w:after="80" w:line="264"/>
      </w:pPr>
      <w:r>
        <w:t xml:space="preserve">интеграционные коннекторы к ведомствам через Smart Bridge;</w:t>
      </w:r>
    </w:p>
    <w:p>
      <w:pPr>
        <w:pStyle w:val="ListParagraph"/>
        <w:numPr>
          <w:ilvl w:val="0"/>
          <w:numId w:val="2"/>
        </w:numPr>
        <w:spacing w:after="80" w:line="264"/>
      </w:pPr>
      <w:r>
        <w:t xml:space="preserve">инфраструктура развёртывания (Kubernetes, CI/CD, наблюдаемость) в двух ЦОД;</w:t>
      </w:r>
    </w:p>
    <w:p>
      <w:pPr>
        <w:pStyle w:val="ListParagraph"/>
        <w:numPr>
          <w:ilvl w:val="0"/>
          <w:numId w:val="2"/>
        </w:numPr>
        <w:spacing w:after="80" w:line="264"/>
      </w:pPr>
      <w:r>
        <w:t xml:space="preserve">подсистемы безопасности, уведомлений, документов, платежей, аудита.</w:t>
      </w:r>
    </w:p>
    <w:p>
      <w:pPr>
        <w:pStyle w:val="Heading4"/>
      </w:pPr>
      <w:r>
        <w:t xml:space="preserve">2А.2.2. Не входит в объём</w:t>
      </w:r>
    </w:p>
    <w:p>
      <w:pPr>
        <w:pStyle w:val="ListParagraph"/>
        <w:numPr>
          <w:ilvl w:val="0"/>
          <w:numId w:val="2"/>
        </w:numPr>
        <w:spacing w:after="80" w:line="264"/>
      </w:pPr>
      <w:r>
        <w:rPr>
          <w:b/>
          <w:bCs/>
        </w:rPr>
        <w:t xml:space="preserve">Внутренние информационные системы ведомств </w:t>
      </w:r>
      <w:r>
        <w:t xml:space="preserve">— разрабатываются и сопровождаются ведомствами; Платформа взаимодействует с ними только через Smart Bridge.</w:t>
      </w:r>
    </w:p>
    <w:p>
      <w:pPr>
        <w:pStyle w:val="ListParagraph"/>
        <w:numPr>
          <w:ilvl w:val="0"/>
          <w:numId w:val="2"/>
        </w:numPr>
        <w:spacing w:after="80" w:line="264"/>
      </w:pPr>
      <w:r>
        <w:rPr>
          <w:b/>
          <w:bCs/>
        </w:rPr>
        <w:t xml:space="preserve">Сама система Smart Bridge </w:t>
      </w:r>
      <w:r>
        <w:t xml:space="preserve">— существующая система; Платформа является её потребителем.</w:t>
      </w:r>
    </w:p>
    <w:p>
      <w:pPr>
        <w:pStyle w:val="ListParagraph"/>
        <w:numPr>
          <w:ilvl w:val="0"/>
          <w:numId w:val="2"/>
        </w:numPr>
        <w:spacing w:after="80" w:line="264"/>
      </w:pPr>
      <w:r>
        <w:rPr>
          <w:b/>
          <w:bCs/>
        </w:rPr>
        <w:t xml:space="preserve">Система eID и удостоверяющий центр </w:t>
      </w:r>
      <w:r>
        <w:t xml:space="preserve">— внешние подсистемы; Платформа интегрируется с ними.</w:t>
      </w:r>
    </w:p>
    <w:p>
      <w:pPr>
        <w:pStyle w:val="ListParagraph"/>
        <w:numPr>
          <w:ilvl w:val="0"/>
          <w:numId w:val="2"/>
        </w:numPr>
        <w:spacing w:after="80" w:line="264"/>
      </w:pPr>
      <w:r>
        <w:rPr>
          <w:b/>
          <w:bCs/>
        </w:rPr>
        <w:t xml:space="preserve">Платёжные системы провайдеров </w:t>
      </w:r>
      <w:r>
        <w:t xml:space="preserve">— внешние; Платформа взаимодействует через ACL.</w:t>
      </w:r>
    </w:p>
    <w:p>
      <w:pPr>
        <w:pStyle w:val="ListParagraph"/>
        <w:numPr>
          <w:ilvl w:val="0"/>
          <w:numId w:val="2"/>
        </w:numPr>
        <w:spacing w:after="80" w:line="264"/>
      </w:pPr>
      <w:r>
        <w:rPr>
          <w:b/>
          <w:bCs/>
        </w:rPr>
        <w:t xml:space="preserve">Ведение первичных государственных реестров </w:t>
      </w:r>
      <w:r>
        <w:t xml:space="preserve">— остаётся за ведомствами-владельцами.</w:t>
      </w:r>
    </w:p>
    <w:p>
      <w:pPr>
        <w:pStyle w:val="Heading2"/>
      </w:pPr>
      <w:r>
        <w:t xml:space="preserve">2А.3. Заинтересованные стороны</w:t>
      </w:r>
    </w:p>
    <w:p>
      <w:pPr>
        <w:spacing w:after="120" w:line="276"/>
      </w:pPr>
      <w:r>
        <w:t xml:space="preserve">Перечень заинтересованных сторон и их основных интересов используется при принятии решений и приоритизации.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Сторона</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Основной интерес</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Граждане</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Простое, быстрое получение услуг в любое время.</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Организации и ИП</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Удобное взаимодействие, программная интеграция.</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Ведомства</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Снижение нагрузки, качество и сроки обработки.</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Уполномоченный орган (заказчик)</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Достижение целей цифровизации, контроль показателей.</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Специалисты ведомств</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Удобный инструмент обработки (АРМ).</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Команда эксплуатации</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Стабильность, наблюдаемость, управляемость.</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Регуляторы (ИБ, ПДн)</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Соответствие законодательству и нормативам.</w:t>
            </w:r>
          </w:p>
        </w:tc>
      </w:tr>
    </w:tbl>
    <w:p>
      <w:pPr>
        <w:spacing w:after="160" w:before="60" w:line="240"/>
      </w:pPr>
      <w:r>
        <w:rPr>
          <w:i/>
          <w:iCs/>
          <w:color w:val="5A6B7B"/>
          <w:sz w:val="18"/>
          <w:szCs w:val="18"/>
        </w:rPr>
        <w:t xml:space="preserve">Таблица 2А.2 — Заинтересованные стороны и их интересы.</w:t>
      </w:r>
    </w:p>
    <w:p>
      <w:pPr>
        <w:pStyle w:val="Heading2"/>
      </w:pPr>
      <w:r>
        <w:t xml:space="preserve">2А.4. Допущения и ограничения</w:t>
      </w:r>
    </w:p>
    <w:p>
      <w:pPr>
        <w:spacing w:after="120" w:line="276"/>
      </w:pPr>
      <w:r>
        <w:t xml:space="preserve">Проектные решения опираются на ряд допущений и действуют в рамках ограничений. Их изменение может потребовать пересмотра решений.</w:t>
      </w:r>
    </w:p>
    <w:p>
      <w:pPr>
        <w:pStyle w:val="Heading4"/>
      </w:pPr>
      <w:r>
        <w:t xml:space="preserve">2А.4.1. Допущения</w:t>
      </w:r>
    </w:p>
    <w:p>
      <w:pPr>
        <w:pStyle w:val="ListParagraph"/>
        <w:numPr>
          <w:ilvl w:val="0"/>
          <w:numId w:val="2"/>
        </w:numPr>
        <w:spacing w:after="80" w:line="264"/>
      </w:pPr>
      <w:r>
        <w:t xml:space="preserve">Smart Bridge доступен и предоставляет необходимые сведения от ведомств;</w:t>
      </w:r>
    </w:p>
    <w:p>
      <w:pPr>
        <w:pStyle w:val="ListParagraph"/>
        <w:numPr>
          <w:ilvl w:val="0"/>
          <w:numId w:val="2"/>
        </w:numPr>
        <w:spacing w:after="80" w:line="264"/>
      </w:pPr>
      <w:r>
        <w:t xml:space="preserve">система eID обеспечивает идентификацию граждан;</w:t>
      </w:r>
    </w:p>
    <w:p>
      <w:pPr>
        <w:pStyle w:val="ListParagraph"/>
        <w:numPr>
          <w:ilvl w:val="0"/>
          <w:numId w:val="2"/>
        </w:numPr>
        <w:spacing w:after="80" w:line="264"/>
      </w:pPr>
      <w:r>
        <w:t xml:space="preserve">ведомства подключаются по согласованным волнам (раздел 13);</w:t>
      </w:r>
    </w:p>
    <w:p>
      <w:pPr>
        <w:pStyle w:val="ListParagraph"/>
        <w:numPr>
          <w:ilvl w:val="0"/>
          <w:numId w:val="2"/>
        </w:numPr>
        <w:spacing w:after="80" w:line="264"/>
      </w:pPr>
      <w:r>
        <w:t xml:space="preserve">инфраструктура двух ЦОД предоставляется в требуемой конфигурации (раздел 12.4).</w:t>
      </w:r>
    </w:p>
    <w:p>
      <w:pPr>
        <w:pStyle w:val="Heading4"/>
      </w:pPr>
      <w:r>
        <w:t xml:space="preserve">2А.4.2. Ограничения</w:t>
      </w:r>
    </w:p>
    <w:p>
      <w:pPr>
        <w:pStyle w:val="ListParagraph"/>
        <w:numPr>
          <w:ilvl w:val="0"/>
          <w:numId w:val="2"/>
        </w:numPr>
        <w:spacing w:after="80" w:line="264"/>
      </w:pPr>
      <w:r>
        <w:t xml:space="preserve">персональные данные хранятся и обрабатываются только на территории РТ (суверенитет данных);</w:t>
      </w:r>
    </w:p>
    <w:p>
      <w:pPr>
        <w:pStyle w:val="ListParagraph"/>
        <w:numPr>
          <w:ilvl w:val="0"/>
          <w:numId w:val="2"/>
        </w:numPr>
        <w:spacing w:after="80" w:line="264"/>
      </w:pPr>
      <w:r>
        <w:t xml:space="preserve">опора на свободное ПО, кроме обоснованных исключений (раздел 5.1);</w:t>
      </w:r>
    </w:p>
    <w:p>
      <w:pPr>
        <w:pStyle w:val="ListParagraph"/>
        <w:numPr>
          <w:ilvl w:val="0"/>
          <w:numId w:val="2"/>
        </w:numPr>
        <w:spacing w:after="80" w:line="264"/>
      </w:pPr>
      <w:r>
        <w:t xml:space="preserve">соответствие законодательству РТ (раздел 1.5);</w:t>
      </w:r>
    </w:p>
    <w:p>
      <w:pPr>
        <w:pStyle w:val="ListParagraph"/>
        <w:numPr>
          <w:ilvl w:val="0"/>
          <w:numId w:val="2"/>
        </w:numPr>
        <w:spacing w:after="80" w:line="264"/>
      </w:pPr>
      <w:r>
        <w:t xml:space="preserve">межведомственное взаимодействие только через Smart Bridge.</w:t>
      </w:r>
    </w:p>
    <w:p>
      <w:pPr>
        <w:pStyle w:val="Heading1"/>
      </w:pPr>
      <w:r>
        <w:t xml:space="preserve">3. Ключевые принципы построения системы</w:t>
      </w:r>
    </w:p>
    <w:p>
      <w:pPr>
        <w:spacing w:after="120" w:line="276"/>
      </w:pPr>
      <w:r>
        <w:t xml:space="preserve">Проектные решения Системы подчинены набору базовых принципов. Они задают рамки для всех последующих архитектурных и функциональных требований; отступление от принципа допускается только при явном обосновании в архитектурном решении (ADR).</w:t>
      </w:r>
    </w:p>
    <w:p>
      <w:pPr>
        <w:pStyle w:val="Heading3"/>
      </w:pPr>
      <w:r>
        <w:t xml:space="preserve">3.1. Once-Only (однократное предоставление данных)</w:t>
      </w:r>
    </w:p>
    <w:p>
      <w:pPr>
        <w:spacing w:after="120" w:line="276"/>
      </w:pPr>
      <w:r>
        <w:t xml:space="preserve">Заявитель предоставляет каждую единицу данных государству только один раз. Если сведения уже имеются в государственных реестрах, Система получает их по межведомственным каналам через Smart Bridge, а не запрашивает у гражданина повторно. Принцип напрямую измеряется показателем «доля данных, не запрашиваемых повторно ≥ 90 %».</w:t>
      </w:r>
    </w:p>
    <w:p>
      <w:pPr>
        <w:pStyle w:val="Heading3"/>
      </w:pPr>
      <w:r>
        <w:t xml:space="preserve">3.2. Платформенный подход</w:t>
      </w:r>
    </w:p>
    <w:p>
      <w:pPr>
        <w:spacing w:after="120" w:line="276"/>
      </w:pPr>
      <w:r>
        <w:t xml:space="preserve">Система строится как набор переиспользуемых сервисов и общих платформенных возможностей (идентификация, уведомления, платежи, документы, аудит, НСИ), а не как совокупность изолированных ведомственных решений. Новая услуга собирается из существующих компонентов, что обеспечивает целевой срок создания услуги ≤ 10 дней.</w:t>
      </w:r>
    </w:p>
    <w:p>
      <w:pPr>
        <w:pStyle w:val="Heading3"/>
      </w:pPr>
      <w:r>
        <w:t xml:space="preserve">3.3. Эталонные реестры и единый источник истины</w:t>
      </w:r>
    </w:p>
    <w:p>
      <w:pPr>
        <w:spacing w:after="120" w:line="276"/>
      </w:pPr>
      <w:r>
        <w:t xml:space="preserve">Каждая сущность данных имеет единственный сервис-владелец (SSOT). Остальные подсистемы используют данные через контрактные интерфейсы и события, не дублируя и не искажая их. Это исключает рассинхронизацию и противоречивость сведений.</w:t>
      </w:r>
    </w:p>
    <w:p>
      <w:pPr>
        <w:pStyle w:val="Heading3"/>
      </w:pPr>
      <w:r>
        <w:t xml:space="preserve">3.4. Ориентация на жизненные ситуации</w:t>
      </w:r>
    </w:p>
    <w:p>
      <w:pPr>
        <w:spacing w:after="120" w:line="276"/>
      </w:pPr>
      <w:r>
        <w:t xml:space="preserve">Услуги группируются вокруг жизненных ситуаций гражданина (рождение ребёнка, смена места жительства, открытие бизнеса), а не вокруг внутренней структуры ведомств. Связанные услуги объединяются в сквозные сценарии, минимизирующие число обращений.</w:t>
      </w:r>
    </w:p>
    <w:p>
      <w:pPr>
        <w:pStyle w:val="Heading3"/>
      </w:pPr>
      <w:r>
        <w:t xml:space="preserve">3.5. Мобильный приоритет (Mobile-First)</w:t>
      </w:r>
    </w:p>
    <w:p>
      <w:pPr>
        <w:spacing w:after="120" w:line="276"/>
      </w:pPr>
      <w:r>
        <w:t xml:space="preserve">Интерфейсы проектируются в первую очередь для мобильных устройств как основного канала доступа граждан. Для мобильного канала выделен отдельный слой агрегации (mobile-BFF) и нативные приложения.</w:t>
      </w:r>
    </w:p>
    <w:p>
      <w:pPr>
        <w:pStyle w:val="Heading3"/>
      </w:pPr>
      <w:r>
        <w:t xml:space="preserve">3.6. API-first и contract-first</w:t>
      </w:r>
    </w:p>
    <w:p>
      <w:pPr>
        <w:spacing w:after="120" w:line="276"/>
      </w:pPr>
      <w:r>
        <w:t xml:space="preserve">Каждая функция Системы доступна через API, спецификация которого (OpenAPI) разрабатывается до реализации и является контрактом между командами. Это обеспечивает параллельную разработку, тестируемость и подключение внешних систем.</w:t>
      </w:r>
    </w:p>
    <w:p>
      <w:pPr>
        <w:pStyle w:val="Heading3"/>
      </w:pPr>
      <w:r>
        <w:t xml:space="preserve">3.7. Проактивность</w:t>
      </w:r>
    </w:p>
    <w:p>
      <w:pPr>
        <w:spacing w:after="120" w:line="276"/>
      </w:pPr>
      <w:r>
        <w:t xml:space="preserve">По мере зрелости Платформа переходит от реактивного оказания услуг (по заявлению) к проактивному — инициируя услугу на основании событий в государственных реестрах (например, уведомление о наступлении срока с предзаполненным заявлением).</w:t>
      </w:r>
    </w:p>
    <w:p>
      <w:pPr>
        <w:pStyle w:val="Heading1"/>
      </w:pPr>
      <w:r>
        <w:t xml:space="preserve">4. Требования к архитектуре системы</w:t>
      </w:r>
    </w:p>
    <w:p>
      <w:pPr>
        <w:spacing w:after="120" w:line="276"/>
      </w:pPr>
      <w:r>
        <w:t xml:space="preserve">Архитектура Системы строится по модели cloud-native микросервисной платформы. Настоящий раздел раскрывает архитектурные принципы, логические слои, состав доменных сервисов, способ их взаимодействия, маршрут трафика и стратегию версионирования интерфейсов.</w:t>
      </w:r>
    </w:p>
    <w:p>
      <w:pPr>
        <w:pStyle w:val="Heading2"/>
      </w:pPr>
      <w:r>
        <w:t xml:space="preserve">4.0. Сводная архитектурная схема (целевая редакция)</w:t>
      </w:r>
    </w:p>
    <w:p>
      <w:pPr>
        <w:spacing w:after="120" w:line="276"/>
      </w:pPr>
      <w:r>
        <w:t xml:space="preserve">Настоящий пункт фиксирует целевую редакцию архитектуры. Критичные операции записи выполняются по модели Active-Passive (запись в Primary-ЦОД, чтение — в обоих); PostgreSQL используется как источник истины для идемпотентности критичных команд; Redis применяется только для кэша и краткоживущих технических блокировок; BPM-движок управляет процессом без переноса доменной логики внутрь движка.</w:t>
      </w:r>
    </w:p>
    <w:p>
      <w:pPr>
        <w:spacing w:after="120" w:line="276"/>
      </w:pPr>
      <w:r>
        <w:t xml:space="preserve">Ключевые архитектурные решения, обязательные к применению при проектировании:</w:t>
      </w:r>
    </w:p>
    <w:p>
      <w:pPr>
        <w:pStyle w:val="ListParagraph"/>
        <w:numPr>
          <w:ilvl w:val="0"/>
          <w:numId w:val="2"/>
        </w:numPr>
        <w:spacing w:after="80" w:line="264"/>
      </w:pPr>
      <w:r>
        <w:rPr>
          <w:b/>
          <w:bCs/>
        </w:rPr>
        <w:t xml:space="preserve">Георезервирование: </w:t>
      </w:r>
      <w:r>
        <w:t xml:space="preserve">Active-Passive для критичных write-path вместо PostgreSQL multi-master (раздел 12.4).</w:t>
      </w:r>
    </w:p>
    <w:p>
      <w:pPr>
        <w:pStyle w:val="ListParagraph"/>
        <w:numPr>
          <w:ilvl w:val="0"/>
          <w:numId w:val="2"/>
        </w:numPr>
        <w:spacing w:after="80" w:line="264"/>
      </w:pPr>
      <w:r>
        <w:rPr>
          <w:b/>
          <w:bCs/>
        </w:rPr>
        <w:t xml:space="preserve">Идемпотентность: </w:t>
      </w:r>
      <w:r>
        <w:t xml:space="preserve">источником истины для платежей и иных критичных команд является PostgreSQL (уникальные ключи и статусы), а не блокировки в Redis (разделы 4А.3.1, 4А.7).</w:t>
      </w:r>
    </w:p>
    <w:p>
      <w:pPr>
        <w:pStyle w:val="ListParagraph"/>
        <w:numPr>
          <w:ilvl w:val="0"/>
          <w:numId w:val="2"/>
        </w:numPr>
        <w:spacing w:after="80" w:line="264"/>
      </w:pPr>
      <w:r>
        <w:rPr>
          <w:b/>
          <w:bCs/>
        </w:rPr>
        <w:t xml:space="preserve">BFF по каналам: </w:t>
      </w:r>
      <w:r>
        <w:t xml:space="preserve">отдельные BFF для web, mobile, АРМ специалиста и административной панели.</w:t>
      </w:r>
    </w:p>
    <w:p>
      <w:pPr>
        <w:pStyle w:val="ListParagraph"/>
        <w:numPr>
          <w:ilvl w:val="0"/>
          <w:numId w:val="2"/>
        </w:numPr>
        <w:spacing w:after="80" w:line="264"/>
      </w:pPr>
      <w:r>
        <w:rPr>
          <w:b/>
          <w:bCs/>
        </w:rPr>
        <w:t xml:space="preserve">Согласия: </w:t>
      </w:r>
      <w:r>
        <w:t xml:space="preserve">управление согласиями выделено в обособленную область (consent), готовую к выносу в отдельный сервис (раздел 4А.9).</w:t>
      </w:r>
    </w:p>
    <w:p>
      <w:pPr>
        <w:pStyle w:val="ListParagraph"/>
        <w:numPr>
          <w:ilvl w:val="0"/>
          <w:numId w:val="2"/>
        </w:numPr>
        <w:spacing w:after="80" w:line="264"/>
      </w:pPr>
      <w:r>
        <w:rPr>
          <w:b/>
          <w:bCs/>
        </w:rPr>
        <w:t xml:space="preserve">Контракты API и событий: </w:t>
      </w:r>
      <w:r>
        <w:t xml:space="preserve">обязательные OpenAPI 3.1, AsyncAPI, Schema Registry, версионирование событий.</w:t>
      </w:r>
    </w:p>
    <w:p>
      <w:pPr>
        <w:pStyle w:val="ListParagraph"/>
        <w:numPr>
          <w:ilvl w:val="0"/>
          <w:numId w:val="2"/>
        </w:numPr>
        <w:spacing w:after="80" w:line="264"/>
      </w:pPr>
      <w:r>
        <w:rPr>
          <w:b/>
          <w:bCs/>
        </w:rPr>
        <w:t xml:space="preserve">Выделенные слои: </w:t>
      </w:r>
      <w:r>
        <w:t xml:space="preserve">Payment Safety, Integration/ACL, Document Lifecycle, Observability, Platform/DevSecOps.</w:t>
      </w:r>
    </w:p>
    <w:p>
      <w:pPr>
        <w:pStyle w:val="ListParagraph"/>
        <w:numPr>
          <w:ilvl w:val="0"/>
          <w:numId w:val="2"/>
        </w:numPr>
        <w:spacing w:after="80" w:line="264"/>
      </w:pPr>
      <w:r>
        <w:rPr>
          <w:b/>
          <w:bCs/>
        </w:rPr>
        <w:t xml:space="preserve">Роль BPM-движка: </w:t>
      </w:r>
      <w:r>
        <w:t xml:space="preserve">только оркестрация процессов; доменная логика — в сервисах под тестами (раздел 4А.8).</w:t>
      </w:r>
    </w:p>
    <w:p>
      <w:pPr>
        <w:pStyle w:val="Heading2"/>
      </w:pPr>
      <w:r>
        <w:t xml:space="preserve">4.1. Архитектурные принципы</w:t>
      </w:r>
    </w:p>
    <w:p>
      <w:pPr>
        <w:spacing w:after="120" w:line="276"/>
      </w:pPr>
      <w:r>
        <w:t xml:space="preserve">В основе проектирования лежат следующие принципы:</w:t>
      </w:r>
    </w:p>
    <w:p>
      <w:pPr>
        <w:pStyle w:val="ListParagraph"/>
        <w:numPr>
          <w:ilvl w:val="0"/>
          <w:numId w:val="2"/>
        </w:numPr>
        <w:spacing w:after="80" w:line="264"/>
      </w:pPr>
      <w:r>
        <w:rPr>
          <w:b/>
          <w:bCs/>
        </w:rPr>
        <w:t xml:space="preserve">Cloud-native. </w:t>
      </w:r>
      <w:r>
        <w:t xml:space="preserve">Все компоненты выполняются в контейнерах под управлением Kubernetes; масштабирование, самовосстановление и обновление автоматизированы.</w:t>
      </w:r>
    </w:p>
    <w:p>
      <w:pPr>
        <w:pStyle w:val="ListParagraph"/>
        <w:numPr>
          <w:ilvl w:val="0"/>
          <w:numId w:val="2"/>
        </w:numPr>
        <w:spacing w:after="80" w:line="264"/>
      </w:pPr>
      <w:r>
        <w:rPr>
          <w:b/>
          <w:bCs/>
        </w:rPr>
        <w:t xml:space="preserve">Микросервисность и DDD. </w:t>
      </w:r>
      <w:r>
        <w:t xml:space="preserve">Система декомпозирована на доменные сервисы по границам предметных областей (bounded contexts). Каждый сервис автономен и развивается независимо.</w:t>
      </w:r>
    </w:p>
    <w:p>
      <w:pPr>
        <w:pStyle w:val="ListParagraph"/>
        <w:numPr>
          <w:ilvl w:val="0"/>
          <w:numId w:val="2"/>
        </w:numPr>
        <w:spacing w:after="80" w:line="264"/>
      </w:pPr>
      <w:r>
        <w:rPr>
          <w:b/>
          <w:bCs/>
        </w:rPr>
        <w:t xml:space="preserve">API-first и contract-first. </w:t>
      </w:r>
      <w:r>
        <w:t xml:space="preserve">Спецификация интерфейса (OpenAPI/AsyncAPI) предшествует реализации и хранится в реестре схем.</w:t>
      </w:r>
    </w:p>
    <w:p>
      <w:pPr>
        <w:pStyle w:val="ListParagraph"/>
        <w:numPr>
          <w:ilvl w:val="0"/>
          <w:numId w:val="2"/>
        </w:numPr>
        <w:spacing w:after="80" w:line="264"/>
      </w:pPr>
      <w:r>
        <w:rPr>
          <w:b/>
          <w:bCs/>
        </w:rPr>
        <w:t xml:space="preserve">Событийная архитектура. </w:t>
      </w:r>
      <w:r>
        <w:t xml:space="preserve">Доменные события публикуются в шину Apache Kafka; подписчики реагируют асинхронно, что обеспечивает слабую связанность.</w:t>
      </w:r>
    </w:p>
    <w:p>
      <w:pPr>
        <w:pStyle w:val="ListParagraph"/>
        <w:numPr>
          <w:ilvl w:val="0"/>
          <w:numId w:val="2"/>
        </w:numPr>
        <w:spacing w:after="80" w:line="264"/>
      </w:pPr>
      <w:r>
        <w:rPr>
          <w:b/>
          <w:bCs/>
        </w:rPr>
        <w:t xml:space="preserve">Database-per-service. </w:t>
      </w:r>
      <w:r>
        <w:t xml:space="preserve">Каждый сервис владеет собственной схемой/экземпляром БД; прямой доступ к чужим данным запрещён.</w:t>
      </w:r>
    </w:p>
    <w:p>
      <w:pPr>
        <w:pStyle w:val="ListParagraph"/>
        <w:numPr>
          <w:ilvl w:val="0"/>
          <w:numId w:val="2"/>
        </w:numPr>
        <w:spacing w:after="80" w:line="264"/>
      </w:pPr>
      <w:r>
        <w:rPr>
          <w:b/>
          <w:bCs/>
        </w:rPr>
        <w:t xml:space="preserve">Stateless. </w:t>
      </w:r>
      <w:r>
        <w:t xml:space="preserve">Сервисы не хранят состояние сессии локально; состояние выносится в Redis/БД, что позволяет горизонтально масштабировать любой экземпляр.</w:t>
      </w:r>
    </w:p>
    <w:p>
      <w:pPr>
        <w:pStyle w:val="Heading2"/>
      </w:pPr>
      <w:r>
        <w:t xml:space="preserve">4.2. Логические слои системы</w:t>
      </w:r>
    </w:p>
    <w:p>
      <w:pPr>
        <w:spacing w:after="120" w:line="276"/>
      </w:pPr>
      <w:r>
        <w:t xml:space="preserve">Система разделена на логические слои с чётко определённой зоной ответственности. Запросы проходят сверху вниз: от канала пользователя через шлюз и оркестрацию к доменным сервисам и данным; наблюдаемость пронизывает все слои.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Слой</w:t>
            </w:r>
          </w:p>
        </w:tc>
        <w:tc>
          <w:tcPr>
            <w:tcW w:type="dxa" w:w="64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 и состав</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Канальный слой</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Точки входа пользователей: веб-портал, мобильные приложения (Android/iOS), чат-боты, внешние API-клиенты.</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BFF-слой (Backend for Frontend)</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Отдельные BFF для каждого канала: web-bff, mobile-bff, арм-bff (АРМ специалиста), admin-bff (административная панель). Каждый агрегирует данные доменных сервисов под нужды своего канала, сокращая число запросов с клиента.</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Слой шлюза</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Kong Ingress Controller (TLS-терминация, L7-маршрутизация) → Kong API Gateway (аутентификация, авторизация, rate limiting, версионирование).</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Слой оркестрации</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BPM-движок (Camunda 7 / альтернативное open-source решение): исполнение сценариев услуг, описанных в BPMN, управление пользовательскими и сервисными задачами, SLA-таймеры.</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Слой доменных микросервисов</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Бизнес-логика предметных областей (см. п. 4.3).</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Слой интеграции (Smart Bridge)</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Единая точка межведомственного взаимодействия; типовые коннекторы к ведомствам.</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Слой данных</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PostgreSQL (коммерческая), Redis, объектное хранилище S3/Ceph, резервное копирование pgBackRest.</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Платформенный слой</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Общие возможности: идентификация (Keycloak), уведомления (FCM/APNs/SMTP/SMS), аудит, НСИ.</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Слой наблюдаемости</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Сбор логов (Fluentd/Vector → OpenSearch), метрик (Prometheus + Grafana), трассировки (OpenTelemetry + Jaeger).</w:t>
            </w:r>
          </w:p>
        </w:tc>
      </w:tr>
    </w:tbl>
    <w:p>
      <w:pPr>
        <w:pStyle w:val="Heading2"/>
      </w:pPr>
      <w:r>
        <w:t xml:space="preserve">4.3. Состав доменных микросервисов</w:t>
      </w:r>
    </w:p>
    <w:p>
      <w:pPr>
        <w:spacing w:after="120" w:line="276"/>
      </w:pPr>
      <w:r>
        <w:t xml:space="preserve">Минимальный состав доменных микросервисов приведён ниже. Перечень может расширяться при детальном проектировании (этап 1); каждый сервис владеет своими данными и публикует доменные события.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Микросервис</w:t>
            </w:r>
          </w:p>
        </w:tc>
        <w:tc>
          <w:tcPr>
            <w:tcW w:type="dxa" w:w="62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Зона ответственности</w:t>
            </w:r>
          </w:p>
        </w:tc>
      </w:tr>
      <w:tr>
        <w:tc>
          <w:tcPr>
            <w:tcW w:type="dxa" w:w="3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Каталог услуг</w:t>
            </w:r>
          </w:p>
        </w:tc>
        <w:tc>
          <w:tcPr>
            <w:tcW w:type="dxa" w:w="6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Описание услуг, регламенты, маршруты, версии, привязка к формам и процессам.</w:t>
            </w:r>
          </w:p>
        </w:tc>
      </w:tr>
      <w:tr>
        <w:tc>
          <w:tcPr>
            <w:tcW w:type="dxa" w:w="3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Управление заявлениями</w:t>
            </w:r>
          </w:p>
        </w:tc>
        <w:tc>
          <w:tcPr>
            <w:tcW w:type="dxa" w:w="6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Жизненный цикл заявления: создание, статусы, история, связь с процессом BPM.</w:t>
            </w:r>
          </w:p>
        </w:tc>
      </w:tr>
      <w:tr>
        <w:tc>
          <w:tcPr>
            <w:tcW w:type="dxa" w:w="3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Профиль и идентичность</w:t>
            </w:r>
          </w:p>
        </w:tc>
        <w:tc>
          <w:tcPr>
            <w:tcW w:type="dxa" w:w="6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Учётные записи, профили граждан и организаций, управление согласиями на обработку ПДн.</w:t>
            </w:r>
          </w:p>
        </w:tc>
      </w:tr>
      <w:tr>
        <w:tc>
          <w:tcPr>
            <w:tcW w:type="dxa" w:w="3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Межведомственное взаимодействие</w:t>
            </w:r>
          </w:p>
        </w:tc>
        <w:tc>
          <w:tcPr>
            <w:tcW w:type="dxa" w:w="6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Формирование и исполнение запросов сведений через Smart Bridge, кэширование ответов.</w:t>
            </w:r>
          </w:p>
        </w:tc>
      </w:tr>
      <w:tr>
        <w:tc>
          <w:tcPr>
            <w:tcW w:type="dxa" w:w="3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Платежи</w:t>
            </w:r>
          </w:p>
        </w:tc>
        <w:tc>
          <w:tcPr>
            <w:tcW w:type="dxa" w:w="6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Начисления, приём оплаты, идемпотентность (PostgreSQL: unique constraint по idempotency_key/external_payment_id), сверка, возвраты.</w:t>
            </w:r>
          </w:p>
        </w:tc>
      </w:tr>
      <w:tr>
        <w:tc>
          <w:tcPr>
            <w:tcW w:type="dxa" w:w="3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Электронные документы</w:t>
            </w:r>
          </w:p>
        </w:tc>
        <w:tc>
          <w:tcPr>
            <w:tcW w:type="dxa" w:w="6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Хранилище документов, генерация PDF (Gotenberg), привязка к заявлениям и результатам.</w:t>
            </w:r>
          </w:p>
        </w:tc>
      </w:tr>
      <w:tr>
        <w:tc>
          <w:tcPr>
            <w:tcW w:type="dxa" w:w="3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Уведомления</w:t>
            </w:r>
          </w:p>
        </w:tc>
        <w:tc>
          <w:tcPr>
            <w:tcW w:type="dxa" w:w="6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Доставка через push (FCM/APNs), e-mail (SMTP), SMS, realtime (WebSocket).</w:t>
            </w:r>
          </w:p>
        </w:tc>
      </w:tr>
      <w:tr>
        <w:tc>
          <w:tcPr>
            <w:tcW w:type="dxa" w:w="3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НСИ (справочники)</w:t>
            </w:r>
          </w:p>
        </w:tc>
        <w:tc>
          <w:tcPr>
            <w:tcW w:type="dxa" w:w="6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Классификаторы и справочники, их версии и синхронизация (ShedLock).</w:t>
            </w:r>
          </w:p>
        </w:tc>
      </w:tr>
      <w:tr>
        <w:tc>
          <w:tcPr>
            <w:tcW w:type="dxa" w:w="3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Электронная подпись</w:t>
            </w:r>
          </w:p>
        </w:tc>
        <w:tc>
          <w:tcPr>
            <w:tcW w:type="dxa" w:w="6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Подписание результатов ЭЦП и проверка подписей входящих документов.</w:t>
            </w:r>
          </w:p>
        </w:tc>
      </w:tr>
      <w:tr>
        <w:tc>
          <w:tcPr>
            <w:tcW w:type="dxa" w:w="3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Аудит</w:t>
            </w:r>
          </w:p>
        </w:tc>
        <w:tc>
          <w:tcPr>
            <w:tcW w:type="dxa" w:w="6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Неизменяемый WORM-журнал значимых действий пользователей и системы.</w:t>
            </w:r>
          </w:p>
        </w:tc>
      </w:tr>
    </w:tbl>
    <w:p>
      <w:pPr>
        <w:pStyle w:val="Heading2"/>
      </w:pPr>
      <w:r>
        <w:t xml:space="preserve">4.4. Событийно-ориентированное взаимодействие</w:t>
      </w:r>
    </w:p>
    <w:p>
      <w:pPr>
        <w:spacing w:after="120" w:line="276"/>
      </w:pPr>
      <w:r>
        <w:t xml:space="preserve">Взаимодействие между сервисами строится преимущественно асинхронно. Синхронные вызовы (REST/gRPC) применяются только там, где требуется немедленный ответ пользователю; всё остальное реализуется через доменные события.</w:t>
      </w:r>
    </w:p>
    <w:p>
      <w:pPr>
        <w:pStyle w:val="ListParagraph"/>
        <w:numPr>
          <w:ilvl w:val="0"/>
          <w:numId w:val="2"/>
        </w:numPr>
        <w:spacing w:after="80" w:line="264"/>
      </w:pPr>
      <w:r>
        <w:rPr>
          <w:b/>
          <w:bCs/>
        </w:rPr>
        <w:t xml:space="preserve">Синхронные вызовы (REST/gRPC) </w:t>
      </w:r>
      <w:r>
        <w:t xml:space="preserve">— запрос-ответ в реальном времени (например, проверка данных перед подачей заявления).</w:t>
      </w:r>
    </w:p>
    <w:p>
      <w:pPr>
        <w:pStyle w:val="ListParagraph"/>
        <w:numPr>
          <w:ilvl w:val="0"/>
          <w:numId w:val="2"/>
        </w:numPr>
        <w:spacing w:after="80" w:line="264"/>
      </w:pPr>
      <w:r>
        <w:rPr>
          <w:b/>
          <w:bCs/>
        </w:rPr>
        <w:t xml:space="preserve">Доменные события через Kafka </w:t>
      </w:r>
      <w:r>
        <w:t xml:space="preserve">— факты изменения состояния («заявление принято», «оплата подтверждена»), на которые подписываются заинтересованные сервисы.</w:t>
      </w:r>
    </w:p>
    <w:p>
      <w:pPr>
        <w:pStyle w:val="ListParagraph"/>
        <w:numPr>
          <w:ilvl w:val="0"/>
          <w:numId w:val="2"/>
        </w:numPr>
        <w:spacing w:after="80" w:line="264"/>
      </w:pPr>
      <w:r>
        <w:rPr>
          <w:b/>
          <w:bCs/>
        </w:rPr>
        <w:t xml:space="preserve">Transactional outbox </w:t>
      </w:r>
      <w:r>
        <w:t xml:space="preserve">— гарантия публикации события строго при фиксации транзакции в БД (без потерь и дублей на уровне источника).</w:t>
      </w:r>
    </w:p>
    <w:p>
      <w:pPr>
        <w:pStyle w:val="ListParagraph"/>
        <w:numPr>
          <w:ilvl w:val="0"/>
          <w:numId w:val="2"/>
        </w:numPr>
        <w:spacing w:after="80" w:line="264"/>
      </w:pPr>
      <w:r>
        <w:rPr>
          <w:b/>
          <w:bCs/>
        </w:rPr>
        <w:t xml:space="preserve">Saga </w:t>
      </w:r>
      <w:r>
        <w:t xml:space="preserve">— управление распределёнными транзакциями через компенсирующие действия при сбое одного из шагов.</w:t>
      </w:r>
    </w:p>
    <w:p>
      <w:pPr>
        <w:pStyle w:val="ListParagraph"/>
        <w:numPr>
          <w:ilvl w:val="0"/>
          <w:numId w:val="2"/>
        </w:numPr>
        <w:spacing w:after="80" w:line="264"/>
      </w:pPr>
      <w:r>
        <w:rPr>
          <w:b/>
          <w:bCs/>
        </w:rPr>
        <w:t xml:space="preserve">Идемпотентные потребители </w:t>
      </w:r>
      <w:r>
        <w:t xml:space="preserve">— повторная доставка сообщения не приводит к повторному эффекту.</w:t>
      </w:r>
    </w:p>
    <w:p>
      <w:pPr>
        <w:pStyle w:val="ListParagraph"/>
        <w:numPr>
          <w:ilvl w:val="0"/>
          <w:numId w:val="2"/>
        </w:numPr>
        <w:spacing w:after="80" w:line="264"/>
      </w:pPr>
      <w:r>
        <w:rPr>
          <w:b/>
          <w:bCs/>
        </w:rPr>
        <w:t xml:space="preserve">Фоновые задачи </w:t>
      </w:r>
      <w:r>
        <w:t xml:space="preserve">(генерация PDF, отправка e-mail, OCR) выполняются через Kafka consumer groups с повторными попытками (retry) и очередью необработанных сообщений (DLQ).</w:t>
      </w:r>
    </w:p>
    <w:p>
      <w:pPr>
        <w:pStyle w:val="Heading2"/>
      </w:pPr>
      <w:r>
        <w:t xml:space="preserve">4.5. Маршрут трафика и шлюзы</w:t>
      </w:r>
    </w:p>
    <w:p>
      <w:pPr>
        <w:spacing w:after="120" w:line="276"/>
      </w:pPr>
      <w:r>
        <w:t xml:space="preserve">Внешний пользовательский трафик проходит фиксированную цепочку обработки, обеспечивающую безопасность, маршрутизацию и агрегацию:</w:t>
      </w:r>
    </w:p>
    <w:p>
      <w:pPr>
        <w:pStyle w:val="ListParagraph"/>
        <w:numPr>
          <w:ilvl w:val="0"/>
          <w:numId w:val="3"/>
        </w:numPr>
        <w:spacing w:after="80" w:line="264"/>
      </w:pPr>
      <w:r>
        <w:rPr>
          <w:b/>
          <w:bCs/>
        </w:rPr>
        <w:t xml:space="preserve">Kong Ingress Controller</w:t>
      </w:r>
      <w:r>
        <w:t xml:space="preserve"> (в Kubernetes) — терминация TLS, L7-маршрутизация, проверки доступности (health checks).</w:t>
      </w:r>
    </w:p>
    <w:p>
      <w:pPr>
        <w:pStyle w:val="ListParagraph"/>
        <w:numPr>
          <w:ilvl w:val="0"/>
          <w:numId w:val="3"/>
        </w:numPr>
        <w:spacing w:after="80" w:line="264"/>
      </w:pPr>
      <w:r>
        <w:rPr>
          <w:b/>
          <w:bCs/>
        </w:rPr>
        <w:t xml:space="preserve">Kong API Gateway</w:t>
      </w:r>
      <w:r>
        <w:t xml:space="preserve"> — аутентификация, авторизация, ограничение частоты запросов (rate limiting), версионирование API (URI-based: /v1/, /v2/).</w:t>
      </w:r>
    </w:p>
    <w:p>
      <w:pPr>
        <w:pStyle w:val="ListParagraph"/>
        <w:numPr>
          <w:ilvl w:val="0"/>
          <w:numId w:val="3"/>
        </w:numPr>
        <w:spacing w:after="80" w:line="264"/>
      </w:pPr>
      <w:r>
        <w:rPr>
          <w:b/>
          <w:bCs/>
        </w:rPr>
        <w:t xml:space="preserve">BFF-слой</w:t>
      </w:r>
      <w:r>
        <w:t xml:space="preserve"> — соответствующий BFF канала (web-bff / mobile-bff / арм-bff / admin-bff) агрегирует данные доменных сервисов под нужды конкретного канала.</w:t>
      </w:r>
    </w:p>
    <w:p>
      <w:pPr>
        <w:pStyle w:val="ListParagraph"/>
        <w:numPr>
          <w:ilvl w:val="0"/>
          <w:numId w:val="3"/>
        </w:numPr>
        <w:spacing w:after="80" w:line="264"/>
      </w:pPr>
      <w:r>
        <w:rPr>
          <w:b/>
          <w:bCs/>
        </w:rPr>
        <w:t xml:space="preserve">Доменные микросервисы</w:t>
      </w:r>
      <w:r>
        <w:t xml:space="preserve"> — исполнение бизнес-логики.</w:t>
      </w:r>
    </w:p>
    <w:p>
      <w:pPr>
        <w:spacing w:after="120" w:line="276"/>
      </w:pPr>
      <w:r>
        <w:t xml:space="preserve">Внутри кластера сервисы взаимодействуют через service mesh (Istio или Linkerd) с взаимной аутентификацией (mTLS), автоматическими повторами, размыканием цепи (circuit breaker) и встроенной наблюдаемостью.</w:t>
      </w:r>
    </w:p>
    <w:p>
      <w:pPr>
        <w:pStyle w:val="Heading2"/>
      </w:pPr>
      <w:r>
        <w:t xml:space="preserve">4.6. Стратегия версионирования API</w:t>
      </w:r>
    </w:p>
    <w:p>
      <w:pPr>
        <w:spacing w:after="120" w:line="276"/>
      </w:pPr>
      <w:r>
        <w:t xml:space="preserve">Версионирование интерфейсов обеспечивает обратную совместимость и плавную миграцию потребителей:</w:t>
      </w:r>
    </w:p>
    <w:p>
      <w:pPr>
        <w:pStyle w:val="ListParagraph"/>
        <w:numPr>
          <w:ilvl w:val="0"/>
          <w:numId w:val="2"/>
        </w:numPr>
        <w:spacing w:after="80" w:line="264"/>
      </w:pPr>
      <w:r>
        <w:t xml:space="preserve">версии указываются в URI: /api/v1/..., /api/v2/...;</w:t>
      </w:r>
    </w:p>
    <w:p>
      <w:pPr>
        <w:pStyle w:val="ListParagraph"/>
        <w:numPr>
          <w:ilvl w:val="0"/>
          <w:numId w:val="2"/>
        </w:numPr>
        <w:spacing w:after="80" w:line="264"/>
      </w:pPr>
      <w:r>
        <w:t xml:space="preserve">параллельная поддержка двух смежных версий — не менее 6 месяцев;</w:t>
      </w:r>
    </w:p>
    <w:p>
      <w:pPr>
        <w:pStyle w:val="ListParagraph"/>
        <w:numPr>
          <w:ilvl w:val="0"/>
          <w:numId w:val="2"/>
        </w:numPr>
        <w:spacing w:after="80" w:line="264"/>
      </w:pPr>
      <w:r>
        <w:t xml:space="preserve">о выводе версии из эксплуатации потребители уведомляются заголовком Sunset;</w:t>
      </w:r>
    </w:p>
    <w:p>
      <w:pPr>
        <w:pStyle w:val="ListParagraph"/>
        <w:numPr>
          <w:ilvl w:val="0"/>
          <w:numId w:val="2"/>
        </w:numPr>
        <w:spacing w:after="80" w:line="264"/>
      </w:pPr>
      <w:r>
        <w:t xml:space="preserve">клиентские SDK генерируются автоматически из спецификаций OpenAPI;</w:t>
      </w:r>
    </w:p>
    <w:p>
      <w:pPr>
        <w:pStyle w:val="ListParagraph"/>
        <w:numPr>
          <w:ilvl w:val="0"/>
          <w:numId w:val="2"/>
        </w:numPr>
        <w:spacing w:after="80" w:line="264"/>
      </w:pPr>
      <w:r>
        <w:t xml:space="preserve">документация публикуется в Swagger UI и Redoc на Developer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Принцип расширяющих изменений. </w:t>
            </w:r>
            <w:r>
              <w:rPr>
                <w:sz w:val="21"/>
                <w:szCs w:val="21"/>
              </w:rPr>
              <w:t xml:space="preserve">В пределах одной мажорной версии допускаются только обратно-совместимые (расширяющие) изменения: добавление необязательных полей и методов. Удаление или изменение семантики существующих полей требует новой мажорной версии.</w:t>
            </w:r>
          </w:p>
        </w:tc>
      </w:tr>
    </w:tbl>
    <w:p>
      <w:pPr>
        <w:pStyle w:val="Heading1"/>
      </w:pPr>
      <w:r>
        <w:t xml:space="preserve">4А. Архитектура: детальная проработка</w:t>
      </w:r>
    </w:p>
    <w:p>
      <w:pPr>
        <w:spacing w:after="120" w:line="276"/>
      </w:pPr>
      <w:r>
        <w:t xml:space="preserve">Настоящий раздел детализирует архитектурные решения раздела 4 до уровня, достаточного для начала проектирования отдельных подсистем. Для каждого аспекта приведены требования, обоснование выбранного подхода, рассматриваемые альтернативы и последствия (trade-offs). Принятые решения фиксируются как архитектурные решения (ADR) в реестре; шаблон ADR приведён в Приложении Е.</w:t>
      </w:r>
    </w:p>
    <w:p>
      <w:pPr>
        <w:pStyle w:val="Heading2"/>
      </w:pPr>
      <w:r>
        <w:t xml:space="preserve">4А.1. Стиль архитектуры и декомпозиция на домены</w:t>
      </w:r>
    </w:p>
    <w:p>
      <w:pPr>
        <w:spacing w:after="120" w:line="276"/>
      </w:pPr>
      <w:r>
        <w:t xml:space="preserve">Система строится по принципам предметно-ориентированного проектирования (Domain-Driven Design, DDD). Предметная область декомпозируется на ограниченные контексты (bounded contexts), каждый из которых реализуется одним или несколькими микросервисами и владеет своей моделью данных. Границы контекстов определяются по зонам ответственности и частоте совместного изменения сущностей: сущности, изменяющиеся вместе, помещаются в один контекст; слабо связанные — разносятся.</w:t>
      </w:r>
    </w:p>
    <w:p>
      <w:pPr>
        <w:spacing w:after="120" w:line="276"/>
      </w:pPr>
      <w:r>
        <w:t xml:space="preserve">Критерии корректной декомпозиции, обязательные при проектировании:</w:t>
      </w:r>
    </w:p>
    <w:p>
      <w:pPr>
        <w:pStyle w:val="ListParagraph"/>
        <w:numPr>
          <w:ilvl w:val="0"/>
          <w:numId w:val="2"/>
        </w:numPr>
        <w:spacing w:after="80" w:line="264"/>
      </w:pPr>
      <w:r>
        <w:rPr>
          <w:b/>
          <w:bCs/>
        </w:rPr>
        <w:t xml:space="preserve">Высокая связность внутри сервиса. </w:t>
      </w:r>
      <w:r>
        <w:t xml:space="preserve">Сервис решает одну чётко очерченную бизнес-задачу; его методы оперируют общим набором данных.</w:t>
      </w:r>
    </w:p>
    <w:p>
      <w:pPr>
        <w:pStyle w:val="ListParagraph"/>
        <w:numPr>
          <w:ilvl w:val="0"/>
          <w:numId w:val="2"/>
        </w:numPr>
        <w:spacing w:after="80" w:line="264"/>
      </w:pPr>
      <w:r>
        <w:rPr>
          <w:b/>
          <w:bCs/>
        </w:rPr>
        <w:t xml:space="preserve">Слабая связанность между сервисами. </w:t>
      </w:r>
      <w:r>
        <w:t xml:space="preserve">Изменение внутренней реализации одного сервиса не требует изменения других; взаимодействие — только через опубликованные контракты.</w:t>
      </w:r>
    </w:p>
    <w:p>
      <w:pPr>
        <w:pStyle w:val="ListParagraph"/>
        <w:numPr>
          <w:ilvl w:val="0"/>
          <w:numId w:val="2"/>
        </w:numPr>
        <w:spacing w:after="80" w:line="264"/>
      </w:pPr>
      <w:r>
        <w:rPr>
          <w:b/>
          <w:bCs/>
        </w:rPr>
        <w:t xml:space="preserve">Автономность развёртывания. </w:t>
      </w:r>
      <w:r>
        <w:t xml:space="preserve">Сервис собирается, тестируется и развёртывается независимо от остальных.</w:t>
      </w:r>
    </w:p>
    <w:p>
      <w:pPr>
        <w:pStyle w:val="ListParagraph"/>
        <w:numPr>
          <w:ilvl w:val="0"/>
          <w:numId w:val="2"/>
        </w:numPr>
        <w:spacing w:after="80" w:line="264"/>
      </w:pPr>
      <w:r>
        <w:rPr>
          <w:b/>
          <w:bCs/>
        </w:rPr>
        <w:t xml:space="preserve">Владение данными. </w:t>
      </w:r>
      <w:r>
        <w:t xml:space="preserve">У каждой сущности один сервис-владелец; прямой доступ к чужой БД запрещён архитектурно (сетевые политики, отдельные учётные записи СУБД).</w:t>
      </w:r>
    </w:p>
    <w:p>
      <w:pPr>
        <w:spacing w:after="120" w:line="276"/>
      </w:pPr>
      <w:r>
        <w:t xml:space="preserve">Антипаттерны, которые проектирование обязано исключать: распределённый монолит (сервисы, которые невозможно развернуть по отдельности из-за жёстких синхронных зависимостей); общая база данных нескольких сервисов; «анемичные» сервисы без собственной логики, выполняющие лишь CRUD над чужими данными; чрезмерное дробление (нанносервисы), при котором накладные расходы на сетевое взаимодействие превышают выгоду от изоляции.</w:t>
      </w:r>
    </w:p>
    <w:p>
      <w:pPr>
        <w:pStyle w:val="Heading3"/>
      </w:pPr>
      <w:r>
        <w:t xml:space="preserve">4А.1.1. Карта контекстов (context map)</w:t>
      </w:r>
    </w:p>
    <w:p>
      <w:pPr>
        <w:spacing w:after="120" w:line="276"/>
      </w:pPr>
      <w:r>
        <w:t xml:space="preserve">Взаимодействие ограниченных контекстов описывается картой контекстов с указанием типа отношений: «поставщик–потребитель» (upstream/downstream), «общее ядро» (shared kernel, минимизируется), «антикоррупционный слой» (ACL) на границе с внешними системами и унаследованными реестрами. На границе со Smart Bridge и ведомственными системами обязателен антикоррупционный слой, преобразующий внешние модели данных во внутренние и защищающий доменную модель от протекания чужих абстракций.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160"/>
      </w:tblGrid>
      <w:tr>
        <w:trPr>
          <w:tblHeader/>
        </w:trPr>
        <w:tc>
          <w:tcPr>
            <w:tcW w:type="dxa" w:w="2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Контекст (домен)</w:t>
            </w:r>
          </w:p>
        </w:tc>
        <w:tc>
          <w:tcPr>
            <w:tcW w:type="dxa" w:w="35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Тип отношения к смежным</w:t>
            </w:r>
          </w:p>
        </w:tc>
        <w:tc>
          <w:tcPr>
            <w:tcW w:type="dxa" w:w="3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Защитный механизм границы</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Каталог услуг</w:t>
            </w:r>
          </w:p>
        </w:tc>
        <w:tc>
          <w:tcPr>
            <w:tcW w:type="dxa" w:w="3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Поставщик для всех каналов и оркестратора</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Версионируемый OpenAPI-контракт</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w:t>
            </w:r>
          </w:p>
        </w:tc>
        <w:tc>
          <w:tcPr>
            <w:tcW w:type="dxa" w:w="3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Потребитель Каталога; поставщик событий</w:t>
            </w:r>
          </w:p>
        </w:tc>
        <w:tc>
          <w:tcPr>
            <w:tcW w:type="dxa" w:w="3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Доменные события (Avro), outbox</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Профиль/идентичность</w:t>
            </w:r>
          </w:p>
        </w:tc>
        <w:tc>
          <w:tcPr>
            <w:tcW w:type="dxa" w:w="3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Поставщик для всех; интеграция с IAM</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Контракт + согласия (consent)</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Межведомственное</w:t>
            </w:r>
          </w:p>
        </w:tc>
        <w:tc>
          <w:tcPr>
            <w:tcW w:type="dxa" w:w="3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Антикоррупционный слой к Smart Bridge</w:t>
            </w:r>
          </w:p>
        </w:tc>
        <w:tc>
          <w:tcPr>
            <w:tcW w:type="dxa" w:w="3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ACL: маппинг внешних моделей</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Платежи</w:t>
            </w:r>
          </w:p>
        </w:tc>
        <w:tc>
          <w:tcPr>
            <w:tcW w:type="dxa" w:w="3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Потребитель Заявлений; внешние ПС</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ACL к платёжным провайдерам</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Документы</w:t>
            </w:r>
          </w:p>
        </w:tc>
        <w:tc>
          <w:tcPr>
            <w:tcW w:type="dxa" w:w="3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Потребитель Заявлений и ЭЦП</w:t>
            </w:r>
          </w:p>
        </w:tc>
        <w:tc>
          <w:tcPr>
            <w:tcW w:type="dxa" w:w="3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Контракт; асинхронная генерация</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Уведомления</w:t>
            </w:r>
          </w:p>
        </w:tc>
        <w:tc>
          <w:tcPr>
            <w:tcW w:type="dxa" w:w="3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Потребитель событий всех доменов</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Подписка на топики Kafka</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НСИ</w:t>
            </w:r>
          </w:p>
        </w:tc>
        <w:tc>
          <w:tcPr>
            <w:tcW w:type="dxa" w:w="3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Поставщик справочников для всех</w:t>
            </w:r>
          </w:p>
        </w:tc>
        <w:tc>
          <w:tcPr>
            <w:tcW w:type="dxa" w:w="3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Версионируемые справочники</w:t>
            </w:r>
          </w:p>
        </w:tc>
      </w:tr>
    </w:tbl>
    <w:p>
      <w:pPr>
        <w:spacing w:after="160" w:before="60" w:line="240"/>
      </w:pPr>
      <w:r>
        <w:rPr>
          <w:i/>
          <w:iCs/>
          <w:color w:val="5A6B7B"/>
          <w:sz w:val="18"/>
          <w:szCs w:val="18"/>
        </w:rPr>
        <w:t xml:space="preserve">Таблица 4А.1 — Карта взаимодействия ограниченных контекстов.</w:t>
      </w:r>
    </w:p>
    <w:p>
      <w:pPr>
        <w:pStyle w:val="Heading2"/>
      </w:pPr>
      <w:r>
        <w:t xml:space="preserve">4А.2. Логическая, разработческая и физическая проекции</w:t>
      </w:r>
    </w:p>
    <w:p>
      <w:pPr>
        <w:spacing w:after="120" w:line="276"/>
      </w:pPr>
      <w:r>
        <w:t xml:space="preserve">Архитектура описывается в нескольких проекциях по модели «4+1». Логическая проекция определяет доменные сервисы и их ответственность (раздел 4.3). Проекция процессов описывает потоки выполнения и взаимодействие в рантайме. Проекция разработки задаёт структуру репозиториев и модулей. Физическая проекция отображает компоненты на узлы кластеров и ЦОД (раздел 12.4). Сценарии (use cases раздела 7) связывают проекции воедино.</w:t>
      </w:r>
    </w:p>
    <w:p>
      <w:pPr>
        <w:pStyle w:val="Heading3"/>
      </w:pPr>
      <w:r>
        <w:t xml:space="preserve">4А.2.1. Структура репозиториев и модулей</w:t>
      </w:r>
    </w:p>
    <w:p>
      <w:pPr>
        <w:spacing w:after="120" w:line="276"/>
      </w:pPr>
      <w:r>
        <w:t xml:space="preserve">Применяется поли-репозиторная модель (один сервис — один репозиторий) с общими библиотеками, поставляемыми как версионируемые артефакты. Общие библиотеки включают: клиентские SDK к платформенным сервисам (генерируются из OpenAPI), библиотеку обработки доменных событий (сериализация Avro, идемпотентность, outbox), библиотеку наблюдаемости (трассировка, метрики, структурированное логирование), библиотеку безопасности (проверка токенов, контроль доступа). Запрещается копирование общего кода между сервисами — только подключение версионированной зависимости.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org.ekhizmat.platform</w:t>
            </w:r>
          </w:p>
          <w:p>
            <w:pPr>
              <w:spacing w:after="0" w:line="240"/>
            </w:pPr>
            <w:r>
              <w:rPr>
                <w:rFonts w:ascii="Courier New" w:cs="Courier New" w:eastAsia="Courier New" w:hAnsi="Courier New"/>
                <w:color w:val="24292E"/>
                <w:sz w:val="17"/>
                <w:szCs w:val="17"/>
              </w:rPr>
              <w:t xml:space="preserve">├── platform-sdk-catalog        // клиент Каталога услуг (из OpenAPI)</w:t>
            </w:r>
          </w:p>
          <w:p>
            <w:pPr>
              <w:spacing w:after="0" w:line="240"/>
            </w:pPr>
            <w:r>
              <w:rPr>
                <w:rFonts w:ascii="Courier New" w:cs="Courier New" w:eastAsia="Courier New" w:hAnsi="Courier New"/>
                <w:color w:val="24292E"/>
                <w:sz w:val="17"/>
                <w:szCs w:val="17"/>
              </w:rPr>
              <w:t xml:space="preserve">├── platform-sdk-profile        // клиент Профиля</w:t>
            </w:r>
          </w:p>
          <w:p>
            <w:pPr>
              <w:spacing w:after="0" w:line="240"/>
            </w:pPr>
            <w:r>
              <w:rPr>
                <w:rFonts w:ascii="Courier New" w:cs="Courier New" w:eastAsia="Courier New" w:hAnsi="Courier New"/>
                <w:color w:val="24292E"/>
                <w:sz w:val="17"/>
                <w:szCs w:val="17"/>
              </w:rPr>
              <w:t xml:space="preserve">├── platform-events             // Avro-схемы, outbox, идемпотентность</w:t>
            </w:r>
          </w:p>
          <w:p>
            <w:pPr>
              <w:spacing w:after="0" w:line="240"/>
            </w:pPr>
            <w:r>
              <w:rPr>
                <w:rFonts w:ascii="Courier New" w:cs="Courier New" w:eastAsia="Courier New" w:hAnsi="Courier New"/>
                <w:color w:val="24292E"/>
                <w:sz w:val="17"/>
                <w:szCs w:val="17"/>
              </w:rPr>
              <w:t xml:space="preserve">├── platform-observability      // OTel, метрики, логирование</w:t>
            </w:r>
          </w:p>
          <w:p>
            <w:pPr>
              <w:spacing w:after="0" w:line="240"/>
            </w:pPr>
            <w:r>
              <w:rPr>
                <w:rFonts w:ascii="Courier New" w:cs="Courier New" w:eastAsia="Courier New" w:hAnsi="Courier New"/>
                <w:color w:val="24292E"/>
                <w:sz w:val="17"/>
                <w:szCs w:val="17"/>
              </w:rPr>
              <w:t xml:space="preserve">├── platform-security           // валидация JWT, RBAC/ABAC хелперы</w:t>
            </w:r>
          </w:p>
          <w:p>
            <w:pPr>
              <w:spacing w:after="0" w:line="240"/>
            </w:pPr>
            <w:r>
              <w:rPr>
                <w:rFonts w:ascii="Courier New" w:cs="Courier New" w:eastAsia="Courier New" w:hAnsi="Courier New"/>
                <w:color w:val="24292E"/>
                <w:sz w:val="17"/>
                <w:szCs w:val="17"/>
              </w:rPr>
              <w:t xml:space="preserve">└── platform-test-kit           // Testcontainers, фикстуры, Pact-базы</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org.ekhizmat.service.&lt;domain&gt;   // отдельный репозиторий на сервис</w:t>
            </w:r>
          </w:p>
          <w:p>
            <w:pPr>
              <w:spacing w:after="0" w:line="240"/>
            </w:pPr>
            <w:r>
              <w:rPr>
                <w:rFonts w:ascii="Courier New" w:cs="Courier New" w:eastAsia="Courier New" w:hAnsi="Courier New"/>
                <w:color w:val="24292E"/>
                <w:sz w:val="17"/>
                <w:szCs w:val="17"/>
              </w:rPr>
              <w:t xml:space="preserve">├── api          // OpenAPI-спека, сгенерированные DTO</w:t>
            </w:r>
          </w:p>
          <w:p>
            <w:pPr>
              <w:spacing w:after="0" w:line="240"/>
            </w:pPr>
            <w:r>
              <w:rPr>
                <w:rFonts w:ascii="Courier New" w:cs="Courier New" w:eastAsia="Courier New" w:hAnsi="Courier New"/>
                <w:color w:val="24292E"/>
                <w:sz w:val="17"/>
                <w:szCs w:val="17"/>
              </w:rPr>
              <w:t xml:space="preserve">├── domain       // доменная модель, бизнес-правила (без зависимостей от инфраструктуры)</w:t>
            </w:r>
          </w:p>
          <w:p>
            <w:pPr>
              <w:spacing w:after="0" w:line="240"/>
            </w:pPr>
            <w:r>
              <w:rPr>
                <w:rFonts w:ascii="Courier New" w:cs="Courier New" w:eastAsia="Courier New" w:hAnsi="Courier New"/>
                <w:color w:val="24292E"/>
                <w:sz w:val="17"/>
                <w:szCs w:val="17"/>
              </w:rPr>
              <w:t xml:space="preserve">├── application  // сценарии (use cases), оркестрация внутри сервиса</w:t>
            </w:r>
          </w:p>
          <w:p>
            <w:pPr>
              <w:spacing w:after="0" w:line="240"/>
            </w:pPr>
            <w:r>
              <w:rPr>
                <w:rFonts w:ascii="Courier New" w:cs="Courier New" w:eastAsia="Courier New" w:hAnsi="Courier New"/>
                <w:color w:val="24292E"/>
                <w:sz w:val="17"/>
                <w:szCs w:val="17"/>
              </w:rPr>
              <w:t xml:space="preserve">├── infrastructure // адаптеры: БД, Kafka, внешние API</w:t>
            </w:r>
          </w:p>
          <w:p>
            <w:pPr>
              <w:spacing w:after="0" w:line="240"/>
            </w:pPr>
            <w:r>
              <w:rPr>
                <w:rFonts w:ascii="Courier New" w:cs="Courier New" w:eastAsia="Courier New" w:hAnsi="Courier New"/>
                <w:color w:val="24292E"/>
                <w:sz w:val="17"/>
                <w:szCs w:val="17"/>
              </w:rPr>
              <w:t xml:space="preserve">└── bootstrap    // конфигурация запуска, профили сред</w:t>
            </w:r>
          </w:p>
        </w:tc>
      </w:tr>
    </w:tbl>
    <w:p>
      <w:pPr>
        <w:spacing w:after="160" w:before="60" w:line="240"/>
      </w:pPr>
      <w:r>
        <w:rPr>
          <w:i/>
          <w:iCs/>
          <w:color w:val="5A6B7B"/>
          <w:sz w:val="18"/>
          <w:szCs w:val="18"/>
        </w:rPr>
        <w:t xml:space="preserve">Листинг 4А.1 — Эталонная структура модулей доменного сервиса (гексагональная архитектура).</w:t>
      </w:r>
    </w:p>
    <w:p>
      <w:pPr>
        <w:spacing w:after="120" w:line="276"/>
      </w:pPr>
      <w:r>
        <w:t xml:space="preserve">Внутри каждого сервиса применяется гексагональная архитектура (порты и адаптеры): доменный слой не зависит от инфраструктуры; взаимодействие с БД, шиной событий и внешними API выполняется через адаптеры, реализующие порты, объявленные в доменном слое. Это обеспечивает тестируемость доменной логики в изоляции и заменяемость инфраструктурных компонентов.</w:t>
      </w:r>
    </w:p>
    <w:p>
      <w:pPr>
        <w:pStyle w:val="Heading2"/>
      </w:pPr>
      <w:r>
        <w:t xml:space="preserve">4А.3. Шаблоны устойчивости (resilience)</w:t>
      </w:r>
    </w:p>
    <w:p>
      <w:pPr>
        <w:spacing w:after="120" w:line="276"/>
      </w:pPr>
      <w:r>
        <w:t xml:space="preserve">Для достижения целевой доступности 99,95 % (раздел 12.2) каждый сетевой вызов между сервисами и к внешним системам защищается комплексом шаблонов устойчивости. Ниже приведены обязательные шаблоны, их назначение и параметры по умолчанию; параметры уточняются по результатам нагрузочного тестирования.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960"/>
      </w:tblGrid>
      <w:tr>
        <w:trPr>
          <w:tblHeader/>
        </w:trPr>
        <w:tc>
          <w:tcPr>
            <w:tcW w:type="dxa" w:w="2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Шаблон</w:t>
            </w:r>
          </w:p>
        </w:tc>
        <w:tc>
          <w:tcPr>
            <w:tcW w:type="dxa" w:w="3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c>
          <w:tcPr>
            <w:tcW w:type="dxa" w:w="2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Параметры по умолчанию</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Тайм-аут (timeout)</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Ограничение времени ожидания ответа</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Соединение 2 с; ответ 5 с</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Повтор (retry)</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Повторная попытка при временном сбое</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 попытки, экспон. backoff + jitter</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Размыкатель (circuit breaker)</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Прекращение вызовов к недоступному сервису</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Порог ошибок 50 % за 10 с; пауза 30 с</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Перегородка (bulkhead)</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Изоляция пулов ресурсов по зависимостям</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Отдельный пул на внешнюю зависимость</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Ограничение частоты (rate limit)</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Защита от перегрузки</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 уровне Kong, по клиенту/маршруту</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Сброс нагрузки (load shedding)</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 части запросов при перегрузке</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 CPU &gt; 85 % / очереди &gt; N</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Запасной ответ (fallback)</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Деградация вместо отказа</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Кэш/значение по умолчанию</w:t>
            </w:r>
          </w:p>
        </w:tc>
      </w:tr>
    </w:tbl>
    <w:p>
      <w:pPr>
        <w:spacing w:after="160" w:before="60" w:line="240"/>
      </w:pPr>
      <w:r>
        <w:rPr>
          <w:i/>
          <w:iCs/>
          <w:color w:val="5A6B7B"/>
          <w:sz w:val="18"/>
          <w:szCs w:val="18"/>
        </w:rPr>
        <w:t xml:space="preserve">Таблица 4А.2 — Обязательные шаблоны устойчивости и параметры по умолчанию.</w:t>
      </w:r>
    </w:p>
    <w:p>
      <w:pPr>
        <w:spacing w:after="120" w:line="276"/>
      </w:pPr>
      <w:r>
        <w:t xml:space="preserve">Комбинация шаблонов применяется послойно: внешний вызов оборачивается тайм-аутом, поверх — повтором (только для идемпотентных операций), поверх — размыкателем. Неидемпотентные операции (например, списание средств) не повторяются автоматически; вместо этого применяется идемпотентный ключ и сверка результата. Деградация всегда предпочтительнее полного отказа: при недоступности некритичного сервиса (например, рекомендаций услуг) пользователю показывается основная функциональность без обогащения.</w:t>
      </w:r>
    </w:p>
    <w:p>
      <w:pPr>
        <w:pStyle w:val="Heading3"/>
      </w:pPr>
      <w:r>
        <w:t xml:space="preserve">4А.3.1. Идемпотентность</w:t>
      </w:r>
    </w:p>
    <w:p>
      <w:pPr>
        <w:spacing w:after="120" w:line="276"/>
      </w:pPr>
      <w:r>
        <w:t xml:space="preserve">Все операции, изменяющие состояние, проектируются идемпотентными. Клиент передаёт идемпотентный ключ (заголовок Idempotency-Key); сервис сохраняет результат первого выполнения и возвращает его при повторных запросах с тем же ключом в течение окна хранения (по умолчанию 24 часа). Источником истины идемпотентности для критичных команд (платежи и т.п.) является PostgreSQL: уникальный constraint по idempotency_key/external_payment_id и статусная модель операции; повторный запрос с тем же ключом не создаёт нового эффекта. Redis может применяться лишь как вспомогательная краткоживущая блокировка, но не как источник истины.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POST /api/v1/payments/charge</w:t>
            </w:r>
          </w:p>
          <w:p>
            <w:pPr>
              <w:spacing w:after="0" w:line="240"/>
            </w:pPr>
            <w:r>
              <w:rPr>
                <w:rFonts w:ascii="Courier New" w:cs="Courier New" w:eastAsia="Courier New" w:hAnsi="Courier New"/>
                <w:color w:val="24292E"/>
                <w:sz w:val="17"/>
                <w:szCs w:val="17"/>
              </w:rPr>
              <w:t xml:space="preserve">Idempotency-Key: 6f1c2a9e-... (UUID, генерируется клиентом)</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Логика сервиса:</w:t>
            </w:r>
          </w:p>
          <w:p>
            <w:pPr>
              <w:spacing w:after="0" w:line="240"/>
            </w:pPr>
            <w:r>
              <w:rPr>
                <w:rFonts w:ascii="Courier New" w:cs="Courier New" w:eastAsia="Courier New" w:hAnsi="Courier New"/>
                <w:color w:val="24292E"/>
                <w:sz w:val="17"/>
                <w:szCs w:val="17"/>
              </w:rPr>
              <w:t xml:space="preserve">1. SETNX idemp:{key} = "in-progress" EX 86400</w:t>
            </w:r>
          </w:p>
          <w:p>
            <w:pPr>
              <w:spacing w:after="0" w:line="240"/>
            </w:pPr>
            <w:r>
              <w:rPr>
                <w:rFonts w:ascii="Courier New" w:cs="Courier New" w:eastAsia="Courier New" w:hAnsi="Courier New"/>
                <w:color w:val="24292E"/>
                <w:sz w:val="17"/>
                <w:szCs w:val="17"/>
              </w:rPr>
              <w:t xml:space="preserve">2. если ключ уже существует и = "done" → вернуть сохранённый ответ (200)</w:t>
            </w:r>
          </w:p>
          <w:p>
            <w:pPr>
              <w:spacing w:after="0" w:line="240"/>
            </w:pPr>
            <w:r>
              <w:rPr>
                <w:rFonts w:ascii="Courier New" w:cs="Courier New" w:eastAsia="Courier New" w:hAnsi="Courier New"/>
                <w:color w:val="24292E"/>
                <w:sz w:val="17"/>
                <w:szCs w:val="17"/>
              </w:rPr>
              <w:t xml:space="preserve">3. если "in-progress" → 409 Conflict (запрос уже обрабатывается)</w:t>
            </w:r>
          </w:p>
          <w:p>
            <w:pPr>
              <w:spacing w:after="0" w:line="240"/>
            </w:pPr>
            <w:r>
              <w:rPr>
                <w:rFonts w:ascii="Courier New" w:cs="Courier New" w:eastAsia="Courier New" w:hAnsi="Courier New"/>
                <w:color w:val="24292E"/>
                <w:sz w:val="17"/>
                <w:szCs w:val="17"/>
              </w:rPr>
              <w:t xml:space="preserve">4. выполнить операцию в транзакции БД + outbox-событие</w:t>
            </w:r>
          </w:p>
          <w:p>
            <w:pPr>
              <w:spacing w:after="0" w:line="240"/>
            </w:pPr>
            <w:r>
              <w:rPr>
                <w:rFonts w:ascii="Courier New" w:cs="Courier New" w:eastAsia="Courier New" w:hAnsi="Courier New"/>
                <w:color w:val="24292E"/>
                <w:sz w:val="17"/>
                <w:szCs w:val="17"/>
              </w:rPr>
              <w:t xml:space="preserve">5. SET idemp:{key} = сериализованный ответ; вернуть результат</w:t>
            </w:r>
          </w:p>
        </w:tc>
      </w:tr>
    </w:tbl>
    <w:p>
      <w:pPr>
        <w:spacing w:after="160" w:before="60" w:line="240"/>
      </w:pPr>
      <w:r>
        <w:rPr>
          <w:i/>
          <w:iCs/>
          <w:color w:val="5A6B7B"/>
          <w:sz w:val="18"/>
          <w:szCs w:val="18"/>
        </w:rPr>
        <w:t xml:space="preserve">Листинг 4А.2 — Схема обеспечения идемпотентности изменяющей операции.</w:t>
      </w:r>
    </w:p>
    <w:p>
      <w:pPr>
        <w:pStyle w:val="Heading2"/>
      </w:pPr>
      <w:r>
        <w:t xml:space="preserve">4А.4. Согласованность данных и распределённые транзакции</w:t>
      </w:r>
    </w:p>
    <w:p>
      <w:pPr>
        <w:spacing w:after="120" w:line="276"/>
      </w:pPr>
      <w:r>
        <w:t xml:space="preserve">Система отказывается от распределённых транзакций в стиле двухфазной фиксации (2PC) в пользу итоговой согласованности (eventual consistency) и шаблона Saga. Бизнес-операция, затрагивающая несколько сервисов, моделируется как последовательность локальных транзакций, каждая из которых публикует событие, запускающее следующий шаг. При сбое выполняются компенсирующие действия в обратном порядке.</w:t>
      </w:r>
    </w:p>
    <w:p>
      <w:pPr>
        <w:spacing w:after="120" w:line="276"/>
      </w:pPr>
      <w:r>
        <w:t xml:space="preserve">Применяются два варианта оркестрации Saga: хореография (choreography) — сервисы реагируют на события друг друга без центрального координатора, подходит для коротких цепочек; оркестрация (orchestration) — центральный оркестратор (процесс Camunda) управляет последовательностью, подходит для длинных и ветвящихся цепочек услуг. Для сценариев услуг (раздел 7) применяется оркестрация средствами BPM; для внутренних технических цепочек — хореография.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Аспект</w:t>
            </w:r>
          </w:p>
        </w:tc>
        <w:tc>
          <w:tcPr>
            <w:tcW w:type="dxa" w:w="348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Хореография</w:t>
            </w:r>
          </w:p>
        </w:tc>
        <w:tc>
          <w:tcPr>
            <w:tcW w:type="dxa" w:w="348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Оркестрация (BPM)</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Координатор</w:t>
            </w:r>
          </w:p>
        </w:tc>
        <w:tc>
          <w:tcPr>
            <w:tcW w:type="dxa" w:w="34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Отсутствует</w:t>
            </w:r>
          </w:p>
        </w:tc>
        <w:tc>
          <w:tcPr>
            <w:tcW w:type="dxa" w:w="34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Процесс Camunda</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Связанность</w:t>
            </w:r>
          </w:p>
        </w:tc>
        <w:tc>
          <w:tcPr>
            <w:tcW w:type="dxa" w:w="34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Низкая</w:t>
            </w:r>
          </w:p>
        </w:tc>
        <w:tc>
          <w:tcPr>
            <w:tcW w:type="dxa" w:w="34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Средняя (через оркестратор)</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Наблюдаемость хода</w:t>
            </w:r>
          </w:p>
        </w:tc>
        <w:tc>
          <w:tcPr>
            <w:tcW w:type="dxa" w:w="34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Сложнее (распределена)</w:t>
            </w:r>
          </w:p>
        </w:tc>
        <w:tc>
          <w:tcPr>
            <w:tcW w:type="dxa" w:w="34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Высокая (видна в Camunda)</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Применение</w:t>
            </w:r>
          </w:p>
        </w:tc>
        <w:tc>
          <w:tcPr>
            <w:tcW w:type="dxa" w:w="34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Короткие техн. цепочки</w:t>
            </w:r>
          </w:p>
        </w:tc>
        <w:tc>
          <w:tcPr>
            <w:tcW w:type="dxa" w:w="34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Сценарии услуг</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Компенсация</w:t>
            </w:r>
          </w:p>
        </w:tc>
        <w:tc>
          <w:tcPr>
            <w:tcW w:type="dxa" w:w="34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Через события</w:t>
            </w:r>
          </w:p>
        </w:tc>
        <w:tc>
          <w:tcPr>
            <w:tcW w:type="dxa" w:w="34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Компенсирующие задачи BPMN</w:t>
            </w:r>
          </w:p>
        </w:tc>
      </w:tr>
    </w:tbl>
    <w:p>
      <w:pPr>
        <w:spacing w:after="160" w:before="60" w:line="240"/>
      </w:pPr>
      <w:r>
        <w:rPr>
          <w:i/>
          <w:iCs/>
          <w:color w:val="5A6B7B"/>
          <w:sz w:val="18"/>
          <w:szCs w:val="18"/>
        </w:rPr>
        <w:t xml:space="preserve">Таблица 4А.3 — Сравнение вариантов реализации Saga.</w:t>
      </w:r>
    </w:p>
    <w:p>
      <w:pPr>
        <w:pStyle w:val="Heading3"/>
      </w:pPr>
      <w:r>
        <w:t xml:space="preserve">4А.4.1. Transactional Outbox и доставка событий</w:t>
      </w:r>
    </w:p>
    <w:p>
      <w:pPr>
        <w:spacing w:after="120" w:line="276"/>
      </w:pPr>
      <w:r>
        <w:t xml:space="preserve">Для гарантированной публикации событий при изменении состояния применяется шаблон Transactional Outbox: событие записывается в таблицу outbox в той же транзакции БД, что и изменение данных; отдельный процесс (реле) читает outbox и публикует события в Kafka, помечая их как отправленные. Это исключает ситуацию, когда данные изменены, а событие потеряно (или наоборот). На стороне потребителя применяется шаблон Inbox: идентификаторы обработанных событий сохраняются, повторная доставка не приводит к повторной обработке.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 Таблица outbox (в схеме сервиса-источника)</w:t>
            </w:r>
          </w:p>
          <w:p>
            <w:pPr>
              <w:spacing w:after="0" w:line="240"/>
            </w:pPr>
            <w:r>
              <w:rPr>
                <w:rFonts w:ascii="Courier New" w:cs="Courier New" w:eastAsia="Courier New" w:hAnsi="Courier New"/>
                <w:color w:val="24292E"/>
                <w:sz w:val="17"/>
                <w:szCs w:val="17"/>
              </w:rPr>
              <w:t xml:space="preserve">CREATE TABLE outbox (</w:t>
            </w:r>
          </w:p>
          <w:p>
            <w:pPr>
              <w:spacing w:after="0" w:line="240"/>
            </w:pPr>
            <w:r>
              <w:rPr>
                <w:rFonts w:ascii="Courier New" w:cs="Courier New" w:eastAsia="Courier New" w:hAnsi="Courier New"/>
                <w:color w:val="24292E"/>
                <w:sz w:val="17"/>
                <w:szCs w:val="17"/>
              </w:rPr>
              <w:t xml:space="preserve">  id            UUID PRIMARY KEY DEFAULT gen_random_uuid(),</w:t>
            </w:r>
          </w:p>
          <w:p>
            <w:pPr>
              <w:spacing w:after="0" w:line="240"/>
            </w:pPr>
            <w:r>
              <w:rPr>
                <w:rFonts w:ascii="Courier New" w:cs="Courier New" w:eastAsia="Courier New" w:hAnsi="Courier New"/>
                <w:color w:val="24292E"/>
                <w:sz w:val="17"/>
                <w:szCs w:val="17"/>
              </w:rPr>
              <w:t xml:space="preserve">  aggregate_id  UUID NOT NULL,            -- идентификатор агрегата</w:t>
            </w:r>
          </w:p>
          <w:p>
            <w:pPr>
              <w:spacing w:after="0" w:line="240"/>
            </w:pPr>
            <w:r>
              <w:rPr>
                <w:rFonts w:ascii="Courier New" w:cs="Courier New" w:eastAsia="Courier New" w:hAnsi="Courier New"/>
                <w:color w:val="24292E"/>
                <w:sz w:val="17"/>
                <w:szCs w:val="17"/>
              </w:rPr>
              <w:t xml:space="preserve">  event_type    TEXT NOT NULL,            -- тип доменного события</w:t>
            </w:r>
          </w:p>
          <w:p>
            <w:pPr>
              <w:spacing w:after="0" w:line="240"/>
            </w:pPr>
            <w:r>
              <w:rPr>
                <w:rFonts w:ascii="Courier New" w:cs="Courier New" w:eastAsia="Courier New" w:hAnsi="Courier New"/>
                <w:color w:val="24292E"/>
                <w:sz w:val="17"/>
                <w:szCs w:val="17"/>
              </w:rPr>
              <w:t xml:space="preserve">  payload       JSONB NOT NULL,           -- тело события (Avro/JSON)</w:t>
            </w:r>
          </w:p>
          <w:p>
            <w:pPr>
              <w:spacing w:after="0" w:line="240"/>
            </w:pPr>
            <w:r>
              <w:rPr>
                <w:rFonts w:ascii="Courier New" w:cs="Courier New" w:eastAsia="Courier New" w:hAnsi="Courier New"/>
                <w:color w:val="24292E"/>
                <w:sz w:val="17"/>
                <w:szCs w:val="17"/>
              </w:rPr>
              <w:t xml:space="preserve">  created_at    TIMESTAMPTZ NOT NULL DEFAULT now(),</w:t>
            </w:r>
          </w:p>
          <w:p>
            <w:pPr>
              <w:spacing w:after="0" w:line="240"/>
            </w:pPr>
            <w:r>
              <w:rPr>
                <w:rFonts w:ascii="Courier New" w:cs="Courier New" w:eastAsia="Courier New" w:hAnsi="Courier New"/>
                <w:color w:val="24292E"/>
                <w:sz w:val="17"/>
                <w:szCs w:val="17"/>
              </w:rPr>
              <w:t xml:space="preserve">  published_at  TIMESTAMPTZ,              -- NULL = ещё не опубликовано</w:t>
            </w:r>
          </w:p>
          <w:p>
            <w:pPr>
              <w:spacing w:after="0" w:line="240"/>
            </w:pPr>
            <w:r>
              <w:rPr>
                <w:rFonts w:ascii="Courier New" w:cs="Courier New" w:eastAsia="Courier New" w:hAnsi="Courier New"/>
                <w:color w:val="24292E"/>
                <w:sz w:val="17"/>
                <w:szCs w:val="17"/>
              </w:rPr>
              <w:t xml:space="preserve">  attempts      INT NOT NULL DEFAULT 0</w:t>
            </w:r>
          </w:p>
          <w:p>
            <w:pPr>
              <w:spacing w:after="0" w:line="240"/>
            </w:pPr>
            <w:r>
              <w:rPr>
                <w:rFonts w:ascii="Courier New" w:cs="Courier New" w:eastAsia="Courier New" w:hAnsi="Courier New"/>
                <w:color w:val="24292E"/>
                <w:sz w:val="17"/>
                <w:szCs w:val="17"/>
              </w:rPr>
              <w:t xml:space="preserve">);</w:t>
            </w:r>
          </w:p>
          <w:p>
            <w:pPr>
              <w:spacing w:after="0" w:line="240"/>
            </w:pPr>
            <w:r>
              <w:rPr>
                <w:rFonts w:ascii="Courier New" w:cs="Courier New" w:eastAsia="Courier New" w:hAnsi="Courier New"/>
                <w:color w:val="24292E"/>
                <w:sz w:val="17"/>
                <w:szCs w:val="17"/>
              </w:rPr>
              <w:t xml:space="preserve">CREATE INDEX ix_outbox_unpublished ON outbox (created_at)</w:t>
            </w:r>
          </w:p>
          <w:p>
            <w:pPr>
              <w:spacing w:after="0" w:line="240"/>
            </w:pPr>
            <w:r>
              <w:rPr>
                <w:rFonts w:ascii="Courier New" w:cs="Courier New" w:eastAsia="Courier New" w:hAnsi="Courier New"/>
                <w:color w:val="24292E"/>
                <w:sz w:val="17"/>
                <w:szCs w:val="17"/>
              </w:rPr>
              <w:t xml:space="preserve">  WHERE published_at IS NULL;</w:t>
            </w:r>
          </w:p>
        </w:tc>
      </w:tr>
    </w:tbl>
    <w:p>
      <w:pPr>
        <w:spacing w:after="160" w:before="60" w:line="240"/>
      </w:pPr>
      <w:r>
        <w:rPr>
          <w:i/>
          <w:iCs/>
          <w:color w:val="5A6B7B"/>
          <w:sz w:val="18"/>
          <w:szCs w:val="18"/>
        </w:rPr>
        <w:t xml:space="preserve">Листинг 4А.3 — Структура таблицы outbox для гарантированной доставки событий.</w:t>
      </w:r>
    </w:p>
    <w:p>
      <w:pPr>
        <w:pStyle w:val="Heading2"/>
      </w:pPr>
      <w:r>
        <w:t xml:space="preserve">4А.5. Многоуровневое кэширование</w:t>
      </w:r>
    </w:p>
    <w:p>
      <w:pPr>
        <w:spacing w:after="120" w:line="276"/>
      </w:pPr>
      <w:r>
        <w:t xml:space="preserve">Кэширование применяется для снижения задержек и нагрузки на источники данных. Определены уровни кэша с разными политиками инвалидации:</w:t>
      </w:r>
    </w:p>
    <w:p>
      <w:pPr>
        <w:pStyle w:val="ListParagraph"/>
        <w:numPr>
          <w:ilvl w:val="0"/>
          <w:numId w:val="2"/>
        </w:numPr>
        <w:spacing w:after="80" w:line="264"/>
      </w:pPr>
      <w:r>
        <w:rPr>
          <w:b/>
          <w:bCs/>
        </w:rPr>
        <w:t xml:space="preserve">Кэш браузера/клиента </w:t>
      </w:r>
      <w:r>
        <w:t xml:space="preserve">— статические ресурсы, заголовки Cache-Control; инвалидация версионированием URL.</w:t>
      </w:r>
    </w:p>
    <w:p>
      <w:pPr>
        <w:pStyle w:val="ListParagraph"/>
        <w:numPr>
          <w:ilvl w:val="0"/>
          <w:numId w:val="2"/>
        </w:numPr>
        <w:spacing w:after="80" w:line="264"/>
      </w:pPr>
      <w:r>
        <w:rPr>
          <w:b/>
          <w:bCs/>
        </w:rPr>
        <w:t xml:space="preserve">CDN/пограничный кэш </w:t>
      </w:r>
      <w:r>
        <w:t xml:space="preserve">— только публичный неперсональный контент каталога услуг и регламентов; ПДн через CDN не проходят (раздел 11А.6А); короткий TTL и инвалидация по событию изменения услуги.</w:t>
      </w:r>
    </w:p>
    <w:p>
      <w:pPr>
        <w:pStyle w:val="ListParagraph"/>
        <w:numPr>
          <w:ilvl w:val="0"/>
          <w:numId w:val="2"/>
        </w:numPr>
        <w:spacing w:after="80" w:line="264"/>
      </w:pPr>
      <w:r>
        <w:rPr>
          <w:b/>
          <w:bCs/>
        </w:rPr>
        <w:t xml:space="preserve">Кэш шлюза/BFF </w:t>
      </w:r>
      <w:r>
        <w:t xml:space="preserve">— агрегированные ответы; TTL секунды–минуты.</w:t>
      </w:r>
    </w:p>
    <w:p>
      <w:pPr>
        <w:pStyle w:val="ListParagraph"/>
        <w:numPr>
          <w:ilvl w:val="0"/>
          <w:numId w:val="2"/>
        </w:numPr>
        <w:spacing w:after="80" w:line="264"/>
      </w:pPr>
      <w:r>
        <w:rPr>
          <w:b/>
          <w:bCs/>
        </w:rPr>
        <w:t xml:space="preserve">Распределённый кэш (Redis) </w:t>
      </w:r>
      <w:r>
        <w:t xml:space="preserve">— справочники НСИ, профили, результаты межведомственных запросов; инвалидация по событиям доменов.</w:t>
      </w:r>
    </w:p>
    <w:p>
      <w:pPr>
        <w:pStyle w:val="ListParagraph"/>
        <w:numPr>
          <w:ilvl w:val="0"/>
          <w:numId w:val="2"/>
        </w:numPr>
        <w:spacing w:after="80" w:line="264"/>
      </w:pPr>
      <w:r>
        <w:rPr>
          <w:b/>
          <w:bCs/>
        </w:rPr>
        <w:t xml:space="preserve">Локальный кэш сервиса </w:t>
      </w:r>
      <w:r>
        <w:t xml:space="preserve">— редко меняющиеся справочники; TTL и ограничение размера.</w:t>
      </w:r>
    </w:p>
    <w:p>
      <w:pPr>
        <w:spacing w:after="120" w:line="276"/>
      </w:pPr>
      <w:r>
        <w:t xml:space="preserve">Запрещено кэширование персональных данных в общих (разделяемых между пользователями) кэшах без обезличивания. Ответы межведомственных запросов кэшируются только при явном разрешении регламентом услуги и с ограниченным TTL, учитывающим актуальность сведений.</w:t>
      </w:r>
    </w:p>
    <w:p>
      <w:pPr>
        <w:pStyle w:val="Heading2"/>
      </w:pPr>
      <w:r>
        <w:t xml:space="preserve">4А.6. Мультиарендность и изоляция ведомств</w:t>
      </w:r>
    </w:p>
    <w:p>
      <w:pPr>
        <w:spacing w:after="120" w:line="276"/>
      </w:pPr>
      <w:r>
        <w:t xml:space="preserve">Платформа обслуживает множество ведомств в рамках единой инсталляции (модель «единый экземпляр — общая схема с дискриминатором арендатора» для большинства данных и «отдельная схема» для данных с повышенными требованиями к изоляции). Каждое ведомство является логическим арендатором (tenant). Изоляция обеспечивается на уровнях: данных (row-level security по идентификатору арендатора), доступа (роли и атрибуты привязаны к арендатору), наблюдаемости (метрики и журналы размечаются арендатором). Это позволяет разделять нагрузку и расходы, контролировать SLA по каждому ведомству и исключать доступ одного ведомства к данным другого.</w:t>
      </w:r>
    </w:p>
    <w:p>
      <w:pPr>
        <w:pStyle w:val="Heading2"/>
      </w:pPr>
      <w:r>
        <w:t xml:space="preserve">4А.7. Слой безопасности платежей (Payment Safety)</w:t>
      </w:r>
    </w:p>
    <w:p>
      <w:pPr>
        <w:spacing w:after="120" w:line="276"/>
      </w:pPr>
      <w:r>
        <w:t xml:space="preserve">Для платёжных и юридически значимых операций вводится отдельный слой требований Payment Safety. Источником истины является PostgreSQL внутри payment-service: таблица операций, уникальные ключи idempotency_key и external_payment_id, статусная модель платежа, outbox-события и сверка с платёжным провайдером. Повтор callback от платёжного провайдера (PSP) или повтор запроса клиента не должен создавать новый финансовый эффект — гарантия обеспечивается уникальным ключом на уровне БД, а не блокировкой в кэше.</w:t>
      </w:r>
    </w:p>
    <w:p>
      <w:pPr>
        <w:spacing w:after="120" w:line="276"/>
      </w:pPr>
      <w:r>
        <w:t xml:space="preserve">Статусная модель платежа: CREATED, PENDING, CONFIRMED, FAILED, CANCELLED, REFUND_REQUESTED, REFUNDED. Любой переход статуса фиксируется в WORM-аудите и публикуется доменным событием через outbox. Возврат (refund) выполняется только при основании, предусмотренном регламентом, и также идемпотентен.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 Payment Safety</w:t>
            </w:r>
          </w:p>
        </w:tc>
        <w:tc>
          <w:tcPr>
            <w:tcW w:type="dxa" w:w="6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Реализация</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Идемпотентность операции</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UNIQUE (idempotency_key); UNIQUE (external_payment_id) в PostgreSQL</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Идемпотентность callback PSP</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Дедупликация по external_payment_id; повтор не меняет финансовый эффект</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Согласованность статусов</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Явная статусная модель; переходы только по разрешённым рёбрам</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Надёжная публикация</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Transactional outbox в одной транзакции со сменой статуса</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Сверка</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Периодическая сверка с PSP; расхождения — в инцидент</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Аудит</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Каждый переход статуса — в WORM-журнал</w:t>
            </w:r>
          </w:p>
        </w:tc>
      </w:tr>
    </w:tbl>
    <w:p>
      <w:pPr>
        <w:spacing w:after="160" w:before="60" w:line="240"/>
      </w:pPr>
      <w:r>
        <w:rPr>
          <w:i/>
          <w:iCs/>
          <w:color w:val="5A6B7B"/>
          <w:sz w:val="18"/>
          <w:szCs w:val="18"/>
        </w:rPr>
        <w:t xml:space="preserve">Таблица 4А.4 — Требования слоя Payment Safety и их реализация.</w:t>
      </w:r>
    </w:p>
    <w:p>
      <w:pPr>
        <w:pStyle w:val="Heading2"/>
      </w:pPr>
      <w:r>
        <w:t xml:space="preserve">4А.8. Ограничение роли BPM-движка</w:t>
      </w:r>
    </w:p>
    <w:p>
      <w:pPr>
        <w:spacing w:after="120" w:line="276"/>
      </w:pPr>
      <w:r>
        <w:t xml:space="preserve">BPM-движок (Camunda 7 / альтернативное open-source решение) используется строго как процессный оркестратор: BPMN-маршруты, SLA-таймеры, пользовательские и сервисные задачи, Saga-компенсации. Доменная бизнес-логика, инварианты, расчёт статусов, финансовые правила и юридически значимые проверки должны находиться в соответствующих доменных сервисах и покрываться unit/integration/contract-тестами. Запрещается превращать BPM-процессы в единственный носитель бизнес-логики (антипаттерн «толстого BPM»), так как это делает логику нетестируемой стандартными средствами, усложняет сопровождение и усиливает зависимость от движка.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Ответственность</w:t>
            </w:r>
          </w:p>
        </w:tc>
        <w:tc>
          <w:tcPr>
            <w:tcW w:type="dxa" w:w="468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Где находится</w:t>
            </w:r>
          </w:p>
        </w:tc>
      </w:tr>
      <w:tr>
        <w:tc>
          <w:tcPr>
            <w:tcW w:type="dxa" w:w="46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Маршрут процесса, ветвления, таймеры SLA</w:t>
            </w:r>
          </w:p>
        </w:tc>
        <w:tc>
          <w:tcPr>
            <w:tcW w:type="dxa" w:w="46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BPM-движок (BPMN)</w:t>
            </w:r>
          </w:p>
        </w:tc>
      </w:tr>
      <w:tr>
        <w:tc>
          <w:tcPr>
            <w:tcW w:type="dxa" w:w="46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Пользовательские/сервисные задачи, компенсации</w:t>
            </w:r>
          </w:p>
        </w:tc>
        <w:tc>
          <w:tcPr>
            <w:tcW w:type="dxa" w:w="46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BPM-движок + воркеры доменных сервисов</w:t>
            </w:r>
          </w:p>
        </w:tc>
      </w:tr>
      <w:tr>
        <w:tc>
          <w:tcPr>
            <w:tcW w:type="dxa" w:w="46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Доменные инварианты и бизнес-правила</w:t>
            </w:r>
          </w:p>
        </w:tc>
        <w:tc>
          <w:tcPr>
            <w:tcW w:type="dxa" w:w="46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Доменный сервис (код, тесты)</w:t>
            </w:r>
          </w:p>
        </w:tc>
      </w:tr>
      <w:tr>
        <w:tc>
          <w:tcPr>
            <w:tcW w:type="dxa" w:w="46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Расчёт статусов, финансовые правила</w:t>
            </w:r>
          </w:p>
        </w:tc>
        <w:tc>
          <w:tcPr>
            <w:tcW w:type="dxa" w:w="46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Доменный сервис (payment/application)</w:t>
            </w:r>
          </w:p>
        </w:tc>
      </w:tr>
      <w:tr>
        <w:tc>
          <w:tcPr>
            <w:tcW w:type="dxa" w:w="46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Юридически значимые проверки</w:t>
            </w:r>
          </w:p>
        </w:tc>
        <w:tc>
          <w:tcPr>
            <w:tcW w:type="dxa" w:w="46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Доменный сервис + ЭЦП/аудит</w:t>
            </w:r>
          </w:p>
        </w:tc>
      </w:tr>
    </w:tbl>
    <w:p>
      <w:pPr>
        <w:spacing w:after="160" w:before="60" w:line="240"/>
      </w:pPr>
      <w:r>
        <w:rPr>
          <w:i/>
          <w:iCs/>
          <w:color w:val="5A6B7B"/>
          <w:sz w:val="18"/>
          <w:szCs w:val="18"/>
        </w:rPr>
        <w:t xml:space="preserve">Таблица 4А.5 — Разграничение ответственности между BPM-движком и доменными сервисами.</w:t>
      </w:r>
    </w:p>
    <w:p>
      <w:pPr>
        <w:pStyle w:val="Heading2"/>
      </w:pPr>
      <w:r>
        <w:t xml:space="preserve">4А.9. Управление согласиями (consent)</w:t>
      </w:r>
    </w:p>
    <w:p>
      <w:pPr>
        <w:spacing w:after="120" w:line="276"/>
      </w:pPr>
      <w:r>
        <w:t xml:space="preserve">Управление согласиями граждан на обработку и передачу персональных данных реализуется как обособленная область с собственной моделью данных, статусной моделью (выдано / отозвано) и историей; каждое изменение фиксируется в WORM-аудите. Это обусловлено юридической значимостью согласий (Закон РТ № 1537) и необходимостью их независимой проверки регулятором.</w:t>
      </w:r>
    </w:p>
    <w:p>
      <w:pPr>
        <w:spacing w:after="120" w:line="276"/>
      </w:pPr>
      <w:r>
        <w:t xml:space="preserve">Согласие предоставляется однократно — при первичной регистрации или при подаче заявления — и не запрашивается повторно на каждом шаге процесса: результат проверки фиксируется в заявлении (и/или сессии) в момент подачи, после чего процесс выполняется без обращений к согласию. Таким образом проверка согласия является низкочастотной операцией и не лежит на горячем пути обработки.</w:t>
      </w:r>
    </w:p>
    <w:p>
      <w:pPr>
        <w:spacing w:after="120" w:line="276"/>
      </w:pPr>
      <w:r>
        <w:t xml:space="preserve">Учитывая однократность проверки, область реализуется как обособленный модуль в составе profile-service (отдельная таблица, статусная модель, история, аудит), а не как отдельный сервис: выделение отдельного consent-service не даёт выигрыша по нагрузке и означало бы преждевременное дробление. Граница спроектирована через стабильный интерфейс проверки согласия, что позволяет при необходимости вынести модуль в самостоятельный сервис в будущем без изменения контрактов потребителей. Решение фиксируется отдельным архитектурным решением (ADR).</w:t>
      </w:r>
    </w:p>
    <w:p>
      <w:pPr>
        <w:pStyle w:val="Heading1"/>
      </w:pPr>
      <w:r>
        <w:t xml:space="preserve">4Б. Детальные спецификации доменных сервисов</w:t>
      </w:r>
    </w:p>
    <w:p>
      <w:pPr>
        <w:spacing w:after="120" w:line="276"/>
      </w:pPr>
      <w:r>
        <w:t xml:space="preserve">Настоящий раздел содержит детальные спецификации каждого доменного микросервиса (раздел 4.3). Для каждого сервиса приведены: зона ответственности, модель данных, основные операции API, публикуемые и потребляемые события, бизнес-правила и инварианты, интеграции, нефункциональные требования и обработка типовых ошибок. Спецификации служат основанием для проектирования контрактов (OpenAPI/Avro) и реализации.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О приведённых API и схемах. </w:t>
            </w:r>
            <w:r>
              <w:rPr>
                <w:sz w:val="21"/>
                <w:szCs w:val="21"/>
              </w:rPr>
              <w:t xml:space="preserve">Сигнатуры методов, структуры событий и фрагменты схем являются нормативными образцами уровня ТЗ. Окончательные контракты разрабатываются на этапе проектирования (этап 1) в формате OpenAPI 3.1 и Avro и хранятся в реестре схем (Apicurio); они обязаны сохранять обратную совместимость в пределах мажорной версии.</w:t>
            </w:r>
          </w:p>
        </w:tc>
      </w:tr>
    </w:tbl>
    <w:p>
      <w:pPr>
        <w:pStyle w:val="Heading2"/>
      </w:pPr>
      <w:r>
        <w:t xml:space="preserve">4Б.1. Сервис «Каталог услуг» (catalog-service)</w:t>
      </w:r>
    </w:p>
    <w:p>
      <w:pPr>
        <w:spacing w:after="120" w:line="276"/>
      </w:pPr>
      <w:r>
        <w:t xml:space="preserve">Сервис является единым источником истины (SSOT) для описаний государственных услуг: их регламентов, маршрутов исполнения, версий, привязки к формам и процессам. Все каналы (веб, мобайл, внешние API) получают сведения об услугах исключительно из этого сервиса. Каталог обеспечивает поиск, фильтрацию по жизненным ситуациям и ведомствам, а также управление жизненным циклом публикации услуги.</w:t>
      </w:r>
    </w:p>
    <w:p>
      <w:pPr>
        <w:pStyle w:val="Heading4"/>
      </w:pPr>
      <w:r>
        <w:t xml:space="preserve">Зона ответственности</w:t>
      </w:r>
    </w:p>
    <w:p>
      <w:pPr>
        <w:pStyle w:val="ListParagraph"/>
        <w:numPr>
          <w:ilvl w:val="0"/>
          <w:numId w:val="2"/>
        </w:numPr>
        <w:spacing w:after="80" w:line="264"/>
      </w:pPr>
      <w:r>
        <w:t xml:space="preserve">хранение и версионирование описаний услуг (метаданные, регламент, сроки, стоимость, перечень документов);</w:t>
      </w:r>
    </w:p>
    <w:p>
      <w:pPr>
        <w:pStyle w:val="ListParagraph"/>
        <w:numPr>
          <w:ilvl w:val="0"/>
          <w:numId w:val="2"/>
        </w:numPr>
        <w:spacing w:after="80" w:line="264"/>
      </w:pPr>
      <w:r>
        <w:t xml:space="preserve">привязка услуги к процессу BPMN, форме Form.io и правилам DMN определённых версий;</w:t>
      </w:r>
    </w:p>
    <w:p>
      <w:pPr>
        <w:pStyle w:val="ListParagraph"/>
        <w:numPr>
          <w:ilvl w:val="0"/>
          <w:numId w:val="2"/>
        </w:numPr>
        <w:spacing w:after="80" w:line="264"/>
      </w:pPr>
      <w:r>
        <w:t xml:space="preserve">управление жизненным циклом публикации: черновик → на согласовании → опубликована → выведена из эксплуатации;</w:t>
      </w:r>
    </w:p>
    <w:p>
      <w:pPr>
        <w:pStyle w:val="ListParagraph"/>
        <w:numPr>
          <w:ilvl w:val="0"/>
          <w:numId w:val="2"/>
        </w:numPr>
        <w:spacing w:after="80" w:line="264"/>
      </w:pPr>
      <w:r>
        <w:t xml:space="preserve">предоставление поиска и фильтрации (полнотекстовый поиск, фасеты по ведомству, категории, жизненной ситуации);</w:t>
      </w:r>
    </w:p>
    <w:p>
      <w:pPr>
        <w:pStyle w:val="ListParagraph"/>
        <w:numPr>
          <w:ilvl w:val="0"/>
          <w:numId w:val="2"/>
        </w:numPr>
        <w:spacing w:after="80" w:line="264"/>
      </w:pPr>
      <w:r>
        <w:t xml:space="preserve">группировка услуг по жизненным ситуациям и формирование сквозных сценариев.</w:t>
      </w:r>
    </w:p>
    <w:p>
      <w:pPr>
        <w:pStyle w:val="Heading4"/>
      </w:pPr>
      <w:r>
        <w:t xml:space="preserve">Основные сущности данных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Сущность</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 и ключевые атрибуты</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Услуга (Service)</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Идентификатор, наименование (мультиязычное), ведомство-владелец, категория, статус публикации, текущая версия.</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Версия услуги (ServiceVersion)</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Номер версии, привязки к процессу/форме/правилам, дата публикации, автор, статус.</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Регламент (Regulation)</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Сроки оказания, стоимость/пошлина, перечень необходимых документов, основания для отказа.</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Жизненная ситуация (LifeEvent)</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Группировка услуг (рождение ребёнка, смена жительства и т.п.), порядок прохождения.</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Категория (Category)</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Иерархический классификатор услуг для навигации.</w:t>
            </w:r>
          </w:p>
        </w:tc>
      </w:tr>
    </w:tbl>
    <w:p>
      <w:pPr>
        <w:pStyle w:val="Heading4"/>
      </w:pPr>
      <w:r>
        <w:t xml:space="preserve">Основные операции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/api/v1/services</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Поиск и фильтрация услуг (фасеты, пагинация).</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/api/v1/services/{id}</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Получение опубликованного описания услуги.</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/api/v1/services/{id}/versions</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История версий услуги.</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/api/v1/services</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Создание черновика услуги (для администратора).</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PUT /api/v1/services/{id}</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Изменение черновика услуги.</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/api/v1/services/{id}:publish</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Публикация версии услуги.</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/api/v1/services/{id}:retire</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Вывод услуги из эксплуатации.</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/api/v1/life-events</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Перечень жизненных ситуаций и связанных услуг.</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GET /api/v1/services?lifeEvent=birth&amp;lang=tg&amp;page=0&amp;size=20</w:t>
            </w:r>
          </w:p>
          <w:p>
            <w:pPr>
              <w:spacing w:after="0" w:line="240"/>
            </w:pPr>
            <w:r>
              <w:rPr>
                <w:rFonts w:ascii="Courier New" w:cs="Courier New" w:eastAsia="Courier New" w:hAnsi="Courier New"/>
                <w:color w:val="24292E"/>
                <w:sz w:val="17"/>
                <w:szCs w:val="17"/>
              </w:rPr>
              <w:t xml:space="preserve">Authorization: Bearer &lt;token&gt;</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200 OK</w:t>
            </w:r>
          </w:p>
          <w:p>
            <w:pPr>
              <w:spacing w:after="0" w:line="240"/>
            </w:pPr>
            <w:r>
              <w:rPr>
                <w:rFonts w:ascii="Courier New" w:cs="Courier New" w:eastAsia="Courier New" w:hAnsi="Courier New"/>
                <w:color w:val="24292E"/>
                <w:sz w:val="17"/>
                <w:szCs w:val="17"/>
              </w:rPr>
              <w:t xml:space="preserve">{</w:t>
            </w:r>
          </w:p>
          <w:p>
            <w:pPr>
              <w:spacing w:after="0" w:line="240"/>
            </w:pPr>
            <w:r>
              <w:rPr>
                <w:rFonts w:ascii="Courier New" w:cs="Courier New" w:eastAsia="Courier New" w:hAnsi="Courier New"/>
                <w:color w:val="24292E"/>
                <w:sz w:val="17"/>
                <w:szCs w:val="17"/>
              </w:rPr>
              <w:t xml:space="preserve">  "items": [</w:t>
            </w:r>
          </w:p>
          <w:p>
            <w:pPr>
              <w:spacing w:after="0" w:line="240"/>
            </w:pPr>
            <w:r>
              <w:rPr>
                <w:rFonts w:ascii="Courier New" w:cs="Courier New" w:eastAsia="Courier New" w:hAnsi="Courier New"/>
                <w:color w:val="24292E"/>
                <w:sz w:val="17"/>
                <w:szCs w:val="17"/>
              </w:rPr>
              <w:t xml:space="preserve">    { "id": "svc-0421", "name": "Регистрация рождения",</w:t>
            </w:r>
          </w:p>
          <w:p>
            <w:pPr>
              <w:spacing w:after="0" w:line="240"/>
            </w:pPr>
            <w:r>
              <w:rPr>
                <w:rFonts w:ascii="Courier New" w:cs="Courier New" w:eastAsia="Courier New" w:hAnsi="Courier New"/>
                <w:color w:val="24292E"/>
                <w:sz w:val="17"/>
                <w:szCs w:val="17"/>
              </w:rPr>
              <w:t xml:space="preserve">      "agency": "Минюст/ЗАГС", "version": 7,</w:t>
            </w:r>
          </w:p>
          <w:p>
            <w:pPr>
              <w:spacing w:after="0" w:line="240"/>
            </w:pPr>
            <w:r>
              <w:rPr>
                <w:rFonts w:ascii="Courier New" w:cs="Courier New" w:eastAsia="Courier New" w:hAnsi="Courier New"/>
                <w:color w:val="24292E"/>
                <w:sz w:val="17"/>
                <w:szCs w:val="17"/>
              </w:rPr>
              <w:t xml:space="preserve">      "termDays": 5, "fee": { "amount": 0, "currency": "TJS" } }</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  "page": 0, "size": 20, "total": 12</w:t>
            </w:r>
          </w:p>
          <w:p>
            <w:pPr>
              <w:spacing w:after="0" w:line="240"/>
            </w:pPr>
            <w:r>
              <w:rPr>
                <w:rFonts w:ascii="Courier New" w:cs="Courier New" w:eastAsia="Courier New" w:hAnsi="Courier New"/>
                <w:color w:val="24292E"/>
                <w:sz w:val="17"/>
                <w:szCs w:val="17"/>
              </w:rPr>
              <w:t xml:space="preserve">}</w:t>
            </w:r>
          </w:p>
        </w:tc>
      </w:tr>
    </w:tbl>
    <w:p>
      <w:pPr>
        <w:spacing w:after="160" w:before="60" w:line="240"/>
      </w:pPr>
      <w:r>
        <w:rPr>
          <w:i/>
          <w:iCs/>
          <w:color w:val="5A6B7B"/>
          <w:sz w:val="18"/>
          <w:szCs w:val="18"/>
        </w:rPr>
        <w:t xml:space="preserve">Листинг — пример запроса/ответа сервиса «Каталог услуг».</w:t>
      </w:r>
    </w:p>
    <w:p>
      <w:pPr>
        <w:pStyle w:val="Heading4"/>
      </w:pPr>
      <w:r>
        <w:t xml:space="preserve">Публикуемые и потребляемые события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Событие</w:t>
            </w:r>
          </w:p>
        </w:tc>
        <w:tc>
          <w:tcPr>
            <w:tcW w:type="dxa" w:w="1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Направление</w:t>
            </w:r>
          </w:p>
        </w:tc>
        <w:tc>
          <w:tcPr>
            <w:tcW w:type="dxa" w:w="4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ServicePublished</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Услуга опубликована; инвалидация кэшей каталога и CDN.</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ServiceRetired</w:t>
            </w:r>
          </w:p>
        </w:tc>
        <w:tc>
          <w:tcPr>
            <w:tcW w:type="dxa" w:w="1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Услуга выведена; запрет новых заявлений.</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ServiceVersionChanged</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Изменена привязка к процессу/форме/правилам.</w:t>
            </w:r>
          </w:p>
        </w:tc>
      </w:tr>
    </w:tbl>
    <w:p>
      <w:pPr>
        <w:pStyle w:val="Heading4"/>
      </w:pPr>
      <w:r>
        <w:t xml:space="preserve">Бизнес-правила и инварианты</w:t>
      </w:r>
    </w:p>
    <w:p>
      <w:pPr>
        <w:pStyle w:val="ListParagraph"/>
        <w:numPr>
          <w:ilvl w:val="0"/>
          <w:numId w:val="2"/>
        </w:numPr>
        <w:spacing w:after="80" w:line="264"/>
      </w:pPr>
      <w:r>
        <w:t xml:space="preserve">опубликованная версия услуги неизменяема; изменения создают новую версию;</w:t>
      </w:r>
    </w:p>
    <w:p>
      <w:pPr>
        <w:pStyle w:val="ListParagraph"/>
        <w:numPr>
          <w:ilvl w:val="0"/>
          <w:numId w:val="2"/>
        </w:numPr>
        <w:spacing w:after="80" w:line="264"/>
      </w:pPr>
      <w:r>
        <w:t xml:space="preserve">нельзя опубликовать услугу без привязанных и валидных процесса, формы и (при необходимости) правил;</w:t>
      </w:r>
    </w:p>
    <w:p>
      <w:pPr>
        <w:pStyle w:val="ListParagraph"/>
        <w:numPr>
          <w:ilvl w:val="0"/>
          <w:numId w:val="2"/>
        </w:numPr>
        <w:spacing w:after="80" w:line="264"/>
      </w:pPr>
      <w:r>
        <w:t xml:space="preserve">вывод услуги из эксплуатации не удаляет ранее поданные заявления — они дорабатываются по своей версии;</w:t>
      </w:r>
    </w:p>
    <w:p>
      <w:pPr>
        <w:pStyle w:val="ListParagraph"/>
        <w:numPr>
          <w:ilvl w:val="0"/>
          <w:numId w:val="2"/>
        </w:numPr>
        <w:spacing w:after="80" w:line="264"/>
      </w:pPr>
      <w:r>
        <w:t xml:space="preserve">мультиязычность обязательна: наименование и регламент заполняются на таджикском и русском как минимум.</w:t>
      </w:r>
    </w:p>
    <w:p>
      <w:pPr>
        <w:pStyle w:val="Heading4"/>
      </w:pPr>
      <w:r>
        <w:t xml:space="preserve">Интеграции</w:t>
      </w:r>
    </w:p>
    <w:p>
      <w:pPr>
        <w:pStyle w:val="ListParagraph"/>
        <w:numPr>
          <w:ilvl w:val="0"/>
          <w:numId w:val="2"/>
        </w:numPr>
        <w:spacing w:after="80" w:line="264"/>
      </w:pPr>
      <w:r>
        <w:t xml:space="preserve">НСИ — для классификаторов категорий и ведомств;</w:t>
      </w:r>
    </w:p>
    <w:p>
      <w:pPr>
        <w:pStyle w:val="ListParagraph"/>
        <w:numPr>
          <w:ilvl w:val="0"/>
          <w:numId w:val="2"/>
        </w:numPr>
        <w:spacing w:after="80" w:line="264"/>
      </w:pPr>
      <w:r>
        <w:t xml:space="preserve">Конструкторы Low-Code — для привязки версий процесса/формы/правил.</w:t>
      </w:r>
    </w:p>
    <w:p>
      <w:pPr>
        <w:pStyle w:val="Heading4"/>
      </w:pPr>
      <w:r>
        <w:t xml:space="preserve">Нефункциональные требования к сервису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Показатель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ответа поиска (P95)</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300 мс</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99,95 %</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Кэширование</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CDN + Redis; инвалидация по событиям</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Объём</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 5 000 услуг с историей версий</w:t>
            </w:r>
          </w:p>
        </w:tc>
      </w:tr>
    </w:tbl>
    <w:p>
      <w:pPr>
        <w:pStyle w:val="Heading4"/>
      </w:pPr>
      <w:r>
        <w:t xml:space="preserve">Типовые ошибки и их обработка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Код / ситуация</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Обработка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404 Service Not Found</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Услуга не найдена или не опубликована — понятное сообщение каналу.</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409 Invalid Publish</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Попытка публикации без валидных привязок — отказ с перечнем причин.</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422 Validation</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Неполные мультиязычные поля — отказ с указанием отсутствующих локалей.</w:t>
            </w:r>
          </w:p>
        </w:tc>
      </w:tr>
    </w:tbl>
    <w:p>
      <w:pPr>
        <w:pStyle w:val="Heading4"/>
      </w:pPr>
      <w:r>
        <w:t xml:space="preserve">Масштабирование и устойчивость</w:t>
      </w:r>
    </w:p>
    <w:p>
      <w:pPr>
        <w:spacing w:after="120" w:line="276"/>
      </w:pPr>
      <w:r>
        <w:t xml:space="preserve">Сервис «Каталог услуг» спроектирован как stateless и масштабируется горизонтально (HPA). Состояние выносится в БД и кэш; экземпляры взаимозаменяемы. Применяются шаблоны устойчивости (раздел 4А.3): тайм-ауты, повторы для идемпотентных операций, размыкатель к зависимостям, перегородки пулов. Реплики распределяются по зонам и ЦОД (анти-аффинити). При отказе экземпляра запросы перенаправляются на оставшиеся без потери доступности.</w:t>
      </w:r>
    </w:p>
    <w:p>
      <w:pPr>
        <w:pStyle w:val="Heading4"/>
      </w:pPr>
      <w:r>
        <w:t xml:space="preserve">Жизненный цикл данных</w:t>
      </w:r>
    </w:p>
    <w:p>
      <w:pPr>
        <w:spacing w:after="120" w:line="276"/>
      </w:pPr>
      <w:r>
        <w:t xml:space="preserve">Данные сервиса принадлежат ему единолично (раздел 5Б.1) и изменяются только через его API/события. Изменения публикуются как доменные события через transactional outbox (раздел 4А.4.1). Сроки хранения определяются классом данных (раздел 5Б.4); по истечении выполняется архивирование или обезличивание. Изменения схемы — по стратегии expand–contract (раздел 5Б.6) без простоя.</w:t>
      </w:r>
    </w:p>
    <w:p>
      <w:pPr>
        <w:pStyle w:val="Heading4"/>
      </w:pPr>
      <w:r>
        <w:t xml:space="preserve">Зависимости и контроль качества</w:t>
      </w:r>
    </w:p>
    <w:p>
      <w:pPr>
        <w:spacing w:after="120" w:line="276"/>
      </w:pPr>
      <w:r>
        <w:t xml:space="preserve">Сервис взаимодействует со смежными компонентами только через опубликованные контракты; совместимость проверяется контрактными тестами (Pact, раздел 20А.3). Каждый внешний вызов защищён шаблонами устойчивости (тайм-аут, повтор, размыкатель). Сервис экспортирует стандартный набор метрик (задержка, трафик, ошибки, насыщенность — раздел 14А.2) и трассируется сквозным Correlation ID. Готовность к выпуску проверяется по чек-листу (Приложение К.1).</w:t>
      </w:r>
    </w:p>
    <w:p>
      <w:pPr>
        <w:pStyle w:val="Heading2"/>
      </w:pPr>
      <w:r>
        <w:t xml:space="preserve">4Б.2. Сервис «Управление заявлениями» (application-service)</w:t>
      </w:r>
    </w:p>
    <w:p>
      <w:pPr>
        <w:spacing w:after="120" w:line="276"/>
      </w:pPr>
      <w:r>
        <w:t xml:space="preserve">Сервис управляет полным жизненным циклом заявления гражданина или организации: от создания черновика до получения результата. Хранит данные заявления, его статус, историю переходов и связь с экземпляром процесса BPM. Является источником событий о изменении состояния заявления, на которые реагируют сервисы уведомлений, платежей и документов.</w:t>
      </w:r>
    </w:p>
    <w:p>
      <w:pPr>
        <w:pStyle w:val="Heading4"/>
      </w:pPr>
      <w:r>
        <w:t xml:space="preserve">Зона ответственности</w:t>
      </w:r>
    </w:p>
    <w:p>
      <w:pPr>
        <w:pStyle w:val="ListParagraph"/>
        <w:numPr>
          <w:ilvl w:val="0"/>
          <w:numId w:val="2"/>
        </w:numPr>
        <w:spacing w:after="80" w:line="264"/>
      </w:pPr>
      <w:r>
        <w:t xml:space="preserve">создание, хранение и изменение заявлений и их черновиков;</w:t>
      </w:r>
    </w:p>
    <w:p>
      <w:pPr>
        <w:pStyle w:val="ListParagraph"/>
        <w:numPr>
          <w:ilvl w:val="0"/>
          <w:numId w:val="2"/>
        </w:numPr>
        <w:spacing w:after="80" w:line="264"/>
      </w:pPr>
      <w:r>
        <w:t xml:space="preserve">управление статусной моделью заявления (раздел 7.2) и историей переходов;</w:t>
      </w:r>
    </w:p>
    <w:p>
      <w:pPr>
        <w:pStyle w:val="ListParagraph"/>
        <w:numPr>
          <w:ilvl w:val="0"/>
          <w:numId w:val="2"/>
        </w:numPr>
        <w:spacing w:after="80" w:line="264"/>
      </w:pPr>
      <w:r>
        <w:t xml:space="preserve">запуск экземпляра процесса BPM при подаче заявления и синхронизация статусов;</w:t>
      </w:r>
    </w:p>
    <w:p>
      <w:pPr>
        <w:pStyle w:val="ListParagraph"/>
        <w:numPr>
          <w:ilvl w:val="0"/>
          <w:numId w:val="2"/>
        </w:numPr>
        <w:spacing w:after="80" w:line="264"/>
      </w:pPr>
      <w:r>
        <w:t xml:space="preserve">хранение ссылок на приложенные и сформированные документы, платежи, межведомственные запросы;</w:t>
      </w:r>
    </w:p>
    <w:p>
      <w:pPr>
        <w:pStyle w:val="ListParagraph"/>
        <w:numPr>
          <w:ilvl w:val="0"/>
          <w:numId w:val="2"/>
        </w:numPr>
        <w:spacing w:after="80" w:line="264"/>
      </w:pPr>
      <w:r>
        <w:t xml:space="preserve">предоставление заявителю и специалисту представлений заявления (списки, карточка, история).</w:t>
      </w:r>
    </w:p>
    <w:p>
      <w:pPr>
        <w:pStyle w:val="Heading4"/>
      </w:pPr>
      <w:r>
        <w:t xml:space="preserve">Основные сущности данных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Сущность</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 и ключевые атрибуты</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Заявление (Application)</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Идентификатор, услуга и её версия, заявитель, статус, текущий шаг процесса, метки времени.</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Данные заявления (ApplicationData)</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Значения полей формы (JSON), привязка к версии формы.</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Переход статуса (StatusTransition)</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Из статуса, в статус, инициатор, причина, метка времени (неизменяемая запись).</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Вложение (Attachment)</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Ссылка на документ в объектном хранилище, тип, контрольная сумма.</w:t>
            </w:r>
          </w:p>
        </w:tc>
      </w:tr>
    </w:tbl>
    <w:p>
      <w:pPr>
        <w:pStyle w:val="Heading4"/>
      </w:pPr>
      <w:r>
        <w:t xml:space="preserve">Основные операции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/api/v1/applications</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Создание черновика заявления.</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PUT /api/v1/applications/{id}</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Сохранение данных черновика.</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/api/v1/applications/{id}:submit</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Подача заявления (запуск процесса).</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/api/v1/applications/{id}:withdraw</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Отзыв заявления заявителем.</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/api/v1/applications/{id}</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Карточка заявления с историей.</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/api/v1/applications</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Список заявлений заявителя (фильтры, пагинация).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POST /api/v1/applications/{id}:submit</w:t>
            </w:r>
          </w:p>
          <w:p>
            <w:pPr>
              <w:spacing w:after="0" w:line="240"/>
            </w:pPr>
            <w:r>
              <w:rPr>
                <w:rFonts w:ascii="Courier New" w:cs="Courier New" w:eastAsia="Courier New" w:hAnsi="Courier New"/>
                <w:color w:val="24292E"/>
                <w:sz w:val="17"/>
                <w:szCs w:val="17"/>
              </w:rPr>
              <w:t xml:space="preserve">Idempotency-Key: &lt;uuid&gt;</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202 Accepted</w:t>
            </w:r>
          </w:p>
          <w:p>
            <w:pPr>
              <w:spacing w:after="0" w:line="240"/>
            </w:pPr>
            <w:r>
              <w:rPr>
                <w:rFonts w:ascii="Courier New" w:cs="Courier New" w:eastAsia="Courier New" w:hAnsi="Courier New"/>
                <w:color w:val="24292E"/>
                <w:sz w:val="17"/>
                <w:szCs w:val="17"/>
              </w:rPr>
              <w:t xml:space="preserve">{ "id": "app-99312", "status": "SUBMITTED",</w:t>
            </w:r>
          </w:p>
          <w:p>
            <w:pPr>
              <w:spacing w:after="0" w:line="240"/>
            </w:pPr>
            <w:r>
              <w:rPr>
                <w:rFonts w:ascii="Courier New" w:cs="Courier New" w:eastAsia="Courier New" w:hAnsi="Courier New"/>
                <w:color w:val="24292E"/>
                <w:sz w:val="17"/>
                <w:szCs w:val="17"/>
              </w:rPr>
              <w:t xml:space="preserve">  "processInstanceId": "pi-77120", "submittedAt": "2026-05-29T09:14:00Z" }</w:t>
            </w:r>
          </w:p>
        </w:tc>
      </w:tr>
    </w:tbl>
    <w:p>
      <w:pPr>
        <w:spacing w:after="160" w:before="60" w:line="240"/>
      </w:pPr>
      <w:r>
        <w:rPr>
          <w:i/>
          <w:iCs/>
          <w:color w:val="5A6B7B"/>
          <w:sz w:val="18"/>
          <w:szCs w:val="18"/>
        </w:rPr>
        <w:t xml:space="preserve">Листинг — пример запроса/ответа сервиса «Управление заявлениями».</w:t>
      </w:r>
    </w:p>
    <w:p>
      <w:pPr>
        <w:pStyle w:val="Heading4"/>
      </w:pPr>
      <w:r>
        <w:t xml:space="preserve">Публикуемые и потребляемые события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Событие</w:t>
            </w:r>
          </w:p>
        </w:tc>
        <w:tc>
          <w:tcPr>
            <w:tcW w:type="dxa" w:w="1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Направление</w:t>
            </w:r>
          </w:p>
        </w:tc>
        <w:tc>
          <w:tcPr>
            <w:tcW w:type="dxa" w:w="4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ApplicationSubmitted</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Заявление подано → запуск процесса, уведомление.</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ApplicationStatusChanged</w:t>
            </w:r>
          </w:p>
        </w:tc>
        <w:tc>
          <w:tcPr>
            <w:tcW w:type="dxa" w:w="1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Изменён статус → уведомление заявителя.</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ApplicationWithdrawn</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Заявление отозвано → остановка процесса.</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PaymentConfirmed</w:t>
            </w:r>
          </w:p>
        </w:tc>
        <w:tc>
          <w:tcPr>
            <w:tcW w:type="dxa" w:w="1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потребляет</w:t>
            </w:r>
          </w:p>
        </w:tc>
        <w:tc>
          <w:tcPr>
            <w:tcW w:type="dxa" w:w="4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Подтверждение оплаты → перевод статуса.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ProcessStepCompleted</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потребляет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Завершён шаг процесса → обновление статуса.</w:t>
            </w:r>
          </w:p>
        </w:tc>
      </w:tr>
    </w:tbl>
    <w:p>
      <w:pPr>
        <w:pStyle w:val="Heading4"/>
      </w:pPr>
      <w:r>
        <w:t xml:space="preserve">Бизнес-правила и инварианты</w:t>
      </w:r>
    </w:p>
    <w:p>
      <w:pPr>
        <w:pStyle w:val="ListParagraph"/>
        <w:numPr>
          <w:ilvl w:val="0"/>
          <w:numId w:val="2"/>
        </w:numPr>
        <w:spacing w:after="80" w:line="264"/>
      </w:pPr>
      <w:r>
        <w:t xml:space="preserve">заявление подаётся только по опубликованной версии услуги;</w:t>
      </w:r>
    </w:p>
    <w:p>
      <w:pPr>
        <w:pStyle w:val="ListParagraph"/>
        <w:numPr>
          <w:ilvl w:val="0"/>
          <w:numId w:val="2"/>
        </w:numPr>
        <w:spacing w:after="80" w:line="264"/>
      </w:pPr>
      <w:r>
        <w:t xml:space="preserve">после подачи данные заявления неизменяемы, кроме шага «требует уточнения»;</w:t>
      </w:r>
    </w:p>
    <w:p>
      <w:pPr>
        <w:pStyle w:val="ListParagraph"/>
        <w:numPr>
          <w:ilvl w:val="0"/>
          <w:numId w:val="2"/>
        </w:numPr>
        <w:spacing w:after="80" w:line="264"/>
      </w:pPr>
      <w:r>
        <w:t xml:space="preserve">каждый переход статуса фиксируется в истории и не может быть удалён;</w:t>
      </w:r>
    </w:p>
    <w:p>
      <w:pPr>
        <w:pStyle w:val="ListParagraph"/>
        <w:numPr>
          <w:ilvl w:val="0"/>
          <w:numId w:val="2"/>
        </w:numPr>
        <w:spacing w:after="80" w:line="264"/>
      </w:pPr>
      <w:r>
        <w:t xml:space="preserve">отзыв возможен только до принятия решения по заявлению.</w:t>
      </w:r>
    </w:p>
    <w:p>
      <w:pPr>
        <w:pStyle w:val="Heading4"/>
      </w:pPr>
      <w:r>
        <w:t xml:space="preserve">Интеграции</w:t>
      </w:r>
    </w:p>
    <w:p>
      <w:pPr>
        <w:pStyle w:val="ListParagraph"/>
        <w:numPr>
          <w:ilvl w:val="0"/>
          <w:numId w:val="2"/>
        </w:numPr>
        <w:spacing w:after="80" w:line="264"/>
      </w:pPr>
      <w:r>
        <w:t xml:space="preserve">Каталог услуг — версии услуг и форм;</w:t>
      </w:r>
    </w:p>
    <w:p>
      <w:pPr>
        <w:pStyle w:val="ListParagraph"/>
        <w:numPr>
          <w:ilvl w:val="0"/>
          <w:numId w:val="2"/>
        </w:numPr>
        <w:spacing w:after="80" w:line="264"/>
      </w:pPr>
      <w:r>
        <w:t xml:space="preserve">BPM (Camunda) — запуск и синхронизация процессов;</w:t>
      </w:r>
    </w:p>
    <w:p>
      <w:pPr>
        <w:pStyle w:val="ListParagraph"/>
        <w:numPr>
          <w:ilvl w:val="0"/>
          <w:numId w:val="2"/>
        </w:numPr>
        <w:spacing w:after="80" w:line="264"/>
      </w:pPr>
      <w:r>
        <w:t xml:space="preserve">Платежи, Документы, Уведомления — через события.</w:t>
      </w:r>
    </w:p>
    <w:p>
      <w:pPr>
        <w:pStyle w:val="Heading4"/>
      </w:pPr>
      <w:r>
        <w:t xml:space="preserve">Нефункциональные требования к сервису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Показатель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подачи заявления (P95)</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800 мс (до Accepted)</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Пропускная способность</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500 подач/с в пике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Сохранность истории</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Неизменяемая, срок хранения по регламенту</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99,95 %</w:t>
            </w:r>
          </w:p>
        </w:tc>
      </w:tr>
    </w:tbl>
    <w:p>
      <w:pPr>
        <w:pStyle w:val="Heading4"/>
      </w:pPr>
      <w:r>
        <w:t xml:space="preserve">Типовые ошибки и их обработка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Код / ситуация</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Обработка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409 Invalid State</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Действие недопустимо в текущем статусе — отказ с пояснением.</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404 Not Found</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Заявление не найдено или нет прав доступа.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422 Validation</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Данные формы не прошли валидацию — перечень полей.</w:t>
            </w:r>
          </w:p>
        </w:tc>
      </w:tr>
    </w:tbl>
    <w:p>
      <w:pPr>
        <w:pStyle w:val="Heading4"/>
      </w:pPr>
      <w:r>
        <w:t xml:space="preserve">Масштабирование и устойчивость</w:t>
      </w:r>
    </w:p>
    <w:p>
      <w:pPr>
        <w:spacing w:after="120" w:line="276"/>
      </w:pPr>
      <w:r>
        <w:t xml:space="preserve">Сервис «Управление заявлениями» спроектирован как stateless и масштабируется горизонтально (HPA). Состояние выносится в БД и кэш; экземпляры взаимозаменяемы. Применяются шаблоны устойчивости (раздел 4А.3): тайм-ауты, повторы для идемпотентных операций, размыкатель к зависимостям, перегородки пулов. Реплики распределяются по зонам и ЦОД (анти-аффинити). При отказе экземпляра запросы перенаправляются на оставшиеся без потери доступности.</w:t>
      </w:r>
    </w:p>
    <w:p>
      <w:pPr>
        <w:pStyle w:val="Heading4"/>
      </w:pPr>
      <w:r>
        <w:t xml:space="preserve">Жизненный цикл данных</w:t>
      </w:r>
    </w:p>
    <w:p>
      <w:pPr>
        <w:spacing w:after="120" w:line="276"/>
      </w:pPr>
      <w:r>
        <w:t xml:space="preserve">Данные сервиса принадлежат ему единолично (раздел 5Б.1) и изменяются только через его API/события. Изменения публикуются как доменные события через transactional outbox (раздел 4А.4.1). Сроки хранения определяются классом данных (раздел 5Б.4); по истечении выполняется архивирование или обезличивание. Изменения схемы — по стратегии expand–contract (раздел 5Б.6) без простоя.</w:t>
      </w:r>
    </w:p>
    <w:p>
      <w:pPr>
        <w:pStyle w:val="Heading4"/>
      </w:pPr>
      <w:r>
        <w:t xml:space="preserve">Зависимости и контроль качества</w:t>
      </w:r>
    </w:p>
    <w:p>
      <w:pPr>
        <w:spacing w:after="120" w:line="276"/>
      </w:pPr>
      <w:r>
        <w:t xml:space="preserve">Сервис взаимодействует со смежными компонентами только через опубликованные контракты; совместимость проверяется контрактными тестами (Pact, раздел 20А.3). Каждый внешний вызов защищён шаблонами устойчивости (тайм-аут, повтор, размыкатель). Сервис экспортирует стандартный набор метрик (задержка, трафик, ошибки, насыщенность — раздел 14А.2) и трассируется сквозным Correlation ID. Готовность к выпуску проверяется по чек-листу (Приложение К.1).</w:t>
      </w:r>
    </w:p>
    <w:p>
      <w:pPr>
        <w:pStyle w:val="Heading2"/>
      </w:pPr>
      <w:r>
        <w:t xml:space="preserve">4Б.3. Сервис «Профиль и идентичность» (profile-service)</w:t>
      </w:r>
    </w:p>
    <w:p>
      <w:pPr>
        <w:spacing w:after="120" w:line="276"/>
      </w:pPr>
      <w:r>
        <w:t xml:space="preserve">Сервис управляет профилями граждан и организаций, их контактными данными, а также согласиями на обработку и передачу персональных данных. Интегрируется с подсистемой IAM (Keycloak) и системой eID. Является источником истины для персональных данных пользователя в пределах Платформы (с учётом того, что первичные сведения о личности поступают из государственных реестров через Smart Bridge). Управление согласиями (consent) выделяется как обособленная область с собственным жизненным циклом и аудитом и может быть вынесено в отдельный consent-service без изменения контрактов потребителей (см. раздел 4А.9).</w:t>
      </w:r>
    </w:p>
    <w:p>
      <w:pPr>
        <w:pStyle w:val="Heading4"/>
      </w:pPr>
      <w:r>
        <w:t xml:space="preserve">Зона ответственности</w:t>
      </w:r>
    </w:p>
    <w:p>
      <w:pPr>
        <w:pStyle w:val="ListParagraph"/>
        <w:numPr>
          <w:ilvl w:val="0"/>
          <w:numId w:val="2"/>
        </w:numPr>
        <w:spacing w:after="80" w:line="264"/>
      </w:pPr>
      <w:r>
        <w:t xml:space="preserve">управление учётными записями и профилями граждан и организаций;</w:t>
      </w:r>
    </w:p>
    <w:p>
      <w:pPr>
        <w:pStyle w:val="ListParagraph"/>
        <w:numPr>
          <w:ilvl w:val="0"/>
          <w:numId w:val="2"/>
        </w:numPr>
        <w:spacing w:after="80" w:line="264"/>
      </w:pPr>
      <w:r>
        <w:t xml:space="preserve">хранение и проверка контактных данных (телефон, e-mail) с подтверждением;</w:t>
      </w:r>
    </w:p>
    <w:p>
      <w:pPr>
        <w:pStyle w:val="ListParagraph"/>
        <w:numPr>
          <w:ilvl w:val="0"/>
          <w:numId w:val="2"/>
        </w:numPr>
        <w:spacing w:after="80" w:line="264"/>
      </w:pPr>
      <w:r>
        <w:t xml:space="preserve">управление согласиями (consent) на обработку и передачу ПДн с историей;</w:t>
      </w:r>
    </w:p>
    <w:p>
      <w:pPr>
        <w:pStyle w:val="ListParagraph"/>
        <w:numPr>
          <w:ilvl w:val="0"/>
          <w:numId w:val="2"/>
        </w:numPr>
        <w:spacing w:after="80" w:line="264"/>
      </w:pPr>
      <w:r>
        <w:t xml:space="preserve">управление полномочиями представителей организаций;</w:t>
      </w:r>
    </w:p>
    <w:p>
      <w:pPr>
        <w:pStyle w:val="ListParagraph"/>
        <w:numPr>
          <w:ilvl w:val="0"/>
          <w:numId w:val="2"/>
        </w:numPr>
        <w:spacing w:after="80" w:line="264"/>
      </w:pPr>
      <w:r>
        <w:t xml:space="preserve">предоставление профиля другим сервисам по контракту с учётом согласий.</w:t>
      </w:r>
    </w:p>
    <w:p>
      <w:pPr>
        <w:pStyle w:val="Heading4"/>
      </w:pPr>
      <w:r>
        <w:t xml:space="preserve">Основные сущности данных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Сущность</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 и ключевые атрибуты</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Профиль гражданина (CitizenProfile)</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Связь с идентификатором личности, контакты, предпочтения, язык интерфейса.</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Профиль организации (OrgProfile)</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Реквизиты, представители и их полномочия.</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Согласие (Consent)</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Тип, цель, срок действия, статус (дано/отозвано), история изменений.</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Контакт (Contact)</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Канал, значение, статус подтверждения, дата подтверждения.</w:t>
            </w:r>
          </w:p>
        </w:tc>
      </w:tr>
    </w:tbl>
    <w:p>
      <w:pPr>
        <w:pStyle w:val="Heading4"/>
      </w:pPr>
      <w:r>
        <w:t xml:space="preserve">Основные операции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/api/v1/profile/me</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Профиль текущего пользователя.</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PUT /api/v1/profile/me/contacts</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Изменение контактов (с подтверждением).</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/api/v1/profile/me/consents</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Список согласий.</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/api/v1/profile/me/consents</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Выдача согласия.</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DELETE /api/v1/profile/me/consents/{id}</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Отзыв согласия.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GET /api/v1/profile/me</w:t>
            </w:r>
          </w:p>
          <w:p>
            <w:pPr>
              <w:spacing w:after="0" w:line="240"/>
            </w:pPr>
            <w:r>
              <w:rPr>
                <w:rFonts w:ascii="Courier New" w:cs="Courier New" w:eastAsia="Courier New" w:hAnsi="Courier New"/>
                <w:color w:val="24292E"/>
                <w:sz w:val="17"/>
                <w:szCs w:val="17"/>
              </w:rPr>
              <w:t xml:space="preserve">Authorization: Bearer &lt;token&gt;</w:t>
            </w:r>
          </w:p>
          <w:p>
            <w:pPr>
              <w:spacing w:after="0" w:line="240"/>
            </w:pPr>
            <w:r>
              <w:rPr>
                <w:rFonts w:ascii="Courier New" w:cs="Courier New" w:eastAsia="Courier New" w:hAnsi="Courier New"/>
                <w:color w:val="24292E"/>
                <w:sz w:val="17"/>
                <w:szCs w:val="17"/>
              </w:rPr>
              <w:t xml:space="preserve">X-Correlation-Id: &lt;uuid&gt;</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200 OK</w:t>
            </w:r>
          </w:p>
          <w:p>
            <w:pPr>
              <w:spacing w:after="0" w:line="240"/>
            </w:pPr>
            <w:r>
              <w:rPr>
                <w:rFonts w:ascii="Courier New" w:cs="Courier New" w:eastAsia="Courier New" w:hAnsi="Courier New"/>
                <w:color w:val="24292E"/>
                <w:sz w:val="17"/>
                <w:szCs w:val="17"/>
              </w:rPr>
              <w:t xml:space="preserve">Content-Type: application/json</w:t>
            </w:r>
          </w:p>
          <w:p>
            <w:pPr>
              <w:spacing w:after="0" w:line="240"/>
            </w:pPr>
            <w:r>
              <w:rPr>
                <w:rFonts w:ascii="Courier New" w:cs="Courier New" w:eastAsia="Courier New" w:hAnsi="Courier New"/>
                <w:color w:val="24292E"/>
                <w:sz w:val="17"/>
                <w:szCs w:val="17"/>
              </w:rPr>
              <w:t xml:space="preserve">{ /* представление ресурса согласно контракту OpenAPI */ }</w:t>
            </w:r>
          </w:p>
        </w:tc>
      </w:tr>
    </w:tbl>
    <w:p>
      <w:pPr>
        <w:spacing w:after="160" w:before="60" w:line="240"/>
      </w:pPr>
      <w:r>
        <w:rPr>
          <w:i/>
          <w:iCs/>
          <w:color w:val="5A6B7B"/>
          <w:sz w:val="18"/>
          <w:szCs w:val="18"/>
        </w:rPr>
        <w:t xml:space="preserve">Листинг — обобщённый пример обращения к сервису «Профиль и идентичность» (контракт уточняется на этапе проектирования).</w:t>
      </w:r>
    </w:p>
    <w:p>
      <w:pPr>
        <w:pStyle w:val="Heading4"/>
      </w:pPr>
      <w:r>
        <w:t xml:space="preserve">Публикуемые и потребляемые события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Событие</w:t>
            </w:r>
          </w:p>
        </w:tc>
        <w:tc>
          <w:tcPr>
            <w:tcW w:type="dxa" w:w="1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Направление</w:t>
            </w:r>
          </w:p>
        </w:tc>
        <w:tc>
          <w:tcPr>
            <w:tcW w:type="dxa" w:w="4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ConsentGranted</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Выдано согласие → разрешение обработки/передачи.</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ConsentRevoked</w:t>
            </w:r>
          </w:p>
        </w:tc>
        <w:tc>
          <w:tcPr>
            <w:tcW w:type="dxa" w:w="1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Отозвано согласие → прекращение обработки.</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ContactVerified</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Подтверждён контакт → доступность канала уведомлений.</w:t>
            </w:r>
          </w:p>
        </w:tc>
      </w:tr>
    </w:tbl>
    <w:p>
      <w:pPr>
        <w:pStyle w:val="Heading4"/>
      </w:pPr>
      <w:r>
        <w:t xml:space="preserve">Бизнес-правила и инварианты</w:t>
      </w:r>
    </w:p>
    <w:p>
      <w:pPr>
        <w:pStyle w:val="ListParagraph"/>
        <w:numPr>
          <w:ilvl w:val="0"/>
          <w:numId w:val="2"/>
        </w:numPr>
        <w:spacing w:after="80" w:line="264"/>
      </w:pPr>
      <w:r>
        <w:t xml:space="preserve">обработка и передача ПДн допустимы только при действующем согласии соответствующей цели;</w:t>
      </w:r>
    </w:p>
    <w:p>
      <w:pPr>
        <w:pStyle w:val="ListParagraph"/>
        <w:numPr>
          <w:ilvl w:val="0"/>
          <w:numId w:val="2"/>
        </w:numPr>
        <w:spacing w:after="80" w:line="264"/>
      </w:pPr>
      <w:r>
        <w:t xml:space="preserve">отзыв согласия фиксируется немедленно и прекращает соответствующую обработку;</w:t>
      </w:r>
    </w:p>
    <w:p>
      <w:pPr>
        <w:pStyle w:val="ListParagraph"/>
        <w:numPr>
          <w:ilvl w:val="0"/>
          <w:numId w:val="2"/>
        </w:numPr>
        <w:spacing w:after="80" w:line="264"/>
      </w:pPr>
      <w:r>
        <w:t xml:space="preserve">контакт считается доступным для уведомлений только после подтверждения;</w:t>
      </w:r>
    </w:p>
    <w:p>
      <w:pPr>
        <w:pStyle w:val="ListParagraph"/>
        <w:numPr>
          <w:ilvl w:val="0"/>
          <w:numId w:val="2"/>
        </w:numPr>
        <w:spacing w:after="80" w:line="264"/>
      </w:pPr>
      <w:r>
        <w:t xml:space="preserve">первичные сведения о личности не редактируются в профиле — их источник государственные реестры.</w:t>
      </w:r>
    </w:p>
    <w:p>
      <w:pPr>
        <w:pStyle w:val="Heading4"/>
      </w:pPr>
      <w:r>
        <w:t xml:space="preserve">Интеграции</w:t>
      </w:r>
    </w:p>
    <w:p>
      <w:pPr>
        <w:pStyle w:val="ListParagraph"/>
        <w:numPr>
          <w:ilvl w:val="0"/>
          <w:numId w:val="2"/>
        </w:numPr>
        <w:spacing w:after="80" w:line="264"/>
      </w:pPr>
      <w:r>
        <w:t xml:space="preserve">IAM (Keycloak) — аутентификация, токены;</w:t>
      </w:r>
    </w:p>
    <w:p>
      <w:pPr>
        <w:pStyle w:val="ListParagraph"/>
        <w:numPr>
          <w:ilvl w:val="0"/>
          <w:numId w:val="2"/>
        </w:numPr>
        <w:spacing w:after="80" w:line="264"/>
      </w:pPr>
      <w:r>
        <w:t xml:space="preserve">eID — подтверждение личности;</w:t>
      </w:r>
    </w:p>
    <w:p>
      <w:pPr>
        <w:pStyle w:val="ListParagraph"/>
        <w:numPr>
          <w:ilvl w:val="0"/>
          <w:numId w:val="2"/>
        </w:numPr>
        <w:spacing w:after="80" w:line="264"/>
      </w:pPr>
      <w:r>
        <w:t xml:space="preserve">Smart Bridge — первичные сведения о личности.</w:t>
      </w:r>
    </w:p>
    <w:p>
      <w:pPr>
        <w:pStyle w:val="Heading4"/>
      </w:pPr>
      <w:r>
        <w:t xml:space="preserve">Нефункциональные требования к сервису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Показатель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ответа профиля (P95)</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250 мс</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Защита данных</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Шифрование чувствительных полей, RLS</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99,95 %</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Аудит</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Все обращения к ПДн журналируются</w:t>
            </w:r>
          </w:p>
        </w:tc>
      </w:tr>
    </w:tbl>
    <w:p>
      <w:pPr>
        <w:pStyle w:val="Heading4"/>
      </w:pPr>
      <w:r>
        <w:t xml:space="preserve">Типовые ошибки и их обработка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Код / ситуация</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Обработка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403 Consent Required</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Нет действующего согласия — операция блокируется.</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409 Already Verified</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Повторное подтверждение контакта — идемпотентно.</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429 Too Many Requests</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Защита от перебора кодов подтверждения.</w:t>
            </w:r>
          </w:p>
        </w:tc>
      </w:tr>
    </w:tbl>
    <w:p>
      <w:pPr>
        <w:pStyle w:val="Heading4"/>
      </w:pPr>
      <w:r>
        <w:t xml:space="preserve">Масштабирование и устойчивость</w:t>
      </w:r>
    </w:p>
    <w:p>
      <w:pPr>
        <w:spacing w:after="120" w:line="276"/>
      </w:pPr>
      <w:r>
        <w:t xml:space="preserve">Сервис «Профиль и идентичность» спроектирован как stateless и масштабируется горизонтально (HPA). Состояние выносится в БД и кэш; экземпляры взаимозаменяемы. Применяются шаблоны устойчивости (раздел 4А.3): тайм-ауты, повторы для идемпотентных операций, размыкатель к зависимостям, перегородки пулов. Реплики распределяются по зонам и ЦОД (анти-аффинити). При отказе экземпляра запросы перенаправляются на оставшиеся без потери доступности.</w:t>
      </w:r>
    </w:p>
    <w:p>
      <w:pPr>
        <w:pStyle w:val="Heading4"/>
      </w:pPr>
      <w:r>
        <w:t xml:space="preserve">Жизненный цикл данных</w:t>
      </w:r>
    </w:p>
    <w:p>
      <w:pPr>
        <w:spacing w:after="120" w:line="276"/>
      </w:pPr>
      <w:r>
        <w:t xml:space="preserve">Данные сервиса принадлежат ему единолично (раздел 5Б.1) и изменяются только через его API/события. Изменения публикуются как доменные события через transactional outbox (раздел 4А.4.1). Сроки хранения определяются классом данных (раздел 5Б.4); по истечении выполняется архивирование или обезличивание. Изменения схемы — по стратегии expand–contract (раздел 5Б.6) без простоя.</w:t>
      </w:r>
    </w:p>
    <w:p>
      <w:pPr>
        <w:pStyle w:val="Heading4"/>
      </w:pPr>
      <w:r>
        <w:t xml:space="preserve">Зависимости и контроль качества</w:t>
      </w:r>
    </w:p>
    <w:p>
      <w:pPr>
        <w:spacing w:after="120" w:line="276"/>
      </w:pPr>
      <w:r>
        <w:t xml:space="preserve">Сервис взаимодействует со смежными компонентами только через опубликованные контракты; совместимость проверяется контрактными тестами (Pact, раздел 20А.3). Каждый внешний вызов защищён шаблонами устойчивости (тайм-аут, повтор, размыкатель). Сервис экспортирует стандартный набор метрик (задержка, трафик, ошибки, насыщенность — раздел 14А.2) и трассируется сквозным Correlation ID. Готовность к выпуску проверяется по чек-листу (Приложение К.1).</w:t>
      </w:r>
    </w:p>
    <w:p>
      <w:pPr>
        <w:pStyle w:val="Heading2"/>
      </w:pPr>
      <w:r>
        <w:t xml:space="preserve">4Б.4. Сервис «Межведомственное взаимодействие» (interop-service)</w:t>
      </w:r>
    </w:p>
    <w:p>
      <w:pPr>
        <w:spacing w:after="120" w:line="276"/>
      </w:pPr>
      <w:r>
        <w:t xml:space="preserve">Сервис реализует получение сведений из государственных реестров через интеграционную систему Smart Bridge, обеспечивая принцип Once-Only. Формирует запросы, обрабатывает ответы, кэширует их (при разрешении регламентом), применяет шаблоны устойчивости и ведёт журнал всех обменов. Содержит антикоррупционный слой, преобразующий внешние модели данных ведомств во внутренние.</w:t>
      </w:r>
    </w:p>
    <w:p>
      <w:pPr>
        <w:pStyle w:val="Heading4"/>
      </w:pPr>
      <w:r>
        <w:t xml:space="preserve">Зона ответственности</w:t>
      </w:r>
    </w:p>
    <w:p>
      <w:pPr>
        <w:pStyle w:val="ListParagraph"/>
        <w:numPr>
          <w:ilvl w:val="0"/>
          <w:numId w:val="2"/>
        </w:numPr>
        <w:spacing w:after="80" w:line="264"/>
      </w:pPr>
      <w:r>
        <w:t xml:space="preserve">формирование и исполнение запросов сведений через Smart Bridge;</w:t>
      </w:r>
    </w:p>
    <w:p>
      <w:pPr>
        <w:pStyle w:val="ListParagraph"/>
        <w:numPr>
          <w:ilvl w:val="0"/>
          <w:numId w:val="2"/>
        </w:numPr>
        <w:spacing w:after="80" w:line="264"/>
      </w:pPr>
      <w:r>
        <w:t xml:space="preserve">преобразование внешних форматов ведомств во внутреннюю модель (ACL);</w:t>
      </w:r>
    </w:p>
    <w:p>
      <w:pPr>
        <w:pStyle w:val="ListParagraph"/>
        <w:numPr>
          <w:ilvl w:val="0"/>
          <w:numId w:val="2"/>
        </w:numPr>
        <w:spacing w:after="80" w:line="264"/>
      </w:pPr>
      <w:r>
        <w:t xml:space="preserve">кэширование ответов с учётом актуальности и разрешений регламента;</w:t>
      </w:r>
    </w:p>
    <w:p>
      <w:pPr>
        <w:pStyle w:val="ListParagraph"/>
        <w:numPr>
          <w:ilvl w:val="0"/>
          <w:numId w:val="2"/>
        </w:numPr>
        <w:spacing w:after="80" w:line="264"/>
      </w:pPr>
      <w:r>
        <w:t xml:space="preserve">применение устойчивости: тайм-ауты, повторы, размыкатель, перегородки;</w:t>
      </w:r>
    </w:p>
    <w:p>
      <w:pPr>
        <w:pStyle w:val="ListParagraph"/>
        <w:numPr>
          <w:ilvl w:val="0"/>
          <w:numId w:val="2"/>
        </w:numPr>
        <w:spacing w:after="80" w:line="264"/>
      </w:pPr>
      <w:r>
        <w:t xml:space="preserve">журналирование запросов и ответов для аудита и разбора инцидентов.</w:t>
      </w:r>
    </w:p>
    <w:p>
      <w:pPr>
        <w:pStyle w:val="Heading4"/>
      </w:pPr>
      <w:r>
        <w:t xml:space="preserve">Основные сущности данных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Сущность</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 и ключевые атрибуты</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Запрос сведений (InteropRequest)</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Тип сведений, ведомство, параметры, статус, метки времени, корреляция.</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Ответ (InteropResponse)</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Полученные данные (внутренняя модель), исходный формат, контрольная сумма.</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Коннектор (Connector)</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Конфигурация подключения к ведомству, версия контракта, параметры устойчивости.</w:t>
            </w:r>
          </w:p>
        </w:tc>
      </w:tr>
    </w:tbl>
    <w:p>
      <w:pPr>
        <w:pStyle w:val="Heading4"/>
      </w:pPr>
      <w:r>
        <w:t xml:space="preserve">Основные операции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/api/v1/interop/requests</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Создание запроса сведений (асинхронно).</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/api/v1/interop/requests/{id}</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Статус и результат запроса.</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/api/v1/interop/connectors</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Перечень и состояние коннекторов.</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POST /api/v1/interop/requests</w:t>
            </w:r>
          </w:p>
          <w:p>
            <w:pPr>
              <w:spacing w:after="0" w:line="240"/>
            </w:pPr>
            <w:r>
              <w:rPr>
                <w:rFonts w:ascii="Courier New" w:cs="Courier New" w:eastAsia="Courier New" w:hAnsi="Courier New"/>
                <w:color w:val="24292E"/>
                <w:sz w:val="17"/>
                <w:szCs w:val="17"/>
              </w:rPr>
              <w:t xml:space="preserve">Authorization: Bearer &lt;token&gt;</w:t>
            </w:r>
          </w:p>
          <w:p>
            <w:pPr>
              <w:spacing w:after="0" w:line="240"/>
            </w:pPr>
            <w:r>
              <w:rPr>
                <w:rFonts w:ascii="Courier New" w:cs="Courier New" w:eastAsia="Courier New" w:hAnsi="Courier New"/>
                <w:color w:val="24292E"/>
                <w:sz w:val="17"/>
                <w:szCs w:val="17"/>
              </w:rPr>
              <w:t xml:space="preserve">X-Correlation-Id: &lt;uuid&gt;</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200 OK</w:t>
            </w:r>
          </w:p>
          <w:p>
            <w:pPr>
              <w:spacing w:after="0" w:line="240"/>
            </w:pPr>
            <w:r>
              <w:rPr>
                <w:rFonts w:ascii="Courier New" w:cs="Courier New" w:eastAsia="Courier New" w:hAnsi="Courier New"/>
                <w:color w:val="24292E"/>
                <w:sz w:val="17"/>
                <w:szCs w:val="17"/>
              </w:rPr>
              <w:t xml:space="preserve">Content-Type: application/json</w:t>
            </w:r>
          </w:p>
          <w:p>
            <w:pPr>
              <w:spacing w:after="0" w:line="240"/>
            </w:pPr>
            <w:r>
              <w:rPr>
                <w:rFonts w:ascii="Courier New" w:cs="Courier New" w:eastAsia="Courier New" w:hAnsi="Courier New"/>
                <w:color w:val="24292E"/>
                <w:sz w:val="17"/>
                <w:szCs w:val="17"/>
              </w:rPr>
              <w:t xml:space="preserve">{ /* представление ресурса согласно контракту OpenAPI */ }</w:t>
            </w:r>
          </w:p>
        </w:tc>
      </w:tr>
    </w:tbl>
    <w:p>
      <w:pPr>
        <w:spacing w:after="160" w:before="60" w:line="240"/>
      </w:pPr>
      <w:r>
        <w:rPr>
          <w:i/>
          <w:iCs/>
          <w:color w:val="5A6B7B"/>
          <w:sz w:val="18"/>
          <w:szCs w:val="18"/>
        </w:rPr>
        <w:t xml:space="preserve">Листинг — обобщённый пример обращения к сервису «Межведомственное взаимодействие» (контракт уточняется на этапе проектирования).</w:t>
      </w:r>
    </w:p>
    <w:p>
      <w:pPr>
        <w:pStyle w:val="Heading4"/>
      </w:pPr>
      <w:r>
        <w:t xml:space="preserve">Публикуемые и потребляемые события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Событие</w:t>
            </w:r>
          </w:p>
        </w:tc>
        <w:tc>
          <w:tcPr>
            <w:tcW w:type="dxa" w:w="1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Направление</w:t>
            </w:r>
          </w:p>
        </w:tc>
        <w:tc>
          <w:tcPr>
            <w:tcW w:type="dxa" w:w="4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InteropRequested</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Запрос отправлен ведомству.</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InteropResponded</w:t>
            </w:r>
          </w:p>
        </w:tc>
        <w:tc>
          <w:tcPr>
            <w:tcW w:type="dxa" w:w="1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Получен ответ → доступность сведений.</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InteropFailed</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Сбой запроса → деградация/повтор.</w:t>
            </w:r>
          </w:p>
        </w:tc>
      </w:tr>
    </w:tbl>
    <w:p>
      <w:pPr>
        <w:pStyle w:val="Heading4"/>
      </w:pPr>
      <w:r>
        <w:t xml:space="preserve">Бизнес-правила и инварианты</w:t>
      </w:r>
    </w:p>
    <w:p>
      <w:pPr>
        <w:pStyle w:val="ListParagraph"/>
        <w:numPr>
          <w:ilvl w:val="0"/>
          <w:numId w:val="2"/>
        </w:numPr>
        <w:spacing w:after="80" w:line="264"/>
      </w:pPr>
      <w:r>
        <w:t xml:space="preserve">все межведомственные обмены идут только через Smart Bridge — прямые подключения запрещены;</w:t>
      </w:r>
    </w:p>
    <w:p>
      <w:pPr>
        <w:pStyle w:val="ListParagraph"/>
        <w:numPr>
          <w:ilvl w:val="0"/>
          <w:numId w:val="2"/>
        </w:numPr>
        <w:spacing w:after="80" w:line="264"/>
      </w:pPr>
      <w:r>
        <w:t xml:space="preserve">ответы кэшируются только при явном разрешении регламента и с ограниченным TTL;</w:t>
      </w:r>
    </w:p>
    <w:p>
      <w:pPr>
        <w:pStyle w:val="ListParagraph"/>
        <w:numPr>
          <w:ilvl w:val="0"/>
          <w:numId w:val="2"/>
        </w:numPr>
        <w:spacing w:after="80" w:line="264"/>
      </w:pPr>
      <w:r>
        <w:t xml:space="preserve">каждый запрос содержит корреляционный идентификатор для сквозной трассировки;</w:t>
      </w:r>
    </w:p>
    <w:p>
      <w:pPr>
        <w:pStyle w:val="ListParagraph"/>
        <w:numPr>
          <w:ilvl w:val="0"/>
          <w:numId w:val="2"/>
        </w:numPr>
        <w:spacing w:after="80" w:line="264"/>
      </w:pPr>
      <w:r>
        <w:t xml:space="preserve">при недоступности ведомства применяется деградация, а не полный отказ услуги.</w:t>
      </w:r>
    </w:p>
    <w:p>
      <w:pPr>
        <w:pStyle w:val="Heading4"/>
      </w:pPr>
      <w:r>
        <w:t xml:space="preserve">Интеграции</w:t>
      </w:r>
    </w:p>
    <w:p>
      <w:pPr>
        <w:pStyle w:val="ListParagraph"/>
        <w:numPr>
          <w:ilvl w:val="0"/>
          <w:numId w:val="2"/>
        </w:numPr>
        <w:spacing w:after="80" w:line="264"/>
      </w:pPr>
      <w:r>
        <w:t xml:space="preserve">Smart Bridge — единая точка межведомственного обмена;</w:t>
      </w:r>
    </w:p>
    <w:p>
      <w:pPr>
        <w:pStyle w:val="ListParagraph"/>
        <w:numPr>
          <w:ilvl w:val="0"/>
          <w:numId w:val="2"/>
        </w:numPr>
        <w:spacing w:after="80" w:line="264"/>
      </w:pPr>
      <w:r>
        <w:t xml:space="preserve">Профиль — согласия на передачу ПДн;</w:t>
      </w:r>
    </w:p>
    <w:p>
      <w:pPr>
        <w:pStyle w:val="ListParagraph"/>
        <w:numPr>
          <w:ilvl w:val="0"/>
          <w:numId w:val="2"/>
        </w:numPr>
        <w:spacing w:after="80" w:line="264"/>
      </w:pPr>
      <w:r>
        <w:t xml:space="preserve">Аудит — журналирование обменов.</w:t>
      </w:r>
    </w:p>
    <w:p>
      <w:pPr>
        <w:pStyle w:val="Heading4"/>
      </w:pPr>
      <w:r>
        <w:t xml:space="preserve">Нефункциональные требования к сервису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Показатель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SLA запроса</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3 с (целевое)</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Устойчивость</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Circuit breaker, retry, bulkhead</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Журналирование</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100 % запросов/ответов</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 сервиса</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99,9 %</w:t>
            </w:r>
          </w:p>
        </w:tc>
      </w:tr>
    </w:tbl>
    <w:p>
      <w:pPr>
        <w:pStyle w:val="Heading4"/>
      </w:pPr>
      <w:r>
        <w:t xml:space="preserve">Типовые ошибки и их обработка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Код / ситуация</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Обработка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504 Upstream Timeout</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Ведомство не ответило — повтор/деградация, статус заявления.</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502 Bad Gateway</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Ошибка преобразования формата — алерт, ручной разбор.</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409 Consent Missing</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Нет согласия на передачу — запрос не отправляется.</w:t>
            </w:r>
          </w:p>
        </w:tc>
      </w:tr>
    </w:tbl>
    <w:p>
      <w:pPr>
        <w:pStyle w:val="Heading4"/>
      </w:pPr>
      <w:r>
        <w:t xml:space="preserve">Масштабирование и устойчивость</w:t>
      </w:r>
    </w:p>
    <w:p>
      <w:pPr>
        <w:spacing w:after="120" w:line="276"/>
      </w:pPr>
      <w:r>
        <w:t xml:space="preserve">Сервис «Межведомственное взаимодействие» спроектирован как stateless и масштабируется горизонтально (HPA). Состояние выносится в БД и кэш; экземпляры взаимозаменяемы. Применяются шаблоны устойчивости (раздел 4А.3): тайм-ауты, повторы для идемпотентных операций, размыкатель к зависимостям, перегородки пулов. Реплики распределяются по зонам и ЦОД (анти-аффинити). При отказе экземпляра запросы перенаправляются на оставшиеся без потери доступности.</w:t>
      </w:r>
    </w:p>
    <w:p>
      <w:pPr>
        <w:pStyle w:val="Heading4"/>
      </w:pPr>
      <w:r>
        <w:t xml:space="preserve">Жизненный цикл данных</w:t>
      </w:r>
    </w:p>
    <w:p>
      <w:pPr>
        <w:spacing w:after="120" w:line="276"/>
      </w:pPr>
      <w:r>
        <w:t xml:space="preserve">Данные сервиса принадлежат ему единолично (раздел 5Б.1) и изменяются только через его API/события. Изменения публикуются как доменные события через transactional outbox (раздел 4А.4.1). Сроки хранения определяются классом данных (раздел 5Б.4); по истечении выполняется архивирование или обезличивание. Изменения схемы — по стратегии expand–contract (раздел 5Б.6) без простоя.</w:t>
      </w:r>
    </w:p>
    <w:p>
      <w:pPr>
        <w:pStyle w:val="Heading4"/>
      </w:pPr>
      <w:r>
        <w:t xml:space="preserve">Зависимости и контроль качества</w:t>
      </w:r>
    </w:p>
    <w:p>
      <w:pPr>
        <w:spacing w:after="120" w:line="276"/>
      </w:pPr>
      <w:r>
        <w:t xml:space="preserve">Сервис взаимодействует со смежными компонентами только через опубликованные контракты; совместимость проверяется контрактными тестами (Pact, раздел 20А.3). Каждый внешний вызов защищён шаблонами устойчивости (тайм-аут, повтор, размыкатель). Сервис экспортирует стандартный набор метрик (задержка, трафик, ошибки, насыщенность — раздел 14А.2) и трассируется сквозным Correlation ID. Готовность к выпуску проверяется по чек-листу (Приложение К.1).</w:t>
      </w:r>
    </w:p>
    <w:p>
      <w:pPr>
        <w:pStyle w:val="Heading2"/>
      </w:pPr>
      <w:r>
        <w:t xml:space="preserve">4Б.5. Сервис «Платежи» (payment-service)</w:t>
      </w:r>
    </w:p>
    <w:p>
      <w:pPr>
        <w:spacing w:after="120" w:line="276"/>
      </w:pPr>
      <w:r>
        <w:t xml:space="preserve">Сервис управляет начислениями, приёмом платежей за государственные услуги, сверкой и возвратами. Обеспечивает идемпотентность операций (исключение двойных списаний) и согласованность финансовых проводок. Интегрируется с платёжными провайдерами и Национальным банком через антикоррупционный слой.</w:t>
      </w:r>
    </w:p>
    <w:p>
      <w:pPr>
        <w:pStyle w:val="Heading4"/>
      </w:pPr>
      <w:r>
        <w:t xml:space="preserve">Зона ответственности</w:t>
      </w:r>
    </w:p>
    <w:p>
      <w:pPr>
        <w:pStyle w:val="ListParagraph"/>
        <w:numPr>
          <w:ilvl w:val="0"/>
          <w:numId w:val="2"/>
        </w:numPr>
        <w:spacing w:after="80" w:line="264"/>
      </w:pPr>
      <w:r>
        <w:t xml:space="preserve">формирование начислений по правилам услуги (DMN);</w:t>
      </w:r>
    </w:p>
    <w:p>
      <w:pPr>
        <w:pStyle w:val="ListParagraph"/>
        <w:numPr>
          <w:ilvl w:val="0"/>
          <w:numId w:val="2"/>
        </w:numPr>
        <w:spacing w:after="80" w:line="264"/>
      </w:pPr>
      <w:r>
        <w:t xml:space="preserve">приём платежей и подтверждение их статуса;</w:t>
      </w:r>
    </w:p>
    <w:p>
      <w:pPr>
        <w:pStyle w:val="ListParagraph"/>
        <w:numPr>
          <w:ilvl w:val="0"/>
          <w:numId w:val="2"/>
        </w:numPr>
        <w:spacing w:after="80" w:line="264"/>
      </w:pPr>
      <w:r>
        <w:t xml:space="preserve">обеспечение идемпотентности через PostgreSQL (unique constraints, idempotency_key, external_payment_id, журнал статусов, outbox); Redis — только вспомогательный кэш/lock;</w:t>
      </w:r>
    </w:p>
    <w:p>
      <w:pPr>
        <w:pStyle w:val="ListParagraph"/>
        <w:numPr>
          <w:ilvl w:val="0"/>
          <w:numId w:val="2"/>
        </w:numPr>
        <w:spacing w:after="80" w:line="264"/>
      </w:pPr>
      <w:r>
        <w:t xml:space="preserve">сверка платежей и формирование отчётности;</w:t>
      </w:r>
    </w:p>
    <w:p>
      <w:pPr>
        <w:pStyle w:val="ListParagraph"/>
        <w:numPr>
          <w:ilvl w:val="0"/>
          <w:numId w:val="2"/>
        </w:numPr>
        <w:spacing w:after="80" w:line="264"/>
      </w:pPr>
      <w:r>
        <w:t xml:space="preserve">обработка возвратов в предусмотренных регламентом случаях.</w:t>
      </w:r>
    </w:p>
    <w:p>
      <w:pPr>
        <w:pStyle w:val="Heading4"/>
      </w:pPr>
      <w:r>
        <w:t xml:space="preserve">Основные сущности данных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Сущность</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 и ключевые атрибуты</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Начисление (Charge)</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Заявление, сумма, валюта, назначение, срок оплаты, статус.</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Платёж (Payment)</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Начисление, провайдер, идентификатор транзакции, статус, метки времени.</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Возврат (Refund)</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Платёж, сумма, причина, статус.</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Сверка (Reconciliation)</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Период, источник, расхождения, статус.</w:t>
            </w:r>
          </w:p>
        </w:tc>
      </w:tr>
    </w:tbl>
    <w:p>
      <w:pPr>
        <w:pStyle w:val="Heading4"/>
      </w:pPr>
      <w:r>
        <w:t xml:space="preserve">Основные операции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/api/v1/charges</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Создание начисления по заявлению.</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/api/v1/payments:charge</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Инициация оплаты (идемпотентно).</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/api/v1/payments/{id}</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Статус платежа.</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/api/v1/refunds</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Инициация возврата.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POST /api/v1/payments:charge</w:t>
            </w:r>
          </w:p>
          <w:p>
            <w:pPr>
              <w:spacing w:after="0" w:line="240"/>
            </w:pPr>
            <w:r>
              <w:rPr>
                <w:rFonts w:ascii="Courier New" w:cs="Courier New" w:eastAsia="Courier New" w:hAnsi="Courier New"/>
                <w:color w:val="24292E"/>
                <w:sz w:val="17"/>
                <w:szCs w:val="17"/>
              </w:rPr>
              <w:t xml:space="preserve">Idempotency-Key: &lt;uuid&gt;</w:t>
            </w:r>
          </w:p>
          <w:p>
            <w:pPr>
              <w:spacing w:after="0" w:line="240"/>
            </w:pPr>
            <w:r>
              <w:rPr>
                <w:rFonts w:ascii="Courier New" w:cs="Courier New" w:eastAsia="Courier New" w:hAnsi="Courier New"/>
                <w:color w:val="24292E"/>
                <w:sz w:val="17"/>
                <w:szCs w:val="17"/>
              </w:rPr>
              <w:t xml:space="preserve">{ "chargeId": "chg-5521", "method": "card", "returnUrl": "https://portal/.../return" }</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200 OK</w:t>
            </w:r>
          </w:p>
          <w:p>
            <w:pPr>
              <w:spacing w:after="0" w:line="240"/>
            </w:pPr>
            <w:r>
              <w:rPr>
                <w:rFonts w:ascii="Courier New" w:cs="Courier New" w:eastAsia="Courier New" w:hAnsi="Courier New"/>
                <w:color w:val="24292E"/>
                <w:sz w:val="17"/>
                <w:szCs w:val="17"/>
              </w:rPr>
              <w:t xml:space="preserve">{ "paymentId": "pay-8810", "status": "PENDING",</w:t>
            </w:r>
          </w:p>
          <w:p>
            <w:pPr>
              <w:spacing w:after="0" w:line="240"/>
            </w:pPr>
            <w:r>
              <w:rPr>
                <w:rFonts w:ascii="Courier New" w:cs="Courier New" w:eastAsia="Courier New" w:hAnsi="Courier New"/>
                <w:color w:val="24292E"/>
                <w:sz w:val="17"/>
                <w:szCs w:val="17"/>
              </w:rPr>
              <w:t xml:space="preserve">  "redirect": "https://psp.example/checkout/..." }</w:t>
            </w:r>
          </w:p>
        </w:tc>
      </w:tr>
    </w:tbl>
    <w:p>
      <w:pPr>
        <w:spacing w:after="160" w:before="60" w:line="240"/>
      </w:pPr>
      <w:r>
        <w:rPr>
          <w:i/>
          <w:iCs/>
          <w:color w:val="5A6B7B"/>
          <w:sz w:val="18"/>
          <w:szCs w:val="18"/>
        </w:rPr>
        <w:t xml:space="preserve">Листинг — пример запроса/ответа сервиса «Платежи».</w:t>
      </w:r>
    </w:p>
    <w:p>
      <w:pPr>
        <w:pStyle w:val="Heading4"/>
      </w:pPr>
      <w:r>
        <w:t xml:space="preserve">Публикуемые и потребляемые события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Событие</w:t>
            </w:r>
          </w:p>
        </w:tc>
        <w:tc>
          <w:tcPr>
            <w:tcW w:type="dxa" w:w="1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Направление</w:t>
            </w:r>
          </w:p>
        </w:tc>
        <w:tc>
          <w:tcPr>
            <w:tcW w:type="dxa" w:w="4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ChargeCreated</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Создано начисление → статус заявления «ожидает оплаты».</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PaymentConfirmed</w:t>
            </w:r>
          </w:p>
        </w:tc>
        <w:tc>
          <w:tcPr>
            <w:tcW w:type="dxa" w:w="1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Оплата подтверждена → продолжение процесса.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PaymentFailed</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Оплата не прошла → уведомление, повтор.</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RefundCompleted</w:t>
            </w:r>
          </w:p>
        </w:tc>
        <w:tc>
          <w:tcPr>
            <w:tcW w:type="dxa" w:w="1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Возврат выполнен.</w:t>
            </w:r>
          </w:p>
        </w:tc>
      </w:tr>
    </w:tbl>
    <w:p>
      <w:pPr>
        <w:pStyle w:val="Heading4"/>
      </w:pPr>
      <w:r>
        <w:t xml:space="preserve">Бизнес-правила и инварианты</w:t>
      </w:r>
    </w:p>
    <w:p>
      <w:pPr>
        <w:pStyle w:val="ListParagraph"/>
        <w:numPr>
          <w:ilvl w:val="0"/>
          <w:numId w:val="2"/>
        </w:numPr>
        <w:spacing w:after="80" w:line="264"/>
      </w:pPr>
      <w:r>
        <w:t xml:space="preserve">операции оплаты идемпотентны: повтор с тем же ключом не приводит к двойному списанию;</w:t>
      </w:r>
    </w:p>
    <w:p>
      <w:pPr>
        <w:pStyle w:val="ListParagraph"/>
        <w:numPr>
          <w:ilvl w:val="0"/>
          <w:numId w:val="2"/>
        </w:numPr>
        <w:spacing w:after="80" w:line="264"/>
      </w:pPr>
      <w:r>
        <w:t xml:space="preserve">начисление формируется по правилам DMN текущей версии услуги;</w:t>
      </w:r>
    </w:p>
    <w:p>
      <w:pPr>
        <w:pStyle w:val="ListParagraph"/>
        <w:numPr>
          <w:ilvl w:val="0"/>
          <w:numId w:val="2"/>
        </w:numPr>
        <w:spacing w:after="80" w:line="264"/>
      </w:pPr>
      <w:r>
        <w:t xml:space="preserve">возврат возможен только при основании, предусмотренном регламентом;</w:t>
      </w:r>
    </w:p>
    <w:p>
      <w:pPr>
        <w:pStyle w:val="ListParagraph"/>
        <w:numPr>
          <w:ilvl w:val="0"/>
          <w:numId w:val="2"/>
        </w:numPr>
        <w:spacing w:after="80" w:line="264"/>
      </w:pPr>
      <w:r>
        <w:t xml:space="preserve">финансовые проводки согласованы с заявлением через события (Saga).</w:t>
      </w:r>
    </w:p>
    <w:p>
      <w:pPr>
        <w:pStyle w:val="Heading4"/>
      </w:pPr>
      <w:r>
        <w:t xml:space="preserve">Интеграции</w:t>
      </w:r>
    </w:p>
    <w:p>
      <w:pPr>
        <w:pStyle w:val="ListParagraph"/>
        <w:numPr>
          <w:ilvl w:val="0"/>
          <w:numId w:val="2"/>
        </w:numPr>
        <w:spacing w:after="80" w:line="264"/>
      </w:pPr>
      <w:r>
        <w:t xml:space="preserve">Платёжные провайдеры — через ACL;</w:t>
      </w:r>
    </w:p>
    <w:p>
      <w:pPr>
        <w:pStyle w:val="ListParagraph"/>
        <w:numPr>
          <w:ilvl w:val="0"/>
          <w:numId w:val="2"/>
        </w:numPr>
        <w:spacing w:after="80" w:line="264"/>
      </w:pPr>
      <w:r>
        <w:t xml:space="preserve">Национальный банк — проводки, курсы;</w:t>
      </w:r>
    </w:p>
    <w:p>
      <w:pPr>
        <w:pStyle w:val="ListParagraph"/>
        <w:numPr>
          <w:ilvl w:val="0"/>
          <w:numId w:val="2"/>
        </w:numPr>
        <w:spacing w:after="80" w:line="264"/>
      </w:pPr>
      <w:r>
        <w:t xml:space="preserve">Заявления — через события.</w:t>
      </w:r>
    </w:p>
    <w:p>
      <w:pPr>
        <w:pStyle w:val="Heading4"/>
      </w:pPr>
      <w:r>
        <w:t xml:space="preserve">Нефункциональные требования к сервису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Показатель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Идемпотентность</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Гарантирована (PostgreSQL unique constraint + статусы + outbox)</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инициации (P95)</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700 мс</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Согласованность</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Итоговая, через Saga</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99,95 %</w:t>
            </w:r>
          </w:p>
        </w:tc>
      </w:tr>
    </w:tbl>
    <w:p>
      <w:pPr>
        <w:pStyle w:val="Heading4"/>
      </w:pPr>
      <w:r>
        <w:t xml:space="preserve">Типовые ошибки и их обработка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Код / ситуация</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Обработка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409 Duplicate</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Повтор с тем же ключом — возврат исходного результата.</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402 Payment Required</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Оплата отклонена провайдером — повтор/иной способ.</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422 Invalid Charge</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Некорректное начисление — отказ.</w:t>
            </w:r>
          </w:p>
        </w:tc>
      </w:tr>
    </w:tbl>
    <w:p>
      <w:pPr>
        <w:pStyle w:val="Heading4"/>
      </w:pPr>
      <w:r>
        <w:t xml:space="preserve">Масштабирование и устойчивость</w:t>
      </w:r>
    </w:p>
    <w:p>
      <w:pPr>
        <w:spacing w:after="120" w:line="276"/>
      </w:pPr>
      <w:r>
        <w:t xml:space="preserve">Сервис «Платежи» спроектирован как stateless и масштабируется горизонтально (HPA). Состояние выносится в БД и кэш; экземпляры взаимозаменяемы. Применяются шаблоны устойчивости (раздел 4А.3): тайм-ауты, повторы для идемпотентных операций, размыкатель к зависимостям, перегородки пулов. Реплики распределяются по зонам и ЦОД (анти-аффинити). При отказе экземпляра запросы перенаправляются на оставшиеся без потери доступности.</w:t>
      </w:r>
    </w:p>
    <w:p>
      <w:pPr>
        <w:pStyle w:val="Heading4"/>
      </w:pPr>
      <w:r>
        <w:t xml:space="preserve">Жизненный цикл данных</w:t>
      </w:r>
    </w:p>
    <w:p>
      <w:pPr>
        <w:spacing w:after="120" w:line="276"/>
      </w:pPr>
      <w:r>
        <w:t xml:space="preserve">Данные сервиса принадлежат ему единолично (раздел 5Б.1) и изменяются только через его API/события. Изменения публикуются как доменные события через transactional outbox (раздел 4А.4.1). Сроки хранения определяются классом данных (раздел 5Б.4); по истечении выполняется архивирование или обезличивание. Изменения схемы — по стратегии expand–contract (раздел 5Б.6) без простоя.</w:t>
      </w:r>
    </w:p>
    <w:p>
      <w:pPr>
        <w:pStyle w:val="Heading4"/>
      </w:pPr>
      <w:r>
        <w:t xml:space="preserve">Зависимости и контроль качества</w:t>
      </w:r>
    </w:p>
    <w:p>
      <w:pPr>
        <w:spacing w:after="120" w:line="276"/>
      </w:pPr>
      <w:r>
        <w:t xml:space="preserve">Сервис взаимодействует со смежными компонентами только через опубликованные контракты; совместимость проверяется контрактными тестами (Pact, раздел 20А.3). Каждый внешний вызов защищён шаблонами устойчивости (тайм-аут, повтор, размыкатель). Сервис экспортирует стандартный набор метрик (задержка, трафик, ошибки, насыщенность — раздел 14А.2) и трассируется сквозным Correlation ID. Готовность к выпуску проверяется по чек-листу (Приложение К.1).</w:t>
      </w:r>
    </w:p>
    <w:p>
      <w:pPr>
        <w:pStyle w:val="Heading2"/>
      </w:pPr>
      <w:r>
        <w:t xml:space="preserve">4Б.6. Сервис «Электронные документы» (document-service)</w:t>
      </w:r>
    </w:p>
    <w:p>
      <w:pPr>
        <w:spacing w:after="120" w:line="276"/>
      </w:pPr>
      <w:r>
        <w:t xml:space="preserve">Сервис управляет хранением документов (вложений заявителя и сформированных результатов), генерацией печатных форм (PDF через Gotenberg) и их привязкой к заявлениям. Обеспечивает целостность (контрольные суммы), версионирование и контроль доступа к документам.</w:t>
      </w:r>
    </w:p>
    <w:p>
      <w:pPr>
        <w:pStyle w:val="Heading4"/>
      </w:pPr>
      <w:r>
        <w:t xml:space="preserve">Зона ответственности</w:t>
      </w:r>
    </w:p>
    <w:p>
      <w:pPr>
        <w:pStyle w:val="ListParagraph"/>
        <w:numPr>
          <w:ilvl w:val="0"/>
          <w:numId w:val="2"/>
        </w:numPr>
        <w:spacing w:after="80" w:line="264"/>
      </w:pPr>
      <w:r>
        <w:t xml:space="preserve">приём и хранение вложений заявителя в объектном хранилище;</w:t>
      </w:r>
    </w:p>
    <w:p>
      <w:pPr>
        <w:pStyle w:val="ListParagraph"/>
        <w:numPr>
          <w:ilvl w:val="0"/>
          <w:numId w:val="2"/>
        </w:numPr>
        <w:spacing w:after="80" w:line="264"/>
      </w:pPr>
      <w:r>
        <w:t xml:space="preserve">генерация результирующих документов (PDF) по шаблонам;</w:t>
      </w:r>
    </w:p>
    <w:p>
      <w:pPr>
        <w:pStyle w:val="ListParagraph"/>
        <w:numPr>
          <w:ilvl w:val="0"/>
          <w:numId w:val="2"/>
        </w:numPr>
        <w:spacing w:after="80" w:line="264"/>
      </w:pPr>
      <w:r>
        <w:t xml:space="preserve">привязка документов к заявлениям и результатам услуг;</w:t>
      </w:r>
    </w:p>
    <w:p>
      <w:pPr>
        <w:pStyle w:val="ListParagraph"/>
        <w:numPr>
          <w:ilvl w:val="0"/>
          <w:numId w:val="2"/>
        </w:numPr>
        <w:spacing w:after="80" w:line="264"/>
      </w:pPr>
      <w:r>
        <w:t xml:space="preserve">обеспечение целостности (контрольные суммы) и контроля доступа;</w:t>
      </w:r>
    </w:p>
    <w:p>
      <w:pPr>
        <w:pStyle w:val="ListParagraph"/>
        <w:numPr>
          <w:ilvl w:val="0"/>
          <w:numId w:val="2"/>
        </w:numPr>
        <w:spacing w:after="80" w:line="264"/>
      </w:pPr>
      <w:r>
        <w:t xml:space="preserve">передача документов на подписание сервису ЭЦП.</w:t>
      </w:r>
    </w:p>
    <w:p>
      <w:pPr>
        <w:pStyle w:val="Heading4"/>
      </w:pPr>
      <w:r>
        <w:t xml:space="preserve">Основные сущности данных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Сущность</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 и ключевые атрибуты</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 (Document)</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Тип, заявление, ссылка в хранилище, контрольная сумма, версия, статус подписи.</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Шаблон (Template)</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Шаблон печатной формы, версия, мультиязычность.</w:t>
            </w:r>
          </w:p>
        </w:tc>
      </w:tr>
    </w:tbl>
    <w:p>
      <w:pPr>
        <w:pStyle w:val="Heading4"/>
      </w:pPr>
      <w:r>
        <w:t xml:space="preserve">Основные операции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/api/v1/documents</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Загрузка вложения.</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/api/v1/documents:render</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Генерация PDF по шаблону.</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/api/v1/documents/{id}</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Получение метаданных/ссылки.</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/api/v1/documents/{id}:download</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Скачивание содержимого.</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POST /api/v1/documents</w:t>
            </w:r>
          </w:p>
          <w:p>
            <w:pPr>
              <w:spacing w:after="0" w:line="240"/>
            </w:pPr>
            <w:r>
              <w:rPr>
                <w:rFonts w:ascii="Courier New" w:cs="Courier New" w:eastAsia="Courier New" w:hAnsi="Courier New"/>
                <w:color w:val="24292E"/>
                <w:sz w:val="17"/>
                <w:szCs w:val="17"/>
              </w:rPr>
              <w:t xml:space="preserve">Authorization: Bearer &lt;token&gt;</w:t>
            </w:r>
          </w:p>
          <w:p>
            <w:pPr>
              <w:spacing w:after="0" w:line="240"/>
            </w:pPr>
            <w:r>
              <w:rPr>
                <w:rFonts w:ascii="Courier New" w:cs="Courier New" w:eastAsia="Courier New" w:hAnsi="Courier New"/>
                <w:color w:val="24292E"/>
                <w:sz w:val="17"/>
                <w:szCs w:val="17"/>
              </w:rPr>
              <w:t xml:space="preserve">X-Correlation-Id: &lt;uuid&gt;</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200 OK</w:t>
            </w:r>
          </w:p>
          <w:p>
            <w:pPr>
              <w:spacing w:after="0" w:line="240"/>
            </w:pPr>
            <w:r>
              <w:rPr>
                <w:rFonts w:ascii="Courier New" w:cs="Courier New" w:eastAsia="Courier New" w:hAnsi="Courier New"/>
                <w:color w:val="24292E"/>
                <w:sz w:val="17"/>
                <w:szCs w:val="17"/>
              </w:rPr>
              <w:t xml:space="preserve">Content-Type: application/json</w:t>
            </w:r>
          </w:p>
          <w:p>
            <w:pPr>
              <w:spacing w:after="0" w:line="240"/>
            </w:pPr>
            <w:r>
              <w:rPr>
                <w:rFonts w:ascii="Courier New" w:cs="Courier New" w:eastAsia="Courier New" w:hAnsi="Courier New"/>
                <w:color w:val="24292E"/>
                <w:sz w:val="17"/>
                <w:szCs w:val="17"/>
              </w:rPr>
              <w:t xml:space="preserve">{ /* представление ресурса согласно контракту OpenAPI */ }</w:t>
            </w:r>
          </w:p>
        </w:tc>
      </w:tr>
    </w:tbl>
    <w:p>
      <w:pPr>
        <w:spacing w:after="160" w:before="60" w:line="240"/>
      </w:pPr>
      <w:r>
        <w:rPr>
          <w:i/>
          <w:iCs/>
          <w:color w:val="5A6B7B"/>
          <w:sz w:val="18"/>
          <w:szCs w:val="18"/>
        </w:rPr>
        <w:t xml:space="preserve">Листинг — обобщённый пример обращения к сервису «Электронные документы» (контракт уточняется на этапе проектирования).</w:t>
      </w:r>
    </w:p>
    <w:p>
      <w:pPr>
        <w:pStyle w:val="Heading4"/>
      </w:pPr>
      <w:r>
        <w:t xml:space="preserve">Публикуемые и потребляемые события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Событие</w:t>
            </w:r>
          </w:p>
        </w:tc>
        <w:tc>
          <w:tcPr>
            <w:tcW w:type="dxa" w:w="1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Направление</w:t>
            </w:r>
          </w:p>
        </w:tc>
        <w:tc>
          <w:tcPr>
            <w:tcW w:type="dxa" w:w="4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DocumentRendered</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Сформирован документ → на подпись.</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DocumentSigned</w:t>
            </w:r>
          </w:p>
        </w:tc>
        <w:tc>
          <w:tcPr>
            <w:tcW w:type="dxa" w:w="1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потребляет</w:t>
            </w:r>
          </w:p>
        </w:tc>
        <w:tc>
          <w:tcPr>
            <w:tcW w:type="dxa" w:w="4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 подписан → доступен заявителю.</w:t>
            </w:r>
          </w:p>
        </w:tc>
      </w:tr>
    </w:tbl>
    <w:p>
      <w:pPr>
        <w:pStyle w:val="Heading4"/>
      </w:pPr>
      <w:r>
        <w:t xml:space="preserve">Бизнес-правила и инварианты</w:t>
      </w:r>
    </w:p>
    <w:p>
      <w:pPr>
        <w:pStyle w:val="ListParagraph"/>
        <w:numPr>
          <w:ilvl w:val="0"/>
          <w:numId w:val="2"/>
        </w:numPr>
        <w:spacing w:after="80" w:line="264"/>
      </w:pPr>
      <w:r>
        <w:t xml:space="preserve">результирующие документы неизменяемы после подписания;</w:t>
      </w:r>
    </w:p>
    <w:p>
      <w:pPr>
        <w:pStyle w:val="ListParagraph"/>
        <w:numPr>
          <w:ilvl w:val="0"/>
          <w:numId w:val="2"/>
        </w:numPr>
        <w:spacing w:after="80" w:line="264"/>
      </w:pPr>
      <w:r>
        <w:t xml:space="preserve">каждый документ имеет контрольную сумму для проверки целостности;</w:t>
      </w:r>
    </w:p>
    <w:p>
      <w:pPr>
        <w:pStyle w:val="ListParagraph"/>
        <w:numPr>
          <w:ilvl w:val="0"/>
          <w:numId w:val="2"/>
        </w:numPr>
        <w:spacing w:after="80" w:line="264"/>
      </w:pPr>
      <w:r>
        <w:t xml:space="preserve">доступ к документу ограничен заявителем, уполномоченным специалистом и аудитом;</w:t>
      </w:r>
    </w:p>
    <w:p>
      <w:pPr>
        <w:pStyle w:val="ListParagraph"/>
        <w:numPr>
          <w:ilvl w:val="0"/>
          <w:numId w:val="2"/>
        </w:numPr>
        <w:spacing w:after="80" w:line="264"/>
      </w:pPr>
      <w:r>
        <w:t xml:space="preserve">генерация выполняется асинхронно с повторами и DLQ при сбое.</w:t>
      </w:r>
    </w:p>
    <w:p>
      <w:pPr>
        <w:pStyle w:val="Heading4"/>
      </w:pPr>
      <w:r>
        <w:t xml:space="preserve">Интеграции</w:t>
      </w:r>
    </w:p>
    <w:p>
      <w:pPr>
        <w:pStyle w:val="ListParagraph"/>
        <w:numPr>
          <w:ilvl w:val="0"/>
          <w:numId w:val="2"/>
        </w:numPr>
        <w:spacing w:after="80" w:line="264"/>
      </w:pPr>
      <w:r>
        <w:t xml:space="preserve">Gotenberg — генерация PDF;</w:t>
      </w:r>
    </w:p>
    <w:p>
      <w:pPr>
        <w:pStyle w:val="ListParagraph"/>
        <w:numPr>
          <w:ilvl w:val="0"/>
          <w:numId w:val="2"/>
        </w:numPr>
        <w:spacing w:after="80" w:line="264"/>
      </w:pPr>
      <w:r>
        <w:t xml:space="preserve">ЭЦП — подписание;</w:t>
      </w:r>
    </w:p>
    <w:p>
      <w:pPr>
        <w:pStyle w:val="ListParagraph"/>
        <w:numPr>
          <w:ilvl w:val="0"/>
          <w:numId w:val="2"/>
        </w:numPr>
        <w:spacing w:after="80" w:line="264"/>
      </w:pPr>
      <w:r>
        <w:t xml:space="preserve">Объектное хранилище (S3/Ceph).</w:t>
      </w:r>
    </w:p>
    <w:p>
      <w:pPr>
        <w:pStyle w:val="Heading4"/>
      </w:pPr>
      <w:r>
        <w:t xml:space="preserve">Нефункциональные требования к сервису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Показатель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генерации PDF (P95)</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3 с</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Целостность</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Контрольные суммы, неизменяемость</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Хранение</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регламенту услуги; репликация между ЦОД</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99,9 %</w:t>
            </w:r>
          </w:p>
        </w:tc>
      </w:tr>
    </w:tbl>
    <w:p>
      <w:pPr>
        <w:pStyle w:val="Heading4"/>
      </w:pPr>
      <w:r>
        <w:t xml:space="preserve">Типовые ошибки и их обработка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Код / ситуация</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Обработка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422 Render Error</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Ошибка шаблона/данных — алерт, повтор.</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413 Too Large</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Превышен размер вложения — отказ с лимитом.</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403 Forbidden</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Нет прав на документ.</w:t>
            </w:r>
          </w:p>
        </w:tc>
      </w:tr>
    </w:tbl>
    <w:p>
      <w:pPr>
        <w:pStyle w:val="Heading4"/>
      </w:pPr>
      <w:r>
        <w:t xml:space="preserve">Масштабирование и устойчивость</w:t>
      </w:r>
    </w:p>
    <w:p>
      <w:pPr>
        <w:spacing w:after="120" w:line="276"/>
      </w:pPr>
      <w:r>
        <w:t xml:space="preserve">Сервис «Электронные документы» спроектирован как stateless и масштабируется горизонтально (HPA). Состояние выносится в БД и кэш; экземпляры взаимозаменяемы. Применяются шаблоны устойчивости (раздел 4А.3): тайм-ауты, повторы для идемпотентных операций, размыкатель к зависимостям, перегородки пулов. Реплики распределяются по зонам и ЦОД (анти-аффинити). При отказе экземпляра запросы перенаправляются на оставшиеся без потери доступности.</w:t>
      </w:r>
    </w:p>
    <w:p>
      <w:pPr>
        <w:pStyle w:val="Heading4"/>
      </w:pPr>
      <w:r>
        <w:t xml:space="preserve">Жизненный цикл данных</w:t>
      </w:r>
    </w:p>
    <w:p>
      <w:pPr>
        <w:spacing w:after="120" w:line="276"/>
      </w:pPr>
      <w:r>
        <w:t xml:space="preserve">Данные сервиса принадлежат ему единолично (раздел 5Б.1) и изменяются только через его API/события. Изменения публикуются как доменные события через transactional outbox (раздел 4А.4.1). Сроки хранения определяются классом данных (раздел 5Б.4); по истечении выполняется архивирование или обезличивание. Изменения схемы — по стратегии expand–contract (раздел 5Б.6) без простоя.</w:t>
      </w:r>
    </w:p>
    <w:p>
      <w:pPr>
        <w:pStyle w:val="Heading4"/>
      </w:pPr>
      <w:r>
        <w:t xml:space="preserve">Зависимости и контроль качества</w:t>
      </w:r>
    </w:p>
    <w:p>
      <w:pPr>
        <w:spacing w:after="120" w:line="276"/>
      </w:pPr>
      <w:r>
        <w:t xml:space="preserve">Сервис взаимодействует со смежными компонентами только через опубликованные контракты; совместимость проверяется контрактными тестами (Pact, раздел 20А.3). Каждый внешний вызов защищён шаблонами устойчивости (тайм-аут, повтор, размыкатель). Сервис экспортирует стандартный набор метрик (задержка, трафик, ошибки, насыщенность — раздел 14А.2) и трассируется сквозным Correlation ID. Готовность к выпуску проверяется по чек-листу (Приложение К.1).</w:t>
      </w:r>
    </w:p>
    <w:p>
      <w:pPr>
        <w:pStyle w:val="Heading2"/>
      </w:pPr>
      <w:r>
        <w:t xml:space="preserve">4Б.7. Сервис «Уведомления» (notification-service)</w:t>
      </w:r>
    </w:p>
    <w:p>
      <w:pPr>
        <w:spacing w:after="120" w:line="276"/>
      </w:pPr>
      <w:r>
        <w:t xml:space="preserve">Сервис доставляет уведомления пользователям по каналам push (FCM/APNs), e-mail (SMTP), SMS (агрегатор, предпочтительно оператор в РТ) и в реальном времени (WebSocket/SSE) в личный кабинет. Управляет шаблонами, мультиязычностью, предпочтениями пользователя и устойчивой доставкой с повторами. В каналах push и SMS передаётся только нейтральное оповещение без персональных данных; персональное содержание доступно в личном кабинете после аутентификации (раздел 11А.6А).</w:t>
      </w:r>
    </w:p>
    <w:p>
      <w:pPr>
        <w:pStyle w:val="Heading4"/>
      </w:pPr>
      <w:r>
        <w:t xml:space="preserve">Зона ответственности</w:t>
      </w:r>
    </w:p>
    <w:p>
      <w:pPr>
        <w:pStyle w:val="ListParagraph"/>
        <w:numPr>
          <w:ilvl w:val="0"/>
          <w:numId w:val="2"/>
        </w:numPr>
        <w:spacing w:after="80" w:line="264"/>
      </w:pPr>
      <w:r>
        <w:t xml:space="preserve">подписка на доменные события и формирование уведомлений;</w:t>
      </w:r>
    </w:p>
    <w:p>
      <w:pPr>
        <w:pStyle w:val="ListParagraph"/>
        <w:numPr>
          <w:ilvl w:val="0"/>
          <w:numId w:val="2"/>
        </w:numPr>
        <w:spacing w:after="80" w:line="264"/>
      </w:pPr>
      <w:r>
        <w:t xml:space="preserve">выбор канала по предпочтениям пользователя и доступности контакта;</w:t>
      </w:r>
    </w:p>
    <w:p>
      <w:pPr>
        <w:pStyle w:val="ListParagraph"/>
        <w:numPr>
          <w:ilvl w:val="0"/>
          <w:numId w:val="2"/>
        </w:numPr>
        <w:spacing w:after="80" w:line="264"/>
      </w:pPr>
      <w:r>
        <w:t xml:space="preserve">рендеринг шаблонов с подстановкой данных и локализацией;</w:t>
      </w:r>
    </w:p>
    <w:p>
      <w:pPr>
        <w:pStyle w:val="ListParagraph"/>
        <w:numPr>
          <w:ilvl w:val="0"/>
          <w:numId w:val="2"/>
        </w:numPr>
        <w:spacing w:after="80" w:line="264"/>
      </w:pPr>
      <w:r>
        <w:t xml:space="preserve">устойчивая доставка (повторы, DLQ) и фиксация статуса доставки;</w:t>
      </w:r>
    </w:p>
    <w:p>
      <w:pPr>
        <w:pStyle w:val="ListParagraph"/>
        <w:numPr>
          <w:ilvl w:val="0"/>
          <w:numId w:val="2"/>
        </w:numPr>
        <w:spacing w:after="80" w:line="264"/>
      </w:pPr>
      <w:r>
        <w:t xml:space="preserve">доставка обновлений в личный кабинет в реальном времени.</w:t>
      </w:r>
    </w:p>
    <w:p>
      <w:pPr>
        <w:pStyle w:val="Heading4"/>
      </w:pPr>
      <w:r>
        <w:t xml:space="preserve">Основные сущности данных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Сущность</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 и ключевые атрибуты</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Уведомление (Notification)</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Получатель, канал, шаблон, данные, статус доставки, метки времени.</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Шаблон уведомления (NotificationTemplate)</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Текст по каналам и локалям, переменные подстановки.</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Предпочтения (Preferences)</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Разрешённые каналы, тихие часы, язык.</w:t>
            </w:r>
          </w:p>
        </w:tc>
      </w:tr>
    </w:tbl>
    <w:p>
      <w:pPr>
        <w:pStyle w:val="Heading4"/>
      </w:pPr>
      <w:r>
        <w:t xml:space="preserve">Основные операции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/api/v1/notifications</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Лента уведомлений пользователя.</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/api/v1/notifications:markRead</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Отметка о прочтении.</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PUT /api/v1/notifications/preferences</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Изменение предпочтений.</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GET /api/v1/notifications</w:t>
            </w:r>
          </w:p>
          <w:p>
            <w:pPr>
              <w:spacing w:after="0" w:line="240"/>
            </w:pPr>
            <w:r>
              <w:rPr>
                <w:rFonts w:ascii="Courier New" w:cs="Courier New" w:eastAsia="Courier New" w:hAnsi="Courier New"/>
                <w:color w:val="24292E"/>
                <w:sz w:val="17"/>
                <w:szCs w:val="17"/>
              </w:rPr>
              <w:t xml:space="preserve">Authorization: Bearer &lt;token&gt;</w:t>
            </w:r>
          </w:p>
          <w:p>
            <w:pPr>
              <w:spacing w:after="0" w:line="240"/>
            </w:pPr>
            <w:r>
              <w:rPr>
                <w:rFonts w:ascii="Courier New" w:cs="Courier New" w:eastAsia="Courier New" w:hAnsi="Courier New"/>
                <w:color w:val="24292E"/>
                <w:sz w:val="17"/>
                <w:szCs w:val="17"/>
              </w:rPr>
              <w:t xml:space="preserve">X-Correlation-Id: &lt;uuid&gt;</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200 OK</w:t>
            </w:r>
          </w:p>
          <w:p>
            <w:pPr>
              <w:spacing w:after="0" w:line="240"/>
            </w:pPr>
            <w:r>
              <w:rPr>
                <w:rFonts w:ascii="Courier New" w:cs="Courier New" w:eastAsia="Courier New" w:hAnsi="Courier New"/>
                <w:color w:val="24292E"/>
                <w:sz w:val="17"/>
                <w:szCs w:val="17"/>
              </w:rPr>
              <w:t xml:space="preserve">Content-Type: application/json</w:t>
            </w:r>
          </w:p>
          <w:p>
            <w:pPr>
              <w:spacing w:after="0" w:line="240"/>
            </w:pPr>
            <w:r>
              <w:rPr>
                <w:rFonts w:ascii="Courier New" w:cs="Courier New" w:eastAsia="Courier New" w:hAnsi="Courier New"/>
                <w:color w:val="24292E"/>
                <w:sz w:val="17"/>
                <w:szCs w:val="17"/>
              </w:rPr>
              <w:t xml:space="preserve">{ /* представление ресурса согласно контракту OpenAPI */ }</w:t>
            </w:r>
          </w:p>
        </w:tc>
      </w:tr>
    </w:tbl>
    <w:p>
      <w:pPr>
        <w:spacing w:after="160" w:before="60" w:line="240"/>
      </w:pPr>
      <w:r>
        <w:rPr>
          <w:i/>
          <w:iCs/>
          <w:color w:val="5A6B7B"/>
          <w:sz w:val="18"/>
          <w:szCs w:val="18"/>
        </w:rPr>
        <w:t xml:space="preserve">Листинг — обобщённый пример обращения к сервису «Уведомления» (контракт уточняется на этапе проектирования).</w:t>
      </w:r>
    </w:p>
    <w:p>
      <w:pPr>
        <w:pStyle w:val="Heading4"/>
      </w:pPr>
      <w:r>
        <w:t xml:space="preserve">Публикуемые и потребляемые события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Событие</w:t>
            </w:r>
          </w:p>
        </w:tc>
        <w:tc>
          <w:tcPr>
            <w:tcW w:type="dxa" w:w="1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Направление</w:t>
            </w:r>
          </w:p>
        </w:tc>
        <w:tc>
          <w:tcPr>
            <w:tcW w:type="dxa" w:w="4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ApplicationStatusChanged</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потребляет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Изменение статуса → уведомление.</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PaymentConfirmed</w:t>
            </w:r>
          </w:p>
        </w:tc>
        <w:tc>
          <w:tcPr>
            <w:tcW w:type="dxa" w:w="1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потребляет</w:t>
            </w:r>
          </w:p>
        </w:tc>
        <w:tc>
          <w:tcPr>
            <w:tcW w:type="dxa" w:w="4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Оплата → уведомление.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NotificationDelivered</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Подтверждение доставки.</w:t>
            </w:r>
          </w:p>
        </w:tc>
      </w:tr>
    </w:tbl>
    <w:p>
      <w:pPr>
        <w:pStyle w:val="Heading4"/>
      </w:pPr>
      <w:r>
        <w:t xml:space="preserve">Бизнес-правила и инварианты</w:t>
      </w:r>
    </w:p>
    <w:p>
      <w:pPr>
        <w:pStyle w:val="ListParagraph"/>
        <w:numPr>
          <w:ilvl w:val="0"/>
          <w:numId w:val="2"/>
        </w:numPr>
        <w:spacing w:after="80" w:line="264"/>
      </w:pPr>
      <w:r>
        <w:t xml:space="preserve">уведомление отправляется только по подтверждённому контакту;</w:t>
      </w:r>
    </w:p>
    <w:p>
      <w:pPr>
        <w:pStyle w:val="ListParagraph"/>
        <w:numPr>
          <w:ilvl w:val="0"/>
          <w:numId w:val="2"/>
        </w:numPr>
        <w:spacing w:after="80" w:line="264"/>
      </w:pPr>
      <w:r>
        <w:t xml:space="preserve">в каналах push и SMS не передаются персональные данные — только нейтральное оповещение (раздел 11А.6А);</w:t>
      </w:r>
    </w:p>
    <w:p>
      <w:pPr>
        <w:pStyle w:val="ListParagraph"/>
        <w:numPr>
          <w:ilvl w:val="0"/>
          <w:numId w:val="2"/>
        </w:numPr>
        <w:spacing w:after="80" w:line="264"/>
      </w:pPr>
      <w:r>
        <w:t xml:space="preserve">учитываются предпочтения и тихие часы пользователя;</w:t>
      </w:r>
    </w:p>
    <w:p>
      <w:pPr>
        <w:pStyle w:val="ListParagraph"/>
        <w:numPr>
          <w:ilvl w:val="0"/>
          <w:numId w:val="2"/>
        </w:numPr>
        <w:spacing w:after="80" w:line="264"/>
      </w:pPr>
      <w:r>
        <w:t xml:space="preserve">локализация по языку пользователя обязательна;</w:t>
      </w:r>
    </w:p>
    <w:p>
      <w:pPr>
        <w:pStyle w:val="ListParagraph"/>
        <w:numPr>
          <w:ilvl w:val="0"/>
          <w:numId w:val="2"/>
        </w:numPr>
        <w:spacing w:after="80" w:line="264"/>
      </w:pPr>
      <w:r>
        <w:t xml:space="preserve">недоставленные уведомления попадают в DLQ для разбора.</w:t>
      </w:r>
    </w:p>
    <w:p>
      <w:pPr>
        <w:pStyle w:val="Heading4"/>
      </w:pPr>
      <w:r>
        <w:t xml:space="preserve">Интеграции</w:t>
      </w:r>
    </w:p>
    <w:p>
      <w:pPr>
        <w:pStyle w:val="ListParagraph"/>
        <w:numPr>
          <w:ilvl w:val="0"/>
          <w:numId w:val="2"/>
        </w:numPr>
        <w:spacing w:after="80" w:line="264"/>
      </w:pPr>
      <w:r>
        <w:t xml:space="preserve">FCM/APNs, SMTP, SMS-агрегатор;</w:t>
      </w:r>
    </w:p>
    <w:p>
      <w:pPr>
        <w:pStyle w:val="ListParagraph"/>
        <w:numPr>
          <w:ilvl w:val="0"/>
          <w:numId w:val="2"/>
        </w:numPr>
        <w:spacing w:after="80" w:line="264"/>
      </w:pPr>
      <w:r>
        <w:t xml:space="preserve">Профиль — контакты и предпочтения;</w:t>
      </w:r>
    </w:p>
    <w:p>
      <w:pPr>
        <w:pStyle w:val="ListParagraph"/>
        <w:numPr>
          <w:ilvl w:val="0"/>
          <w:numId w:val="2"/>
        </w:numPr>
        <w:spacing w:after="80" w:line="264"/>
      </w:pPr>
      <w:r>
        <w:t xml:space="preserve">Шина Kafka — подписка на события.</w:t>
      </w:r>
    </w:p>
    <w:p>
      <w:pPr>
        <w:pStyle w:val="Heading4"/>
      </w:pPr>
      <w:r>
        <w:t xml:space="preserve">Нефункциональные требования к сервису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Показатель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Задержка realtime (P95)</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1 с</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Надёжность доставки</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Повторы + DLQ</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Пропускная способность</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2 000 уведомлений/с</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99,9 %</w:t>
            </w:r>
          </w:p>
        </w:tc>
      </w:tr>
    </w:tbl>
    <w:p>
      <w:pPr>
        <w:pStyle w:val="Heading4"/>
      </w:pPr>
      <w:r>
        <w:t xml:space="preserve">Типовые ошибки и их обработка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Код / ситуация</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Обработка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Provider Error</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Сбой провайдера — повтор, переключение канала.</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No Contact</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Нет подтверждённого контакта — пропуск канала.</w:t>
            </w:r>
          </w:p>
        </w:tc>
      </w:tr>
    </w:tbl>
    <w:p>
      <w:pPr>
        <w:pStyle w:val="Heading4"/>
      </w:pPr>
      <w:r>
        <w:t xml:space="preserve">Масштабирование и устойчивость</w:t>
      </w:r>
    </w:p>
    <w:p>
      <w:pPr>
        <w:spacing w:after="120" w:line="276"/>
      </w:pPr>
      <w:r>
        <w:t xml:space="preserve">Сервис «Уведомления» спроектирован как stateless и масштабируется горизонтально (HPA). Состояние выносится в БД и кэш; экземпляры взаимозаменяемы. Применяются шаблоны устойчивости (раздел 4А.3): тайм-ауты, повторы для идемпотентных операций, размыкатель к зависимостям, перегородки пулов. Реплики распределяются по зонам и ЦОД (анти-аффинити). При отказе экземпляра запросы перенаправляются на оставшиеся без потери доступности.</w:t>
      </w:r>
    </w:p>
    <w:p>
      <w:pPr>
        <w:pStyle w:val="Heading4"/>
      </w:pPr>
      <w:r>
        <w:t xml:space="preserve">Жизненный цикл данных</w:t>
      </w:r>
    </w:p>
    <w:p>
      <w:pPr>
        <w:spacing w:after="120" w:line="276"/>
      </w:pPr>
      <w:r>
        <w:t xml:space="preserve">Данные сервиса принадлежат ему единолично (раздел 5Б.1) и изменяются только через его API/события. Изменения публикуются как доменные события через transactional outbox (раздел 4А.4.1). Сроки хранения определяются классом данных (раздел 5Б.4); по истечении выполняется архивирование или обезличивание. Изменения схемы — по стратегии expand–contract (раздел 5Б.6) без простоя.</w:t>
      </w:r>
    </w:p>
    <w:p>
      <w:pPr>
        <w:pStyle w:val="Heading4"/>
      </w:pPr>
      <w:r>
        <w:t xml:space="preserve">Зависимости и контроль качества</w:t>
      </w:r>
    </w:p>
    <w:p>
      <w:pPr>
        <w:spacing w:after="120" w:line="276"/>
      </w:pPr>
      <w:r>
        <w:t xml:space="preserve">Сервис взаимодействует со смежными компонентами только через опубликованные контракты; совместимость проверяется контрактными тестами (Pact, раздел 20А.3). Каждый внешний вызов защищён шаблонами устойчивости (тайм-аут, повтор, размыкатель). Сервис экспортирует стандартный набор метрик (задержка, трафик, ошибки, насыщенность — раздел 14А.2) и трассируется сквозным Correlation ID. Готовность к выпуску проверяется по чек-листу (Приложение К.1).</w:t>
      </w:r>
    </w:p>
    <w:p>
      <w:pPr>
        <w:pStyle w:val="Heading2"/>
      </w:pPr>
      <w:r>
        <w:t xml:space="preserve">4Б.8. Сервис «НСИ (справочники)» (reference-service)</w:t>
      </w:r>
    </w:p>
    <w:p>
      <w:pPr>
        <w:spacing w:after="120" w:line="276"/>
      </w:pPr>
      <w:r>
        <w:t xml:space="preserve">Сервис ведёт нормативно-справочную информацию (классификаторы, справочники) как единый источник истины, управляет их версиями и синхронизацией между подсистемами. Предотвращает рассинхронизацию справочных данных по всей Платформе.</w:t>
      </w:r>
    </w:p>
    <w:p>
      <w:pPr>
        <w:pStyle w:val="Heading4"/>
      </w:pPr>
      <w:r>
        <w:t xml:space="preserve">Зона ответственности</w:t>
      </w:r>
    </w:p>
    <w:p>
      <w:pPr>
        <w:pStyle w:val="ListParagraph"/>
        <w:numPr>
          <w:ilvl w:val="0"/>
          <w:numId w:val="2"/>
        </w:numPr>
        <w:spacing w:after="80" w:line="264"/>
      </w:pPr>
      <w:r>
        <w:t xml:space="preserve">хранение и версионирование классификаторов и справочников;</w:t>
      </w:r>
    </w:p>
    <w:p>
      <w:pPr>
        <w:pStyle w:val="ListParagraph"/>
        <w:numPr>
          <w:ilvl w:val="0"/>
          <w:numId w:val="2"/>
        </w:numPr>
        <w:spacing w:after="80" w:line="264"/>
      </w:pPr>
      <w:r>
        <w:t xml:space="preserve">предоставление справочников другим сервисам по контракту;</w:t>
      </w:r>
    </w:p>
    <w:p>
      <w:pPr>
        <w:pStyle w:val="ListParagraph"/>
        <w:numPr>
          <w:ilvl w:val="0"/>
          <w:numId w:val="2"/>
        </w:numPr>
        <w:spacing w:after="80" w:line="264"/>
      </w:pPr>
      <w:r>
        <w:t xml:space="preserve">синхронизация изменений через события и периодические задачи (ShedLock);</w:t>
      </w:r>
    </w:p>
    <w:p>
      <w:pPr>
        <w:pStyle w:val="ListParagraph"/>
        <w:numPr>
          <w:ilvl w:val="0"/>
          <w:numId w:val="2"/>
        </w:numPr>
        <w:spacing w:after="80" w:line="264"/>
      </w:pPr>
      <w:r>
        <w:t xml:space="preserve">контроль ссылочной целостности справочных данных.</w:t>
      </w:r>
    </w:p>
    <w:p>
      <w:pPr>
        <w:pStyle w:val="Heading4"/>
      </w:pPr>
      <w:r>
        <w:t xml:space="preserve">Основные сущности данных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Сущность</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 и ключевые атрибуты</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Справочник (Reference)</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Код, наименование, версия, статус, элементы.</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Элемент справочника (ReferenceItem)</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Код, значение (мультиязычное), период действия.</w:t>
            </w:r>
          </w:p>
        </w:tc>
      </w:tr>
    </w:tbl>
    <w:p>
      <w:pPr>
        <w:pStyle w:val="Heading4"/>
      </w:pPr>
      <w:r>
        <w:t xml:space="preserve">Основные операции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/api/v1/references/{code}</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Получение справочника (версия по умолчанию — актуальная).</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/api/v1/references/{code}/versions</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Версии справочника.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GET /api/v1/references/{code}</w:t>
            </w:r>
          </w:p>
          <w:p>
            <w:pPr>
              <w:spacing w:after="0" w:line="240"/>
            </w:pPr>
            <w:r>
              <w:rPr>
                <w:rFonts w:ascii="Courier New" w:cs="Courier New" w:eastAsia="Courier New" w:hAnsi="Courier New"/>
                <w:color w:val="24292E"/>
                <w:sz w:val="17"/>
                <w:szCs w:val="17"/>
              </w:rPr>
              <w:t xml:space="preserve">Authorization: Bearer &lt;token&gt;</w:t>
            </w:r>
          </w:p>
          <w:p>
            <w:pPr>
              <w:spacing w:after="0" w:line="240"/>
            </w:pPr>
            <w:r>
              <w:rPr>
                <w:rFonts w:ascii="Courier New" w:cs="Courier New" w:eastAsia="Courier New" w:hAnsi="Courier New"/>
                <w:color w:val="24292E"/>
                <w:sz w:val="17"/>
                <w:szCs w:val="17"/>
              </w:rPr>
              <w:t xml:space="preserve">X-Correlation-Id: &lt;uuid&gt;</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200 OK</w:t>
            </w:r>
          </w:p>
          <w:p>
            <w:pPr>
              <w:spacing w:after="0" w:line="240"/>
            </w:pPr>
            <w:r>
              <w:rPr>
                <w:rFonts w:ascii="Courier New" w:cs="Courier New" w:eastAsia="Courier New" w:hAnsi="Courier New"/>
                <w:color w:val="24292E"/>
                <w:sz w:val="17"/>
                <w:szCs w:val="17"/>
              </w:rPr>
              <w:t xml:space="preserve">Content-Type: application/json</w:t>
            </w:r>
          </w:p>
          <w:p>
            <w:pPr>
              <w:spacing w:after="0" w:line="240"/>
            </w:pPr>
            <w:r>
              <w:rPr>
                <w:rFonts w:ascii="Courier New" w:cs="Courier New" w:eastAsia="Courier New" w:hAnsi="Courier New"/>
                <w:color w:val="24292E"/>
                <w:sz w:val="17"/>
                <w:szCs w:val="17"/>
              </w:rPr>
              <w:t xml:space="preserve">{ /* представление ресурса согласно контракту OpenAPI */ }</w:t>
            </w:r>
          </w:p>
        </w:tc>
      </w:tr>
    </w:tbl>
    <w:p>
      <w:pPr>
        <w:spacing w:after="160" w:before="60" w:line="240"/>
      </w:pPr>
      <w:r>
        <w:rPr>
          <w:i/>
          <w:iCs/>
          <w:color w:val="5A6B7B"/>
          <w:sz w:val="18"/>
          <w:szCs w:val="18"/>
        </w:rPr>
        <w:t xml:space="preserve">Листинг — обобщённый пример обращения к сервису «НСИ (справочники)» (контракт уточняется на этапе проектирования).</w:t>
      </w:r>
    </w:p>
    <w:p>
      <w:pPr>
        <w:pStyle w:val="Heading4"/>
      </w:pPr>
      <w:r>
        <w:t xml:space="preserve">Публикуемые и потребляемые события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Событие</w:t>
            </w:r>
          </w:p>
        </w:tc>
        <w:tc>
          <w:tcPr>
            <w:tcW w:type="dxa" w:w="1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Направление</w:t>
            </w:r>
          </w:p>
        </w:tc>
        <w:tc>
          <w:tcPr>
            <w:tcW w:type="dxa" w:w="4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ReferenceUpdated</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Изменён справочник → инвалидация кэшей.</w:t>
            </w:r>
          </w:p>
        </w:tc>
      </w:tr>
    </w:tbl>
    <w:p>
      <w:pPr>
        <w:pStyle w:val="Heading4"/>
      </w:pPr>
      <w:r>
        <w:t xml:space="preserve">Бизнес-правила и инварианты</w:t>
      </w:r>
    </w:p>
    <w:p>
      <w:pPr>
        <w:pStyle w:val="ListParagraph"/>
        <w:numPr>
          <w:ilvl w:val="0"/>
          <w:numId w:val="2"/>
        </w:numPr>
        <w:spacing w:after="80" w:line="264"/>
      </w:pPr>
      <w:r>
        <w:t xml:space="preserve">опубликованная версия справочника неизменяема;</w:t>
      </w:r>
    </w:p>
    <w:p>
      <w:pPr>
        <w:pStyle w:val="ListParagraph"/>
        <w:numPr>
          <w:ilvl w:val="0"/>
          <w:numId w:val="2"/>
        </w:numPr>
        <w:spacing w:after="80" w:line="264"/>
      </w:pPr>
      <w:r>
        <w:t xml:space="preserve">элементы имеют период действия; недействующие не предлагаются в формах;</w:t>
      </w:r>
    </w:p>
    <w:p>
      <w:pPr>
        <w:pStyle w:val="ListParagraph"/>
        <w:numPr>
          <w:ilvl w:val="0"/>
          <w:numId w:val="2"/>
        </w:numPr>
        <w:spacing w:after="80" w:line="264"/>
      </w:pPr>
      <w:r>
        <w:t xml:space="preserve">синхронизация выполняется без простоя потребителей (версионирование).</w:t>
      </w:r>
    </w:p>
    <w:p>
      <w:pPr>
        <w:pStyle w:val="Heading4"/>
      </w:pPr>
      <w:r>
        <w:t xml:space="preserve">Интеграции</w:t>
      </w:r>
    </w:p>
    <w:p>
      <w:pPr>
        <w:pStyle w:val="ListParagraph"/>
        <w:numPr>
          <w:ilvl w:val="0"/>
          <w:numId w:val="2"/>
        </w:numPr>
        <w:spacing w:after="80" w:line="264"/>
      </w:pPr>
      <w:r>
        <w:t xml:space="preserve">Все сервисы — потребители справочников;</w:t>
      </w:r>
    </w:p>
    <w:p>
      <w:pPr>
        <w:pStyle w:val="ListParagraph"/>
        <w:numPr>
          <w:ilvl w:val="0"/>
          <w:numId w:val="2"/>
        </w:numPr>
        <w:spacing w:after="80" w:line="264"/>
      </w:pPr>
      <w:r>
        <w:t xml:space="preserve">Каталог услуг — категории, ведомства.</w:t>
      </w:r>
    </w:p>
    <w:p>
      <w:pPr>
        <w:pStyle w:val="Heading4"/>
      </w:pPr>
      <w:r>
        <w:t xml:space="preserve">Нефункциональные требования к сервису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Показатель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ответа (P95)</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150 мс (кэш)</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Согласованность</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Через версии и события</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99,95 %</w:t>
            </w:r>
          </w:p>
        </w:tc>
      </w:tr>
    </w:tbl>
    <w:p>
      <w:pPr>
        <w:pStyle w:val="Heading4"/>
      </w:pPr>
      <w:r>
        <w:t xml:space="preserve">Типовые ошибки и их обработка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Код / ситуация</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Обработка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404 Not Found</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Справочник/версия не найдены.</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409 Immutable</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Попытка изменить опубликованную версию — отказ.</w:t>
            </w:r>
          </w:p>
        </w:tc>
      </w:tr>
    </w:tbl>
    <w:p>
      <w:pPr>
        <w:pStyle w:val="Heading4"/>
      </w:pPr>
      <w:r>
        <w:t xml:space="preserve">Масштабирование и устойчивость</w:t>
      </w:r>
    </w:p>
    <w:p>
      <w:pPr>
        <w:spacing w:after="120" w:line="276"/>
      </w:pPr>
      <w:r>
        <w:t xml:space="preserve">Сервис «НСИ (справочники)» спроектирован как stateless и масштабируется горизонтально (HPA). Состояние выносится в БД и кэш; экземпляры взаимозаменяемы. Применяются шаблоны устойчивости (раздел 4А.3): тайм-ауты, повторы для идемпотентных операций, размыкатель к зависимостям, перегородки пулов. Реплики распределяются по зонам и ЦОД (анти-аффинити). При отказе экземпляра запросы перенаправляются на оставшиеся без потери доступности.</w:t>
      </w:r>
    </w:p>
    <w:p>
      <w:pPr>
        <w:pStyle w:val="Heading4"/>
      </w:pPr>
      <w:r>
        <w:t xml:space="preserve">Жизненный цикл данных</w:t>
      </w:r>
    </w:p>
    <w:p>
      <w:pPr>
        <w:spacing w:after="120" w:line="276"/>
      </w:pPr>
      <w:r>
        <w:t xml:space="preserve">Данные сервиса принадлежат ему единолично (раздел 5Б.1) и изменяются только через его API/события. Изменения публикуются как доменные события через transactional outbox (раздел 4А.4.1). Сроки хранения определяются классом данных (раздел 5Б.4); по истечении выполняется архивирование или обезличивание. Изменения схемы — по стратегии expand–contract (раздел 5Б.6) без простоя.</w:t>
      </w:r>
    </w:p>
    <w:p>
      <w:pPr>
        <w:pStyle w:val="Heading4"/>
      </w:pPr>
      <w:r>
        <w:t xml:space="preserve">Зависимости и контроль качества</w:t>
      </w:r>
    </w:p>
    <w:p>
      <w:pPr>
        <w:spacing w:after="120" w:line="276"/>
      </w:pPr>
      <w:r>
        <w:t xml:space="preserve">Сервис взаимодействует со смежными компонентами только через опубликованные контракты; совместимость проверяется контрактными тестами (Pact, раздел 20А.3). Каждый внешний вызов защищён шаблонами устойчивости (тайм-аут, повтор, размыкатель). Сервис экспортирует стандартный набор метрик (задержка, трафик, ошибки, насыщенность — раздел 14А.2) и трассируется сквозным Correlation ID. Готовность к выпуску проверяется по чек-листу (Приложение К.1).</w:t>
      </w:r>
    </w:p>
    <w:p>
      <w:pPr>
        <w:pStyle w:val="Heading2"/>
      </w:pPr>
      <w:r>
        <w:t xml:space="preserve">4Б.9. Сервис «Электронная подпись» (signature-service)</w:t>
      </w:r>
    </w:p>
    <w:p>
      <w:pPr>
        <w:spacing w:after="120" w:line="276"/>
      </w:pPr>
      <w:r>
        <w:t xml:space="preserve">Сервис обеспечивает подписание результирующих документов электронной цифровой подписью (ЭЦП) и проверку подписей входящих документов в соответствии с Законом РТ «Об электронном документе и электронной подписи». Ключи хранятся в аппаратном модуле безопасности (HSM).</w:t>
      </w:r>
    </w:p>
    <w:p>
      <w:pPr>
        <w:pStyle w:val="Heading4"/>
      </w:pPr>
      <w:r>
        <w:t xml:space="preserve">Зона ответственности</w:t>
      </w:r>
    </w:p>
    <w:p>
      <w:pPr>
        <w:pStyle w:val="ListParagraph"/>
        <w:numPr>
          <w:ilvl w:val="0"/>
          <w:numId w:val="2"/>
        </w:numPr>
        <w:spacing w:after="80" w:line="264"/>
      </w:pPr>
      <w:r>
        <w:t xml:space="preserve">подписание документов ЭЦП с использованием ключей в HSM;</w:t>
      </w:r>
    </w:p>
    <w:p>
      <w:pPr>
        <w:pStyle w:val="ListParagraph"/>
        <w:numPr>
          <w:ilvl w:val="0"/>
          <w:numId w:val="2"/>
        </w:numPr>
        <w:spacing w:after="80" w:line="264"/>
      </w:pPr>
      <w:r>
        <w:t xml:space="preserve">проверка подписей входящих документов и статуса сертификатов;</w:t>
      </w:r>
    </w:p>
    <w:p>
      <w:pPr>
        <w:pStyle w:val="ListParagraph"/>
        <w:numPr>
          <w:ilvl w:val="0"/>
          <w:numId w:val="2"/>
        </w:numPr>
        <w:spacing w:after="80" w:line="264"/>
      </w:pPr>
      <w:r>
        <w:t xml:space="preserve">формирование и хранение метаданных подписи (штампы времени);</w:t>
      </w:r>
    </w:p>
    <w:p>
      <w:pPr>
        <w:pStyle w:val="ListParagraph"/>
        <w:numPr>
          <w:ilvl w:val="0"/>
          <w:numId w:val="2"/>
        </w:numPr>
        <w:spacing w:after="80" w:line="264"/>
      </w:pPr>
      <w:r>
        <w:t xml:space="preserve">журналирование операций подписания для аудита.</w:t>
      </w:r>
    </w:p>
    <w:p>
      <w:pPr>
        <w:pStyle w:val="Heading4"/>
      </w:pPr>
      <w:r>
        <w:t xml:space="preserve">Основные сущности данных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Сущность</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 и ключевые атрибуты</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Подпись (Signature)</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 подписант, сертификат, метка времени, статус проверки.</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Сертификат (Certificate)</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Владелец, срок действия, статус (действителен/отозван).</w:t>
            </w:r>
          </w:p>
        </w:tc>
      </w:tr>
    </w:tbl>
    <w:p>
      <w:pPr>
        <w:pStyle w:val="Heading4"/>
      </w:pPr>
      <w:r>
        <w:t xml:space="preserve">Основные операции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/api/v1/signatures:sign</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Подписание документа.</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/api/v1/signatures:verify</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Проверка подписи документа.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POST /api/v1/signatures:sign</w:t>
            </w:r>
          </w:p>
          <w:p>
            <w:pPr>
              <w:spacing w:after="0" w:line="240"/>
            </w:pPr>
            <w:r>
              <w:rPr>
                <w:rFonts w:ascii="Courier New" w:cs="Courier New" w:eastAsia="Courier New" w:hAnsi="Courier New"/>
                <w:color w:val="24292E"/>
                <w:sz w:val="17"/>
                <w:szCs w:val="17"/>
              </w:rPr>
              <w:t xml:space="preserve">Authorization: Bearer &lt;token&gt;</w:t>
            </w:r>
          </w:p>
          <w:p>
            <w:pPr>
              <w:spacing w:after="0" w:line="240"/>
            </w:pPr>
            <w:r>
              <w:rPr>
                <w:rFonts w:ascii="Courier New" w:cs="Courier New" w:eastAsia="Courier New" w:hAnsi="Courier New"/>
                <w:color w:val="24292E"/>
                <w:sz w:val="17"/>
                <w:szCs w:val="17"/>
              </w:rPr>
              <w:t xml:space="preserve">X-Correlation-Id: &lt;uuid&gt;</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200 OK</w:t>
            </w:r>
          </w:p>
          <w:p>
            <w:pPr>
              <w:spacing w:after="0" w:line="240"/>
            </w:pPr>
            <w:r>
              <w:rPr>
                <w:rFonts w:ascii="Courier New" w:cs="Courier New" w:eastAsia="Courier New" w:hAnsi="Courier New"/>
                <w:color w:val="24292E"/>
                <w:sz w:val="17"/>
                <w:szCs w:val="17"/>
              </w:rPr>
              <w:t xml:space="preserve">Content-Type: application/json</w:t>
            </w:r>
          </w:p>
          <w:p>
            <w:pPr>
              <w:spacing w:after="0" w:line="240"/>
            </w:pPr>
            <w:r>
              <w:rPr>
                <w:rFonts w:ascii="Courier New" w:cs="Courier New" w:eastAsia="Courier New" w:hAnsi="Courier New"/>
                <w:color w:val="24292E"/>
                <w:sz w:val="17"/>
                <w:szCs w:val="17"/>
              </w:rPr>
              <w:t xml:space="preserve">{ /* представление ресурса согласно контракту OpenAPI */ }</w:t>
            </w:r>
          </w:p>
        </w:tc>
      </w:tr>
    </w:tbl>
    <w:p>
      <w:pPr>
        <w:spacing w:after="160" w:before="60" w:line="240"/>
      </w:pPr>
      <w:r>
        <w:rPr>
          <w:i/>
          <w:iCs/>
          <w:color w:val="5A6B7B"/>
          <w:sz w:val="18"/>
          <w:szCs w:val="18"/>
        </w:rPr>
        <w:t xml:space="preserve">Листинг — обобщённый пример обращения к сервису «Электронная подпись» (контракт уточняется на этапе проектирования).</w:t>
      </w:r>
    </w:p>
    <w:p>
      <w:pPr>
        <w:pStyle w:val="Heading4"/>
      </w:pPr>
      <w:r>
        <w:t xml:space="preserve">Публикуемые и потребляемые события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Событие</w:t>
            </w:r>
          </w:p>
        </w:tc>
        <w:tc>
          <w:tcPr>
            <w:tcW w:type="dxa" w:w="1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Направление</w:t>
            </w:r>
          </w:p>
        </w:tc>
        <w:tc>
          <w:tcPr>
            <w:tcW w:type="dxa" w:w="4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DocumentSigned</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публикует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 подписан → доступен заявителю.</w:t>
            </w:r>
          </w:p>
        </w:tc>
      </w:tr>
    </w:tbl>
    <w:p>
      <w:pPr>
        <w:pStyle w:val="Heading4"/>
      </w:pPr>
      <w:r>
        <w:t xml:space="preserve">Бизнес-правила и инварианты</w:t>
      </w:r>
    </w:p>
    <w:p>
      <w:pPr>
        <w:pStyle w:val="ListParagraph"/>
        <w:numPr>
          <w:ilvl w:val="0"/>
          <w:numId w:val="2"/>
        </w:numPr>
        <w:spacing w:after="80" w:line="264"/>
      </w:pPr>
      <w:r>
        <w:t xml:space="preserve">закрытые ключи не покидают HSM;</w:t>
      </w:r>
    </w:p>
    <w:p>
      <w:pPr>
        <w:pStyle w:val="ListParagraph"/>
        <w:numPr>
          <w:ilvl w:val="0"/>
          <w:numId w:val="2"/>
        </w:numPr>
        <w:spacing w:after="80" w:line="264"/>
      </w:pPr>
      <w:r>
        <w:t xml:space="preserve">каждая операция подписания журналируется в WORM-аудит;</w:t>
      </w:r>
    </w:p>
    <w:p>
      <w:pPr>
        <w:pStyle w:val="ListParagraph"/>
        <w:numPr>
          <w:ilvl w:val="0"/>
          <w:numId w:val="2"/>
        </w:numPr>
        <w:spacing w:after="80" w:line="264"/>
      </w:pPr>
      <w:r>
        <w:t xml:space="preserve">проверка включает статус сертификата на момент подписания;</w:t>
      </w:r>
    </w:p>
    <w:p>
      <w:pPr>
        <w:pStyle w:val="ListParagraph"/>
        <w:numPr>
          <w:ilvl w:val="0"/>
          <w:numId w:val="2"/>
        </w:numPr>
        <w:spacing w:after="80" w:line="264"/>
      </w:pPr>
      <w:r>
        <w:t xml:space="preserve">юридическая значимость подписи соответствует требованиям законодательства РТ.</w:t>
      </w:r>
    </w:p>
    <w:p>
      <w:pPr>
        <w:pStyle w:val="Heading4"/>
      </w:pPr>
      <w:r>
        <w:t xml:space="preserve">Интеграции</w:t>
      </w:r>
    </w:p>
    <w:p>
      <w:pPr>
        <w:pStyle w:val="ListParagraph"/>
        <w:numPr>
          <w:ilvl w:val="0"/>
          <w:numId w:val="2"/>
        </w:numPr>
        <w:spacing w:after="80" w:line="264"/>
      </w:pPr>
      <w:r>
        <w:t xml:space="preserve">HSM — хранение ключей;</w:t>
      </w:r>
    </w:p>
    <w:p>
      <w:pPr>
        <w:pStyle w:val="ListParagraph"/>
        <w:numPr>
          <w:ilvl w:val="0"/>
          <w:numId w:val="2"/>
        </w:numPr>
        <w:spacing w:after="80" w:line="264"/>
      </w:pPr>
      <w:r>
        <w:t xml:space="preserve">Документы — поток подписания;</w:t>
      </w:r>
    </w:p>
    <w:p>
      <w:pPr>
        <w:pStyle w:val="ListParagraph"/>
        <w:numPr>
          <w:ilvl w:val="0"/>
          <w:numId w:val="2"/>
        </w:numPr>
        <w:spacing w:after="80" w:line="264"/>
      </w:pPr>
      <w:r>
        <w:t xml:space="preserve">Удостоверяющий центр — сертификаты.</w:t>
      </w:r>
    </w:p>
    <w:p>
      <w:pPr>
        <w:pStyle w:val="Heading4"/>
      </w:pPr>
      <w:r>
        <w:t xml:space="preserve">Нефункциональные требования к сервису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Показатель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подписания (P95)</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1 с</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Защита ключей</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HSM, неэкспортируемость</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Аудит</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100 % операций</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99,95 %</w:t>
            </w:r>
          </w:p>
        </w:tc>
      </w:tr>
    </w:tbl>
    <w:p>
      <w:pPr>
        <w:pStyle w:val="Heading4"/>
      </w:pPr>
      <w:r>
        <w:t xml:space="preserve">Типовые ошибки и их обработка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Код / ситуация</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Обработка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409 Cert Revoked</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Сертификат отозван — подпись не выполняется.</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422 Invalid Document</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 повреждён — отказ.</w:t>
            </w:r>
          </w:p>
        </w:tc>
      </w:tr>
    </w:tbl>
    <w:p>
      <w:pPr>
        <w:pStyle w:val="Heading4"/>
      </w:pPr>
      <w:r>
        <w:t xml:space="preserve">Масштабирование и устойчивость</w:t>
      </w:r>
    </w:p>
    <w:p>
      <w:pPr>
        <w:spacing w:after="120" w:line="276"/>
      </w:pPr>
      <w:r>
        <w:t xml:space="preserve">Сервис «Электронная подпись» спроектирован как stateless и масштабируется горизонтально (HPA). Состояние выносится в БД и кэш; экземпляры взаимозаменяемы. Применяются шаблоны устойчивости (раздел 4А.3): тайм-ауты, повторы для идемпотентных операций, размыкатель к зависимостям, перегородки пулов. Реплики распределяются по зонам и ЦОД (анти-аффинити). При отказе экземпляра запросы перенаправляются на оставшиеся без потери доступности.</w:t>
      </w:r>
    </w:p>
    <w:p>
      <w:pPr>
        <w:pStyle w:val="Heading4"/>
      </w:pPr>
      <w:r>
        <w:t xml:space="preserve">Жизненный цикл данных</w:t>
      </w:r>
    </w:p>
    <w:p>
      <w:pPr>
        <w:spacing w:after="120" w:line="276"/>
      </w:pPr>
      <w:r>
        <w:t xml:space="preserve">Данные сервиса принадлежат ему единолично (раздел 5Б.1) и изменяются только через его API/события. Изменения публикуются как доменные события через transactional outbox (раздел 4А.4.1). Сроки хранения определяются классом данных (раздел 5Б.4); по истечении выполняется архивирование или обезличивание. Изменения схемы — по стратегии expand–contract (раздел 5Б.6) без простоя.</w:t>
      </w:r>
    </w:p>
    <w:p>
      <w:pPr>
        <w:pStyle w:val="Heading4"/>
      </w:pPr>
      <w:r>
        <w:t xml:space="preserve">Зависимости и контроль качества</w:t>
      </w:r>
    </w:p>
    <w:p>
      <w:pPr>
        <w:spacing w:after="120" w:line="276"/>
      </w:pPr>
      <w:r>
        <w:t xml:space="preserve">Сервис взаимодействует со смежными компонентами только через опубликованные контракты; совместимость проверяется контрактными тестами (Pact, раздел 20А.3). Каждый внешний вызов защищён шаблонами устойчивости (тайм-аут, повтор, размыкатель). Сервис экспортирует стандартный набор метрик (задержка, трафик, ошибки, насыщенность — раздел 14А.2) и трассируется сквозным Correlation ID. Готовность к выпуску проверяется по чек-листу (Приложение К.1).</w:t>
      </w:r>
    </w:p>
    <w:p>
      <w:pPr>
        <w:pStyle w:val="Heading2"/>
      </w:pPr>
      <w:r>
        <w:t xml:space="preserve">4Б.10. Сервис «Аудит» (audit-service)</w:t>
      </w:r>
    </w:p>
    <w:p>
      <w:pPr>
        <w:spacing w:after="120" w:line="276"/>
      </w:pPr>
      <w:r>
        <w:t xml:space="preserve">Сервис ведёт неизменяемый (WORM) журнал значимых действий пользователей и системы для целей безопасности, расследования инцидентов и подтверждения юридической значимости операций. Журнал защищён от изменения и удаления.</w:t>
      </w:r>
    </w:p>
    <w:p>
      <w:pPr>
        <w:pStyle w:val="Heading4"/>
      </w:pPr>
      <w:r>
        <w:t xml:space="preserve">Зона ответственности</w:t>
      </w:r>
    </w:p>
    <w:p>
      <w:pPr>
        <w:pStyle w:val="ListParagraph"/>
        <w:numPr>
          <w:ilvl w:val="0"/>
          <w:numId w:val="2"/>
        </w:numPr>
        <w:spacing w:after="80" w:line="264"/>
      </w:pPr>
      <w:r>
        <w:t xml:space="preserve">приём и неизменяемое хранение событий аудита от всех сервисов;</w:t>
      </w:r>
    </w:p>
    <w:p>
      <w:pPr>
        <w:pStyle w:val="ListParagraph"/>
        <w:numPr>
          <w:ilvl w:val="0"/>
          <w:numId w:val="2"/>
        </w:numPr>
        <w:spacing w:after="80" w:line="264"/>
      </w:pPr>
      <w:r>
        <w:t xml:space="preserve">обеспечение защиты от модификации (WORM, цепочки контрольных сумм);</w:t>
      </w:r>
    </w:p>
    <w:p>
      <w:pPr>
        <w:pStyle w:val="ListParagraph"/>
        <w:numPr>
          <w:ilvl w:val="0"/>
          <w:numId w:val="2"/>
        </w:numPr>
        <w:spacing w:after="80" w:line="264"/>
      </w:pPr>
      <w:r>
        <w:t xml:space="preserve">предоставление поиска по журналу для уполномоченных лиц;</w:t>
      </w:r>
    </w:p>
    <w:p>
      <w:pPr>
        <w:pStyle w:val="ListParagraph"/>
        <w:numPr>
          <w:ilvl w:val="0"/>
          <w:numId w:val="2"/>
        </w:numPr>
        <w:spacing w:after="80" w:line="264"/>
      </w:pPr>
      <w:r>
        <w:t xml:space="preserve">хранение в течение установленного срока и архивирование.</w:t>
      </w:r>
    </w:p>
    <w:p>
      <w:pPr>
        <w:pStyle w:val="Heading4"/>
      </w:pPr>
      <w:r>
        <w:t xml:space="preserve">Основные сущности данных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Сущность</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 и ключевые атрибуты</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Запись аудита (AuditRecord)</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Субъект, действие, объект, результат, метка времени, корреляция, контрольная сумма.</w:t>
            </w:r>
          </w:p>
        </w:tc>
      </w:tr>
    </w:tbl>
    <w:p>
      <w:pPr>
        <w:pStyle w:val="Heading4"/>
      </w:pPr>
      <w:r>
        <w:t xml:space="preserve">Основные операции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/api/v1/audit</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Поиск записей (для уполномоченных ролей).</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GET /api/v1/audit</w:t>
            </w:r>
          </w:p>
          <w:p>
            <w:pPr>
              <w:spacing w:after="0" w:line="240"/>
            </w:pPr>
            <w:r>
              <w:rPr>
                <w:rFonts w:ascii="Courier New" w:cs="Courier New" w:eastAsia="Courier New" w:hAnsi="Courier New"/>
                <w:color w:val="24292E"/>
                <w:sz w:val="17"/>
                <w:szCs w:val="17"/>
              </w:rPr>
              <w:t xml:space="preserve">Authorization: Bearer &lt;token&gt;</w:t>
            </w:r>
          </w:p>
          <w:p>
            <w:pPr>
              <w:spacing w:after="0" w:line="240"/>
            </w:pPr>
            <w:r>
              <w:rPr>
                <w:rFonts w:ascii="Courier New" w:cs="Courier New" w:eastAsia="Courier New" w:hAnsi="Courier New"/>
                <w:color w:val="24292E"/>
                <w:sz w:val="17"/>
                <w:szCs w:val="17"/>
              </w:rPr>
              <w:t xml:space="preserve">X-Correlation-Id: &lt;uuid&gt;</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200 OK</w:t>
            </w:r>
          </w:p>
          <w:p>
            <w:pPr>
              <w:spacing w:after="0" w:line="240"/>
            </w:pPr>
            <w:r>
              <w:rPr>
                <w:rFonts w:ascii="Courier New" w:cs="Courier New" w:eastAsia="Courier New" w:hAnsi="Courier New"/>
                <w:color w:val="24292E"/>
                <w:sz w:val="17"/>
                <w:szCs w:val="17"/>
              </w:rPr>
              <w:t xml:space="preserve">Content-Type: application/json</w:t>
            </w:r>
          </w:p>
          <w:p>
            <w:pPr>
              <w:spacing w:after="0" w:line="240"/>
            </w:pPr>
            <w:r>
              <w:rPr>
                <w:rFonts w:ascii="Courier New" w:cs="Courier New" w:eastAsia="Courier New" w:hAnsi="Courier New"/>
                <w:color w:val="24292E"/>
                <w:sz w:val="17"/>
                <w:szCs w:val="17"/>
              </w:rPr>
              <w:t xml:space="preserve">{ /* представление ресурса согласно контракту OpenAPI */ }</w:t>
            </w:r>
          </w:p>
        </w:tc>
      </w:tr>
    </w:tbl>
    <w:p>
      <w:pPr>
        <w:spacing w:after="160" w:before="60" w:line="240"/>
      </w:pPr>
      <w:r>
        <w:rPr>
          <w:i/>
          <w:iCs/>
          <w:color w:val="5A6B7B"/>
          <w:sz w:val="18"/>
          <w:szCs w:val="18"/>
        </w:rPr>
        <w:t xml:space="preserve">Листинг — обобщённый пример обращения к сервису «Аудит» (контракт уточняется на этапе проектирования).</w:t>
      </w:r>
    </w:p>
    <w:p>
      <w:pPr>
        <w:pStyle w:val="Heading4"/>
      </w:pPr>
      <w:r>
        <w:t xml:space="preserve">Публикуемые и потребляемые события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Событие</w:t>
            </w:r>
          </w:p>
        </w:tc>
        <w:tc>
          <w:tcPr>
            <w:tcW w:type="dxa" w:w="1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Направление</w:t>
            </w:r>
          </w:p>
        </w:tc>
        <w:tc>
          <w:tcPr>
            <w:tcW w:type="dxa" w:w="4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t>
            </w:r>
          </w:p>
        </w:tc>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потребляет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Подписка на значимые события всех доменов.</w:t>
            </w:r>
          </w:p>
        </w:tc>
      </w:tr>
    </w:tbl>
    <w:p>
      <w:pPr>
        <w:pStyle w:val="Heading4"/>
      </w:pPr>
      <w:r>
        <w:t xml:space="preserve">Бизнес-правила и инварианты</w:t>
      </w:r>
    </w:p>
    <w:p>
      <w:pPr>
        <w:pStyle w:val="ListParagraph"/>
        <w:numPr>
          <w:ilvl w:val="0"/>
          <w:numId w:val="2"/>
        </w:numPr>
        <w:spacing w:after="80" w:line="264"/>
      </w:pPr>
      <w:r>
        <w:t xml:space="preserve">записи аудита неизменяемы и не удаляются до истечения срока хранения;</w:t>
      </w:r>
    </w:p>
    <w:p>
      <w:pPr>
        <w:pStyle w:val="ListParagraph"/>
        <w:numPr>
          <w:ilvl w:val="0"/>
          <w:numId w:val="2"/>
        </w:numPr>
        <w:spacing w:after="80" w:line="264"/>
      </w:pPr>
      <w:r>
        <w:t xml:space="preserve">каждая запись связана цепочкой контрольных сумм с предыдущей (целостность);</w:t>
      </w:r>
    </w:p>
    <w:p>
      <w:pPr>
        <w:pStyle w:val="ListParagraph"/>
        <w:numPr>
          <w:ilvl w:val="0"/>
          <w:numId w:val="2"/>
        </w:numPr>
        <w:spacing w:after="80" w:line="264"/>
      </w:pPr>
      <w:r>
        <w:t xml:space="preserve">доступ к аудиту строго ограничен и сам журналируется;</w:t>
      </w:r>
    </w:p>
    <w:p>
      <w:pPr>
        <w:pStyle w:val="ListParagraph"/>
        <w:numPr>
          <w:ilvl w:val="0"/>
          <w:numId w:val="2"/>
        </w:numPr>
        <w:spacing w:after="80" w:line="264"/>
      </w:pPr>
      <w:r>
        <w:t xml:space="preserve">хранение в режиме WORM в отдельном защищённом хранилище.</w:t>
      </w:r>
    </w:p>
    <w:p>
      <w:pPr>
        <w:pStyle w:val="Heading4"/>
      </w:pPr>
      <w:r>
        <w:t xml:space="preserve">Интеграции</w:t>
      </w:r>
    </w:p>
    <w:p>
      <w:pPr>
        <w:pStyle w:val="ListParagraph"/>
        <w:numPr>
          <w:ilvl w:val="0"/>
          <w:numId w:val="2"/>
        </w:numPr>
        <w:spacing w:after="80" w:line="264"/>
      </w:pPr>
      <w:r>
        <w:t xml:space="preserve">Все сервисы — поставщики событий;</w:t>
      </w:r>
    </w:p>
    <w:p>
      <w:pPr>
        <w:pStyle w:val="ListParagraph"/>
        <w:numPr>
          <w:ilvl w:val="0"/>
          <w:numId w:val="2"/>
        </w:numPr>
        <w:spacing w:after="80" w:line="264"/>
      </w:pPr>
      <w:r>
        <w:t xml:space="preserve">SIEM/SOC — корреляция событий безопасности.</w:t>
      </w:r>
    </w:p>
    <w:p>
      <w:pPr>
        <w:pStyle w:val="Heading4"/>
      </w:pPr>
      <w:r>
        <w:t xml:space="preserve">Нефункциональные требования к сервису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Показатель</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Полнота</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100 % значимых действий</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Неизменяемость</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WORM + контрольные суммы</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Срок хранения</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регламенту (годы)</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 записи</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99,95 %</w:t>
            </w:r>
          </w:p>
        </w:tc>
      </w:tr>
    </w:tbl>
    <w:p>
      <w:pPr>
        <w:pStyle w:val="Heading4"/>
      </w:pPr>
      <w:r>
        <w:t xml:space="preserve">Типовые ошибки и их обработка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Код / ситуация</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Обработка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Write Failure</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Сбой записи аудита трактуется как инцидент безопасности.</w:t>
            </w:r>
          </w:p>
        </w:tc>
      </w:tr>
    </w:tbl>
    <w:p>
      <w:pPr>
        <w:pStyle w:val="Heading4"/>
      </w:pPr>
      <w:r>
        <w:t xml:space="preserve">Масштабирование и устойчивость</w:t>
      </w:r>
    </w:p>
    <w:p>
      <w:pPr>
        <w:spacing w:after="120" w:line="276"/>
      </w:pPr>
      <w:r>
        <w:t xml:space="preserve">Сервис «Аудит» спроектирован как stateless и масштабируется горизонтально (HPA). Состояние выносится в БД и кэш; экземпляры взаимозаменяемы. Применяются шаблоны устойчивости (раздел 4А.3): тайм-ауты, повторы для идемпотентных операций, размыкатель к зависимостям, перегородки пулов. Реплики распределяются по зонам и ЦОД (анти-аффинити). При отказе экземпляра запросы перенаправляются на оставшиеся без потери доступности.</w:t>
      </w:r>
    </w:p>
    <w:p>
      <w:pPr>
        <w:pStyle w:val="Heading4"/>
      </w:pPr>
      <w:r>
        <w:t xml:space="preserve">Жизненный цикл данных</w:t>
      </w:r>
    </w:p>
    <w:p>
      <w:pPr>
        <w:spacing w:after="120" w:line="276"/>
      </w:pPr>
      <w:r>
        <w:t xml:space="preserve">Данные сервиса принадлежат ему единолично (раздел 5Б.1) и изменяются только через его API/события. Изменения публикуются как доменные события через transactional outbox (раздел 4А.4.1). Сроки хранения определяются классом данных (раздел 5Б.4); по истечении выполняется архивирование или обезличивание. Изменения схемы — по стратегии expand–contract (раздел 5Б.6) без простоя.</w:t>
      </w:r>
    </w:p>
    <w:p>
      <w:pPr>
        <w:pStyle w:val="Heading4"/>
      </w:pPr>
      <w:r>
        <w:t xml:space="preserve">Зависимости и контроль качества</w:t>
      </w:r>
    </w:p>
    <w:p>
      <w:pPr>
        <w:spacing w:after="120" w:line="276"/>
      </w:pPr>
      <w:r>
        <w:t xml:space="preserve">Сервис взаимодействует со смежными компонентами только через опубликованные контракты; совместимость проверяется контрактными тестами (Pact, раздел 20А.3). Каждый внешний вызов защищён шаблонами устойчивости (тайм-аут, повтор, размыкатель). Сервис экспортирует стандартный набор метрик (задержка, трафик, ошибки, насыщенность — раздел 14А.2) и трассируется сквозным Correlation ID. Готовность к выпуску проверяется по чек-листу (Приложение К.1).</w:t>
      </w:r>
    </w:p>
    <w:p>
      <w:pPr>
        <w:pStyle w:val="Heading1"/>
      </w:pPr>
      <w:r>
        <w:t xml:space="preserve">5. Технологический стек</w:t>
      </w:r>
    </w:p>
    <w:p>
      <w:pPr>
        <w:pStyle w:val="Heading2"/>
      </w:pPr>
      <w:r>
        <w:t xml:space="preserve">5.1. Критерий лицензионной устойчивости</w:t>
      </w:r>
    </w:p>
    <w:p>
      <w:pPr>
        <w:spacing w:after="120" w:line="276"/>
      </w:pPr>
      <w:r>
        <w:t xml:space="preserve">Все компоненты ядра Системы базируются на свободном программном обеспечении (open-source). Использование коммерческих продуктов допускается только в обоснованных случаях, когда это критично для надёжности и сопровождения, с выделением соответствующего бюджета. На момент составления ТЗ к таким обоснованным исключениям отнесена коммерческая сборка PostgreSQL с круглосуточной поддержкой. BPM-движок используется в open-source-варианте (Camunda 7 / альтернативное совместимое решение), без коммерческой лицензии.</w:t>
      </w:r>
    </w:p>
    <w:p>
      <w:pPr>
        <w:spacing w:after="120" w:line="276"/>
      </w:pPr>
      <w:r>
        <w:t xml:space="preserve">Опора на свободное ПО снижает зависимость от единственного поставщика, обеспечивает технологический суверенитет и облегчает подбор кадров за счёт распространённости технологий.</w:t>
      </w:r>
    </w:p>
    <w:p>
      <w:pPr>
        <w:pStyle w:val="Heading2"/>
      </w:pPr>
      <w:r>
        <w:t xml:space="preserve">5.2. Прикладной уровень</w:t>
      </w:r>
    </w:p>
    <w:p>
      <w:pPr>
        <w:spacing w:after="120" w:line="276"/>
      </w:pPr>
      <w:r>
        <w:t xml:space="preserve">Состав технологий прикладного уровня и обоснование выбора: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Слой</w:t>
            </w:r>
          </w:p>
        </w:tc>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Технология</w:t>
            </w:r>
          </w:p>
        </w:tc>
        <w:tc>
          <w:tcPr>
            <w:tcW w:type="dxa" w:w="3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Обоснование</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Backend</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Java (OpenJDK) + Spring Boot; Kotlin</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Крупнейший рынок специалистов, зрелая экосистема.</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BFF (web)</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Java / Spring WebFlux</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Реактивная агрегация данных для веб-портала.</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BFF (mobile)</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Java / Spring Boot</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Агрегация данных для мобильных приложений.</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BFF (АРМ)</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Java / Spring Boot</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Агрегация под рабочее место специалиста (АРМ).</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BFF (админ)</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Java / Spring Boot</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Агрегация под административную панель (Low-Code).</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Frontend</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TypeScript + React</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Отраслевой стандарт для веб-интерфейсов.</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SSR (рендеринг)</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Next.js</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Серверный рендеринг для SEO и скорости загрузки.</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Мобильные приложения</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Kotlin / Swift / KMP</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Нативное качество и переиспользование кода.</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Документация API</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Swagger UI + Redoc</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Developer Portal для внешних разработчиков.</w:t>
            </w:r>
          </w:p>
        </w:tc>
      </w:tr>
    </w:tbl>
    <w:p>
      <w:pPr>
        <w:pStyle w:val="Heading2"/>
      </w:pPr>
      <w:r>
        <w:t xml:space="preserve">5.3. Данные, инфраструктура и платформа</w:t>
      </w:r>
    </w:p>
    <w:p>
      <w:pPr>
        <w:spacing w:after="120" w:line="276"/>
      </w:pPr>
      <w:r>
        <w:t xml:space="preserve">Состав технологий уровней данных, инфраструктуры и платформенных сервисов с указанием лицензии или статуса: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960"/>
      </w:tblGrid>
      <w:tr>
        <w:trPr>
          <w:tblHeader/>
        </w:trPr>
        <w:tc>
          <w:tcPr>
            <w:tcW w:type="dxa" w:w="2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c>
          <w:tcPr>
            <w:tcW w:type="dxa" w:w="3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Технология</w:t>
            </w:r>
          </w:p>
        </w:tc>
        <w:tc>
          <w:tcPr>
            <w:tcW w:type="dxa" w:w="2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Лицензия / статус</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Ingress Controller</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Kong Ingress Controller</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Apache 2.0; TLS, L7</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API Gateway</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Kong</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Apache 2.0; auth, rate limit</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Реляционная СУБД</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PostgreSQL (коммерческая)</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Коммерческая, 24/7</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Бэкап PostgreSQL</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pgBackRest</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Open-source; PITR → S3/Ceph</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Кэш и блокировки</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Redis 8+ (вспом. lock)</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Кэш, сессии, краткоживущие технические блокировки</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Событийная шина</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Apache Kafka</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Apache 2.0</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Поиск и логи (наблюдаемость)</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OpenSearch</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Apache 2.0; логи и операционный поиск, НЕ аналитические витрины</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Сбор логов</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Fluentd / Vector</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OpenSearch</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Аналитическая СУБД (OLAP)</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ClickHouse</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Open-source, колоночная; витрины и отчётность (перспектива, раздел 5Е)</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 / Workflow</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Camunda 7 / альт. open-source</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Open-source; self-hosted</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IAM</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Keycloak</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Apache 2.0; SSO, eID</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Реестр схем</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Apicurio Registry</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Apache 2.0</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Реестр образов</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Harbor</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Apache 2.0; сканирование</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GitOps</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ArgoCD</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Apache 2.0; деплой в K8s</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Feature flags</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Unleash</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Apache 2.0; canary</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Контейнеры</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containerd / Podman</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Свободные</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Оркестрация</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Kubernetes</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CNCF</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Объектное хранилище</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S3-совместимое (Ceph)</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S3 API</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IaC</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OpenTofu</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MPL 2.0</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Секреты</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OpenBao</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MPL 2.0</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Миграции БД</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Liquibase / Flyway</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Версионированные</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Планировщик задач</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Spring Scheduler + ShedLock</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Периодические задачи</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Генерация PDF</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Gotenberg</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MIT; контейнерный</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Push-уведомления</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FCM (Android) + APNs (iOS)</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SDK Google / Apple</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E-mail</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SMTP relay</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трафику</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SMS</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Агрегатор (Infobip / Tcell API)</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трафику</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Realtime</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WebSocket / SSE</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Обновления в ЛК</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CI/CD</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GitLab CI / GitHub Actions</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Конвейеры сборки и поставки</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Наблюдаемость</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Prometheus, Grafana, OpenTelemetry, Jaeger</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CNCF</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Тестирование</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JUnit 5, Testcontainers, Pact, k6</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Все уровни</w:t>
            </w:r>
          </w:p>
        </w:tc>
      </w:tr>
    </w:tbl>
    <w:p>
      <w:pPr>
        <w:pStyle w:val="Heading2"/>
      </w:pPr>
      <w:r>
        <w:t xml:space="preserve">5.4. Требования к СУБД</w:t>
      </w:r>
    </w:p>
    <w:p>
      <w:pPr>
        <w:spacing w:after="120" w:line="276"/>
      </w:pPr>
      <w:r>
        <w:t xml:space="preserve">В качестве основной реляционной СУБД применяется коммерческая сборка PostgreSQL (EDB, Crunchy Data или Postgres Pro) с круглосуточной технической поддержкой. К СУБД предъявляются следующие требования:</w:t>
      </w:r>
    </w:p>
    <w:p>
      <w:pPr>
        <w:pStyle w:val="ListParagraph"/>
        <w:numPr>
          <w:ilvl w:val="0"/>
          <w:numId w:val="2"/>
        </w:numPr>
        <w:spacing w:after="80" w:line="264"/>
      </w:pPr>
      <w:r>
        <w:rPr>
          <w:b/>
          <w:bCs/>
        </w:rPr>
        <w:t xml:space="preserve">Поддержка и SLA. </w:t>
      </w:r>
      <w:r>
        <w:t xml:space="preserve">Время реакции поставщика на критический инцидент ≤ 2 часов; поддержка Primary/Standby, контролируемого failover, PITR и георезервирования без multi-master.</w:t>
      </w:r>
    </w:p>
    <w:p>
      <w:pPr>
        <w:pStyle w:val="ListParagraph"/>
        <w:numPr>
          <w:ilvl w:val="0"/>
          <w:numId w:val="2"/>
        </w:numPr>
        <w:spacing w:after="80" w:line="264"/>
      </w:pPr>
      <w:r>
        <w:rPr>
          <w:b/>
          <w:bCs/>
        </w:rPr>
        <w:t xml:space="preserve">Резервное копирование. </w:t>
      </w:r>
      <w:r>
        <w:t xml:space="preserve">pgBackRest: архивация WAL → S3/Ceph, восстановление на момент времени (PITR), инкрементальные бэкапы.</w:t>
      </w:r>
    </w:p>
    <w:p>
      <w:pPr>
        <w:pStyle w:val="ListParagraph"/>
        <w:numPr>
          <w:ilvl w:val="0"/>
          <w:numId w:val="2"/>
        </w:numPr>
        <w:spacing w:after="80" w:line="264"/>
      </w:pPr>
      <w:r>
        <w:rPr>
          <w:b/>
          <w:bCs/>
        </w:rPr>
        <w:t xml:space="preserve">Защита данных на уровне СУБД. </w:t>
      </w:r>
      <w:r>
        <w:t xml:space="preserve">Row-level security, журналирование доступа (audit logging), шифрование отдельных столбцов с чувствительными данными.</w:t>
      </w:r>
    </w:p>
    <w:p>
      <w:pPr>
        <w:pStyle w:val="ListParagraph"/>
        <w:numPr>
          <w:ilvl w:val="0"/>
          <w:numId w:val="2"/>
        </w:numPr>
        <w:spacing w:after="80" w:line="264"/>
      </w:pPr>
      <w:r>
        <w:rPr>
          <w:b/>
          <w:bCs/>
        </w:rPr>
        <w:t xml:space="preserve">Эксплуатация в Kubernetes. </w:t>
      </w:r>
      <w:r>
        <w:t xml:space="preserve">Управление через операторы (CloudNativePG, Crunchy или EDB).</w:t>
      </w:r>
    </w:p>
    <w:p>
      <w:pPr>
        <w:pStyle w:val="ListParagraph"/>
        <w:numPr>
          <w:ilvl w:val="0"/>
          <w:numId w:val="2"/>
        </w:numPr>
        <w:spacing w:after="80" w:line="264"/>
      </w:pPr>
      <w:r>
        <w:rPr>
          <w:b/>
          <w:bCs/>
        </w:rPr>
        <w:t xml:space="preserve">Изоляция данных. </w:t>
      </w:r>
      <w:r>
        <w:t xml:space="preserve">Database-per-Service — отдельная схема или экземпляр БД на каждый микросервис.</w:t>
      </w:r>
    </w:p>
    <w:p>
      <w:pPr>
        <w:pStyle w:val="Heading1"/>
      </w:pPr>
      <w:r>
        <w:t xml:space="preserve">5А. Платформенные возможности: детальная проработка</w:t>
      </w:r>
    </w:p>
    <w:p>
      <w:pPr>
        <w:spacing w:after="120" w:line="276"/>
      </w:pPr>
      <w:r>
        <w:t xml:space="preserve">Платформенные возможности — это общие переиспользуемые сервисы и подсистемы, на которые опираются все доменные сервисы и все услуги. Их зрелость напрямую определяет скорость создания новых услуг (целевой показатель ≤ 10 дней). Настоящий раздел детализирует ключевые платформенные возможности.</w:t>
      </w:r>
    </w:p>
    <w:p>
      <w:pPr>
        <w:pStyle w:val="Heading2"/>
      </w:pPr>
      <w:r>
        <w:t xml:space="preserve">5А.1. Идентификация и управление доступом (IAM)</w:t>
      </w:r>
    </w:p>
    <w:p>
      <w:pPr>
        <w:spacing w:after="120" w:line="276"/>
      </w:pPr>
      <w:r>
        <w:t xml:space="preserve">Подсистема IAM на базе Keycloak обеспечивает единый вход (SSO), федерацию с системой eID, многофакторную аутентификацию и выдачу токенов доступа. Применяется протокол OpenID Connect (поверх OAuth 2.0); токены — JWT с ограниченным временем жизни и механизмом обновления (refresh).</w:t>
      </w:r>
    </w:p>
    <w:p>
      <w:pPr>
        <w:pStyle w:val="Heading4"/>
      </w:pPr>
      <w:r>
        <w:t xml:space="preserve">5А.1.1. Потоки аутентификации</w:t>
      </w:r>
    </w:p>
    <w:p>
      <w:pPr>
        <w:pStyle w:val="ListParagraph"/>
        <w:numPr>
          <w:ilvl w:val="0"/>
          <w:numId w:val="2"/>
        </w:numPr>
        <w:spacing w:after="80" w:line="264"/>
      </w:pPr>
      <w:r>
        <w:rPr>
          <w:b/>
          <w:bCs/>
        </w:rPr>
        <w:t xml:space="preserve">Authorization Code + PKCE </w:t>
      </w:r>
      <w:r>
        <w:t xml:space="preserve">— для веб-портала и мобильных приложений (публичные клиенты); защита от перехвата кода.</w:t>
      </w:r>
    </w:p>
    <w:p>
      <w:pPr>
        <w:pStyle w:val="ListParagraph"/>
        <w:numPr>
          <w:ilvl w:val="0"/>
          <w:numId w:val="2"/>
        </w:numPr>
        <w:spacing w:after="80" w:line="264"/>
      </w:pPr>
      <w:r>
        <w:rPr>
          <w:b/>
          <w:bCs/>
        </w:rPr>
        <w:t xml:space="preserve">Client Credentials </w:t>
      </w:r>
      <w:r>
        <w:t xml:space="preserve">— для межсервисного взаимодействия и доступа внешних систем по API.</w:t>
      </w:r>
    </w:p>
    <w:p>
      <w:pPr>
        <w:pStyle w:val="ListParagraph"/>
        <w:numPr>
          <w:ilvl w:val="0"/>
          <w:numId w:val="2"/>
        </w:numPr>
        <w:spacing w:after="80" w:line="264"/>
      </w:pPr>
      <w:r>
        <w:rPr>
          <w:b/>
          <w:bCs/>
        </w:rPr>
        <w:t xml:space="preserve">Token Exchange </w:t>
      </w:r>
      <w:r>
        <w:t xml:space="preserve">— для делегирования полномочий между сервисами в цепочке вызова.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Поток входа гражданина (Authorization Code + PKCE):</w:t>
            </w:r>
          </w:p>
          <w:p>
            <w:pPr>
              <w:spacing w:after="0" w:line="240"/>
            </w:pPr>
            <w:r>
              <w:rPr>
                <w:rFonts w:ascii="Courier New" w:cs="Courier New" w:eastAsia="Courier New" w:hAnsi="Courier New"/>
                <w:color w:val="24292E"/>
                <w:sz w:val="17"/>
                <w:szCs w:val="17"/>
              </w:rPr>
              <w:t xml:space="preserve">1. Клиент → IAM: /authorize?response_type=code&amp;code_challenge=...&amp;...</w:t>
            </w:r>
          </w:p>
          <w:p>
            <w:pPr>
              <w:spacing w:after="0" w:line="240"/>
            </w:pPr>
            <w:r>
              <w:rPr>
                <w:rFonts w:ascii="Courier New" w:cs="Courier New" w:eastAsia="Courier New" w:hAnsi="Courier New"/>
                <w:color w:val="24292E"/>
                <w:sz w:val="17"/>
                <w:szCs w:val="17"/>
              </w:rPr>
              <w:t xml:space="preserve">2. IAM: аутентификация (eID), при необходимости — МФА</w:t>
            </w:r>
          </w:p>
          <w:p>
            <w:pPr>
              <w:spacing w:after="0" w:line="240"/>
            </w:pPr>
            <w:r>
              <w:rPr>
                <w:rFonts w:ascii="Courier New" w:cs="Courier New" w:eastAsia="Courier New" w:hAnsi="Courier New"/>
                <w:color w:val="24292E"/>
                <w:sz w:val="17"/>
                <w:szCs w:val="17"/>
              </w:rPr>
              <w:t xml:space="preserve">3. IAM → Клиент: redirect c authorization code</w:t>
            </w:r>
          </w:p>
          <w:p>
            <w:pPr>
              <w:spacing w:after="0" w:line="240"/>
            </w:pPr>
            <w:r>
              <w:rPr>
                <w:rFonts w:ascii="Courier New" w:cs="Courier New" w:eastAsia="Courier New" w:hAnsi="Courier New"/>
                <w:color w:val="24292E"/>
                <w:sz w:val="17"/>
                <w:szCs w:val="17"/>
              </w:rPr>
              <w:t xml:space="preserve">4. Клиент → IAM: /token (code + code_verifier)</w:t>
            </w:r>
          </w:p>
          <w:p>
            <w:pPr>
              <w:spacing w:after="0" w:line="240"/>
            </w:pPr>
            <w:r>
              <w:rPr>
                <w:rFonts w:ascii="Courier New" w:cs="Courier New" w:eastAsia="Courier New" w:hAnsi="Courier New"/>
                <w:color w:val="24292E"/>
                <w:sz w:val="17"/>
                <w:szCs w:val="17"/>
              </w:rPr>
              <w:t xml:space="preserve">5. IAM → Клиент: access_token (JWT, TTL 15 мин) + refresh_token (TTL 8 ч)</w:t>
            </w:r>
          </w:p>
          <w:p>
            <w:pPr>
              <w:spacing w:after="0" w:line="240"/>
            </w:pPr>
            <w:r>
              <w:rPr>
                <w:rFonts w:ascii="Courier New" w:cs="Courier New" w:eastAsia="Courier New" w:hAnsi="Courier New"/>
                <w:color w:val="24292E"/>
                <w:sz w:val="17"/>
                <w:szCs w:val="17"/>
              </w:rPr>
              <w:t xml:space="preserve">6. Клиент → API: Authorization: Bearer &lt;access_token&gt;</w:t>
            </w:r>
          </w:p>
          <w:p>
            <w:pPr>
              <w:spacing w:after="0" w:line="240"/>
            </w:pPr>
            <w:r>
              <w:rPr>
                <w:rFonts w:ascii="Courier New" w:cs="Courier New" w:eastAsia="Courier New" w:hAnsi="Courier New"/>
                <w:color w:val="24292E"/>
                <w:sz w:val="17"/>
                <w:szCs w:val="17"/>
              </w:rPr>
              <w:t xml:space="preserve">7. API: проверка подписи JWT, claims, аудитории, срока</w:t>
            </w:r>
          </w:p>
        </w:tc>
      </w:tr>
    </w:tbl>
    <w:p>
      <w:pPr>
        <w:spacing w:after="160" w:before="60" w:line="240"/>
      </w:pPr>
      <w:r>
        <w:rPr>
          <w:i/>
          <w:iCs/>
          <w:color w:val="5A6B7B"/>
          <w:sz w:val="18"/>
          <w:szCs w:val="18"/>
        </w:rPr>
        <w:t xml:space="preserve">Листинг 5А.1 — Поток аутентификации гражданина.</w:t>
      </w:r>
    </w:p>
    <w:p>
      <w:pPr>
        <w:pStyle w:val="Heading4"/>
      </w:pPr>
      <w:r>
        <w:t xml:space="preserve">5А.1.2. Структура токена и проверка</w:t>
      </w:r>
    </w:p>
    <w:p>
      <w:pPr>
        <w:spacing w:after="120" w:line="276"/>
      </w:pPr>
      <w:r>
        <w:t xml:space="preserve">Access-токен (JWT) содержит стандартные и доменные утверждения (claims): идентификатор субъекта, арендатор (ведомство), роли, уровень аутентификации (LoA), срок действия и аудиторию. Каждый сервис проверяет подпись токена по публичному ключу IAM (JWKS), срок действия, аудиторию и необходимые роли/атрибуты. Проверка выполняется библиотекой platform-security единообразно.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w:t>
            </w:r>
          </w:p>
          <w:p>
            <w:pPr>
              <w:spacing w:after="0" w:line="240"/>
            </w:pPr>
            <w:r>
              <w:rPr>
                <w:rFonts w:ascii="Courier New" w:cs="Courier New" w:eastAsia="Courier New" w:hAnsi="Courier New"/>
                <w:color w:val="24292E"/>
                <w:sz w:val="17"/>
                <w:szCs w:val="17"/>
              </w:rPr>
              <w:t xml:space="preserve">  "sub": "cit-77c1...",          // субъект (гражданин)</w:t>
            </w:r>
          </w:p>
          <w:p>
            <w:pPr>
              <w:spacing w:after="0" w:line="240"/>
            </w:pPr>
            <w:r>
              <w:rPr>
                <w:rFonts w:ascii="Courier New" w:cs="Courier New" w:eastAsia="Courier New" w:hAnsi="Courier New"/>
                <w:color w:val="24292E"/>
                <w:sz w:val="17"/>
                <w:szCs w:val="17"/>
              </w:rPr>
              <w:t xml:space="preserve">  "tenant": "moj",               // ведомство-арендатор</w:t>
            </w:r>
          </w:p>
          <w:p>
            <w:pPr>
              <w:spacing w:after="0" w:line="240"/>
            </w:pPr>
            <w:r>
              <w:rPr>
                <w:rFonts w:ascii="Courier New" w:cs="Courier New" w:eastAsia="Courier New" w:hAnsi="Courier New"/>
                <w:color w:val="24292E"/>
                <w:sz w:val="17"/>
                <w:szCs w:val="17"/>
              </w:rPr>
              <w:t xml:space="preserve">  "roles": ["citizen"],          // роли (RBAC)</w:t>
            </w:r>
          </w:p>
          <w:p>
            <w:pPr>
              <w:spacing w:after="0" w:line="240"/>
            </w:pPr>
            <w:r>
              <w:rPr>
                <w:rFonts w:ascii="Courier New" w:cs="Courier New" w:eastAsia="Courier New" w:hAnsi="Courier New"/>
                <w:color w:val="24292E"/>
                <w:sz w:val="17"/>
                <w:szCs w:val="17"/>
              </w:rPr>
              <w:t xml:space="preserve">  "loa": "substantial",          // уровень доверия аутентификации</w:t>
            </w:r>
          </w:p>
          <w:p>
            <w:pPr>
              <w:spacing w:after="0" w:line="240"/>
            </w:pPr>
            <w:r>
              <w:rPr>
                <w:rFonts w:ascii="Courier New" w:cs="Courier New" w:eastAsia="Courier New" w:hAnsi="Courier New"/>
                <w:color w:val="24292E"/>
                <w:sz w:val="17"/>
                <w:szCs w:val="17"/>
              </w:rPr>
              <w:t xml:space="preserve">  "scope": "profile applications",</w:t>
            </w:r>
          </w:p>
          <w:p>
            <w:pPr>
              <w:spacing w:after="0" w:line="240"/>
            </w:pPr>
            <w:r>
              <w:rPr>
                <w:rFonts w:ascii="Courier New" w:cs="Courier New" w:eastAsia="Courier New" w:hAnsi="Courier New"/>
                <w:color w:val="24292E"/>
                <w:sz w:val="17"/>
                <w:szCs w:val="17"/>
              </w:rPr>
              <w:t xml:space="preserve">  "aud": "ekhizmat-api",</w:t>
            </w:r>
          </w:p>
          <w:p>
            <w:pPr>
              <w:spacing w:after="0" w:line="240"/>
            </w:pPr>
            <w:r>
              <w:rPr>
                <w:rFonts w:ascii="Courier New" w:cs="Courier New" w:eastAsia="Courier New" w:hAnsi="Courier New"/>
                <w:color w:val="24292E"/>
                <w:sz w:val="17"/>
                <w:szCs w:val="17"/>
              </w:rPr>
              <w:t xml:space="preserve">  "exp": 1761730500, "iat": 1761729600</w:t>
            </w:r>
          </w:p>
          <w:p>
            <w:pPr>
              <w:spacing w:after="0" w:line="240"/>
            </w:pPr>
            <w:r>
              <w:rPr>
                <w:rFonts w:ascii="Courier New" w:cs="Courier New" w:eastAsia="Courier New" w:hAnsi="Courier New"/>
                <w:color w:val="24292E"/>
                <w:sz w:val="17"/>
                <w:szCs w:val="17"/>
              </w:rPr>
              <w:t xml:space="preserve">}</w:t>
            </w:r>
          </w:p>
        </w:tc>
      </w:tr>
    </w:tbl>
    <w:p>
      <w:pPr>
        <w:spacing w:after="160" w:before="60" w:line="240"/>
      </w:pPr>
      <w:r>
        <w:rPr>
          <w:i/>
          <w:iCs/>
          <w:color w:val="5A6B7B"/>
          <w:sz w:val="18"/>
          <w:szCs w:val="18"/>
        </w:rPr>
        <w:t xml:space="preserve">Листинг 5А.2 — Пример полезной нагрузки access-токена (JWT).</w:t>
      </w:r>
    </w:p>
    <w:p>
      <w:pPr>
        <w:pStyle w:val="Heading4"/>
      </w:pPr>
      <w:r>
        <w:t xml:space="preserve">5А.1.3. Модель доступа RBAC + ABAC</w:t>
      </w:r>
    </w:p>
    <w:p>
      <w:pPr>
        <w:spacing w:after="120" w:line="276"/>
      </w:pPr>
      <w:r>
        <w:t xml:space="preserve">Базовый уровень — управление по ролям (RBAC): гражданин, представитель организации, специалист ведомства, администратор услуг, оператор эксплуатации, аудитор. Тонкая настройка — по атрибутам (ABAC): принадлежность специалиста к ведомству и подразделению, тип услуги, регион, уровень аутентификации. Решение о доступе принимается на основании совокупности роли и атрибутов; правила доступа централизованы и версионируются.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Роль</w:t>
            </w:r>
          </w:p>
        </w:tc>
        <w:tc>
          <w:tcPr>
            <w:tcW w:type="dxa" w:w="348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Базовые права</w:t>
            </w:r>
          </w:p>
        </w:tc>
        <w:tc>
          <w:tcPr>
            <w:tcW w:type="dxa" w:w="348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Ограничивающие атрибуты</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Гражданин</w:t>
            </w:r>
          </w:p>
        </w:tc>
        <w:tc>
          <w:tcPr>
            <w:tcW w:type="dxa" w:w="34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Свои заявления, профиль, документы</w:t>
            </w:r>
          </w:p>
        </w:tc>
        <w:tc>
          <w:tcPr>
            <w:tcW w:type="dxa" w:w="34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Только собственные данные</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Представитель организации</w:t>
            </w:r>
          </w:p>
        </w:tc>
        <w:tc>
          <w:tcPr>
            <w:tcW w:type="dxa" w:w="34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 организации</w:t>
            </w:r>
          </w:p>
        </w:tc>
        <w:tc>
          <w:tcPr>
            <w:tcW w:type="dxa" w:w="34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Подтверждённые полномочия</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Специалист ведомства</w:t>
            </w:r>
          </w:p>
        </w:tc>
        <w:tc>
          <w:tcPr>
            <w:tcW w:type="dxa" w:w="34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Очередь заявлений ведомства</w:t>
            </w:r>
          </w:p>
        </w:tc>
        <w:tc>
          <w:tcPr>
            <w:tcW w:type="dxa" w:w="34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Ведомство, подразделение, тип услуги</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Администратор услуг</w:t>
            </w:r>
          </w:p>
        </w:tc>
        <w:tc>
          <w:tcPr>
            <w:tcW w:type="dxa" w:w="34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Конструкторы Low-Code</w:t>
            </w:r>
          </w:p>
        </w:tc>
        <w:tc>
          <w:tcPr>
            <w:tcW w:type="dxa" w:w="34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Назначенные услуги/ведомство</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Оператор эксплуатации</w:t>
            </w:r>
          </w:p>
        </w:tc>
        <w:tc>
          <w:tcPr>
            <w:tcW w:type="dxa" w:w="34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Мониторинг, развёртывание</w:t>
            </w:r>
          </w:p>
        </w:tc>
        <w:tc>
          <w:tcPr>
            <w:tcW w:type="dxa" w:w="34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Среда, отсутствие доступа к ПДн</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Аудитор</w:t>
            </w:r>
          </w:p>
        </w:tc>
        <w:tc>
          <w:tcPr>
            <w:tcW w:type="dxa" w:w="34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Чтение журнала аудита</w:t>
            </w:r>
          </w:p>
        </w:tc>
        <w:tc>
          <w:tcPr>
            <w:tcW w:type="dxa" w:w="34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Только чтение; доступ журналируется</w:t>
            </w:r>
          </w:p>
        </w:tc>
      </w:tr>
    </w:tbl>
    <w:p>
      <w:pPr>
        <w:spacing w:after="160" w:before="60" w:line="240"/>
      </w:pPr>
      <w:r>
        <w:rPr>
          <w:i/>
          <w:iCs/>
          <w:color w:val="5A6B7B"/>
          <w:sz w:val="18"/>
          <w:szCs w:val="18"/>
        </w:rPr>
        <w:t xml:space="preserve">Таблица 5А.1 — Роли и атрибуты модели доступа.</w:t>
      </w:r>
    </w:p>
    <w:p>
      <w:pPr>
        <w:pStyle w:val="Heading2"/>
      </w:pPr>
      <w:r>
        <w:t xml:space="preserve">5А.2. Автоматизация процессов (BPM: Camunda 7 / альт. open-source)</w:t>
      </w:r>
    </w:p>
    <w:p>
      <w:pPr>
        <w:spacing w:after="120" w:line="276"/>
      </w:pPr>
      <w:r>
        <w:t xml:space="preserve">BPM-движок (Camunda 7 / альтернативное open-source решение) исполняет процессы услуг, описанные в нотации BPMN. Процесс состоит из задач (пользовательских и сервисных), шлюзов (ветвления), событий (в т.ч. таймеров SLA) и подпроцессов. Сервисные задачи реализуются «воркерами» (job workers) — компонентами доменных сервисов, которые забирают задачи определённого типа и выполняют их.</w:t>
      </w:r>
    </w:p>
    <w:p>
      <w:pPr>
        <w:pStyle w:val="Heading4"/>
      </w:pPr>
      <w:r>
        <w:t xml:space="preserve">5А.2.1. Типы элементов процесса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Элемент BPMN</w:t>
            </w:r>
          </w:p>
        </w:tc>
        <w:tc>
          <w:tcPr>
            <w:tcW w:type="dxa" w:w="64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 в услуге</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User Task</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Шаг, требующий действия человека (заявитель или специалист); привязан к форме Form.io.</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Service Task</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Автоматический шаг (вызов сервиса, межведомственный запрос); реализуется воркером.</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Business Rule Task</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Применение правила DMN (расчёт пошлины, проверка условий).</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Exclusive/Parallel Gateway</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Ветвление: исключающее (одна ветвь) или параллельное (несколько ветвей).</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Timer Event</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Контроль SLA: эскалация при превышении срока шага.</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Message/Signal Event</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Реакция на внешнее событие (оплата, ответ ведомства, проактивный триггер).</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Compensation</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Компенсирующее действие при откате (Saga).</w:t>
            </w:r>
          </w:p>
        </w:tc>
      </w:tr>
    </w:tbl>
    <w:p>
      <w:pPr>
        <w:spacing w:after="160" w:before="60" w:line="240"/>
      </w:pPr>
      <w:r>
        <w:rPr>
          <w:i/>
          <w:iCs/>
          <w:color w:val="5A6B7B"/>
          <w:sz w:val="18"/>
          <w:szCs w:val="18"/>
        </w:rPr>
        <w:t xml:space="preserve">Таблица 5А.2 — Элементы BPMN, применяемые в процессах услуг.</w:t>
      </w:r>
    </w:p>
    <w:p>
      <w:pPr>
        <w:pStyle w:val="Heading4"/>
      </w:pPr>
      <w:r>
        <w:t xml:space="preserve">5А.2.2. Контроль сроков (SLA-таймеры) и эскалация</w:t>
      </w:r>
    </w:p>
    <w:p>
      <w:pPr>
        <w:spacing w:after="120" w:line="276"/>
      </w:pPr>
      <w:r>
        <w:t xml:space="preserve">Каждый шаг услуги, выполняемый человеком, снабжается таймером граничного события. При приближении к сроку формируется напоминание исполнителю; при превышении — эскалация руководителю и пометка заявления. Сроки задаются в маршруте услуги (Low-Code) и могут зависеть от типа услуги и приоритета. Нарушения SLA фиксируются в метриках и доступны в бизнес-мониторинге (раздел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Шаг "Рассмотрение специалистом":</w:t>
            </w:r>
          </w:p>
          <w:p>
            <w:pPr>
              <w:spacing w:after="0" w:line="240"/>
            </w:pPr>
            <w:r>
              <w:rPr>
                <w:rFonts w:ascii="Courier New" w:cs="Courier New" w:eastAsia="Courier New" w:hAnsi="Courier New"/>
                <w:color w:val="24292E"/>
                <w:sz w:val="17"/>
                <w:szCs w:val="17"/>
              </w:rPr>
              <w:t xml:space="preserve">  boundary timer 1 (interrupting=false) PT24H  → напоминание исполнителю</w:t>
            </w:r>
          </w:p>
          <w:p>
            <w:pPr>
              <w:spacing w:after="0" w:line="240"/>
            </w:pPr>
            <w:r>
              <w:rPr>
                <w:rFonts w:ascii="Courier New" w:cs="Courier New" w:eastAsia="Courier New" w:hAnsi="Courier New"/>
                <w:color w:val="24292E"/>
                <w:sz w:val="17"/>
                <w:szCs w:val="17"/>
              </w:rPr>
              <w:t xml:space="preserve">  boundary timer 2 (interrupting=false) PT48H  → эскалация руководителю</w:t>
            </w:r>
          </w:p>
          <w:p>
            <w:pPr>
              <w:spacing w:after="0" w:line="240"/>
            </w:pPr>
            <w:r>
              <w:rPr>
                <w:rFonts w:ascii="Courier New" w:cs="Courier New" w:eastAsia="Courier New" w:hAnsi="Courier New"/>
                <w:color w:val="24292E"/>
                <w:sz w:val="17"/>
                <w:szCs w:val="17"/>
              </w:rPr>
              <w:t xml:space="preserve">  boundary timer 3 (interrupting=true)  PT72H  → перевод в "просрочено", алерт</w:t>
            </w:r>
          </w:p>
          <w:p>
            <w:pPr>
              <w:spacing w:after="0" w:line="240"/>
            </w:pPr>
            <w:r>
              <w:rPr>
                <w:rFonts w:ascii="Courier New" w:cs="Courier New" w:eastAsia="Courier New" w:hAnsi="Courier New"/>
                <w:color w:val="24292E"/>
                <w:sz w:val="17"/>
                <w:szCs w:val="17"/>
              </w:rPr>
              <w:t xml:space="preserve">Метрики: sla_breach_total{service, agency, step}</w:t>
            </w:r>
          </w:p>
        </w:tc>
      </w:tr>
    </w:tbl>
    <w:p>
      <w:pPr>
        <w:spacing w:after="160" w:before="60" w:line="240"/>
      </w:pPr>
      <w:r>
        <w:rPr>
          <w:i/>
          <w:iCs/>
          <w:color w:val="5A6B7B"/>
          <w:sz w:val="18"/>
          <w:szCs w:val="18"/>
        </w:rPr>
        <w:t xml:space="preserve">Листинг 5А.3 — Конфигурация SLA-таймеров и эскалаций для шага услуги.</w:t>
      </w:r>
    </w:p>
    <w:p>
      <w:pPr>
        <w:pStyle w:val="Heading2"/>
      </w:pPr>
      <w:r>
        <w:t xml:space="preserve">5А.3. Конструктор форм (Form.io): модель и исполнение</w:t>
      </w:r>
    </w:p>
    <w:p>
      <w:pPr>
        <w:spacing w:after="120" w:line="276"/>
      </w:pPr>
      <w:r>
        <w:t xml:space="preserve">Форма представляет собой версионированную JSON-схему компонентов (поля, группы, таблицы, условные блоки). Схема исполняется фронтендом напрямую: рендеринг полей, применение условной логики и валидации происходят на клиенте, а итоговая проверка дублируется на сервере. Автозаполнение реализуется привязкой полей к источникам данных через межведомственный сервис.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w:t>
            </w:r>
          </w:p>
          <w:p>
            <w:pPr>
              <w:spacing w:after="0" w:line="240"/>
            </w:pPr>
            <w:r>
              <w:rPr>
                <w:rFonts w:ascii="Courier New" w:cs="Courier New" w:eastAsia="Courier New" w:hAnsi="Courier New"/>
                <w:color w:val="24292E"/>
                <w:sz w:val="17"/>
                <w:szCs w:val="17"/>
              </w:rPr>
              <w:t xml:space="preserve">  "key": "birthRegistration", "version": 7,</w:t>
            </w:r>
          </w:p>
          <w:p>
            <w:pPr>
              <w:spacing w:after="0" w:line="240"/>
            </w:pPr>
            <w:r>
              <w:rPr>
                <w:rFonts w:ascii="Courier New" w:cs="Courier New" w:eastAsia="Courier New" w:hAnsi="Courier New"/>
                <w:color w:val="24292E"/>
                <w:sz w:val="17"/>
                <w:szCs w:val="17"/>
              </w:rPr>
              <w:t xml:space="preserve">  "components": [</w:t>
            </w:r>
          </w:p>
          <w:p>
            <w:pPr>
              <w:spacing w:after="0" w:line="240"/>
            </w:pPr>
            <w:r>
              <w:rPr>
                <w:rFonts w:ascii="Courier New" w:cs="Courier New" w:eastAsia="Courier New" w:hAnsi="Courier New"/>
                <w:color w:val="24292E"/>
                <w:sz w:val="17"/>
                <w:szCs w:val="17"/>
              </w:rPr>
              <w:t xml:space="preserve">    { "type": "textfield", "key": "childName", "label": {"tg":"...","ru":"Имя ребёнка"},</w:t>
            </w:r>
          </w:p>
          <w:p>
            <w:pPr>
              <w:spacing w:after="0" w:line="240"/>
            </w:pPr>
            <w:r>
              <w:rPr>
                <w:rFonts w:ascii="Courier New" w:cs="Courier New" w:eastAsia="Courier New" w:hAnsi="Courier New"/>
                <w:color w:val="24292E"/>
                <w:sz w:val="17"/>
                <w:szCs w:val="17"/>
              </w:rPr>
              <w:t xml:space="preserve">      "validate": { "required": true, "maxLength": 100 } },</w:t>
            </w:r>
          </w:p>
          <w:p>
            <w:pPr>
              <w:spacing w:after="0" w:line="240"/>
            </w:pPr>
            <w:r>
              <w:rPr>
                <w:rFonts w:ascii="Courier New" w:cs="Courier New" w:eastAsia="Courier New" w:hAnsi="Courier New"/>
                <w:color w:val="24292E"/>
                <w:sz w:val="17"/>
                <w:szCs w:val="17"/>
              </w:rPr>
              <w:t xml:space="preserve">    { "type": "datetime", "key": "birthDate", "validate": { "required": true } },</w:t>
            </w:r>
          </w:p>
          <w:p>
            <w:pPr>
              <w:spacing w:after="0" w:line="240"/>
            </w:pPr>
            <w:r>
              <w:rPr>
                <w:rFonts w:ascii="Courier New" w:cs="Courier New" w:eastAsia="Courier New" w:hAnsi="Courier New"/>
                <w:color w:val="24292E"/>
                <w:sz w:val="17"/>
                <w:szCs w:val="17"/>
              </w:rPr>
              <w:t xml:space="preserve">    { "type": "autofill", "key": "parentTIN", "source": "interop:tax/tin",</w:t>
            </w:r>
          </w:p>
          <w:p>
            <w:pPr>
              <w:spacing w:after="0" w:line="240"/>
            </w:pPr>
            <w:r>
              <w:rPr>
                <w:rFonts w:ascii="Courier New" w:cs="Courier New" w:eastAsia="Courier New" w:hAnsi="Courier New"/>
                <w:color w:val="24292E"/>
                <w:sz w:val="17"/>
                <w:szCs w:val="17"/>
              </w:rPr>
              <w:t xml:space="preserve">      "label": {"ru":"ИНН родителя"}, "readOnlyWhenFilled": true },</w:t>
            </w:r>
          </w:p>
          <w:p>
            <w:pPr>
              <w:spacing w:after="0" w:line="240"/>
            </w:pPr>
            <w:r>
              <w:rPr>
                <w:rFonts w:ascii="Courier New" w:cs="Courier New" w:eastAsia="Courier New" w:hAnsi="Courier New"/>
                <w:color w:val="24292E"/>
                <w:sz w:val="17"/>
                <w:szCs w:val="17"/>
              </w:rPr>
              <w:t xml:space="preserve">    { "type": "panel", "key": "extra", "conditional": { "show": true,</w:t>
            </w:r>
          </w:p>
          <w:p>
            <w:pPr>
              <w:spacing w:after="0" w:line="240"/>
            </w:pPr>
            <w:r>
              <w:rPr>
                <w:rFonts w:ascii="Courier New" w:cs="Courier New" w:eastAsia="Courier New" w:hAnsi="Courier New"/>
                <w:color w:val="24292E"/>
                <w:sz w:val="17"/>
                <w:szCs w:val="17"/>
              </w:rPr>
              <w:t xml:space="preserve">      "when": "hasSiblings", "eq": true }, "components": [ /* ... */ ] }</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w:t>
            </w:r>
          </w:p>
        </w:tc>
      </w:tr>
    </w:tbl>
    <w:p>
      <w:pPr>
        <w:spacing w:after="160" w:before="60" w:line="240"/>
      </w:pPr>
      <w:r>
        <w:rPr>
          <w:i/>
          <w:iCs/>
          <w:color w:val="5A6B7B"/>
          <w:sz w:val="18"/>
          <w:szCs w:val="18"/>
        </w:rPr>
        <w:t xml:space="preserve">Листинг 5А.4 — Фрагмент JSON-схемы формы с валидацией, автозаполнением и условным блоком.</w:t>
      </w:r>
    </w:p>
    <w:p>
      <w:pPr>
        <w:pStyle w:val="Heading4"/>
      </w:pPr>
      <w:r>
        <w:t xml:space="preserve">5А.3.1. Валидация: уровни и согласованность</w:t>
      </w:r>
    </w:p>
    <w:p>
      <w:pPr>
        <w:spacing w:after="120" w:line="276"/>
      </w:pPr>
      <w:r>
        <w:t xml:space="preserve">Валидация определяется один раз в схеме формы и применяется на двух уровнях: на клиенте (немедленная обратная связь) и на сервере (доверенная проверка). Серверная проверка обязательна — клиентская служит удобству, но не является доверенной. Сложные межполевые и справочные проверки выполняются доменным сервисом и правилами DMN.</w:t>
      </w:r>
    </w:p>
    <w:p>
      <w:pPr>
        <w:pStyle w:val="Heading2"/>
      </w:pPr>
      <w:r>
        <w:t xml:space="preserve">5А.4. Шлюз API (Kong): политики</w:t>
      </w:r>
    </w:p>
    <w:p>
      <w:pPr>
        <w:spacing w:after="120" w:line="276"/>
      </w:pPr>
      <w:r>
        <w:t xml:space="preserve">На уровне API Gateway применяются сквозные политики, единые для всех сервисов: аутентификация (проверка JWT), авторизация (базовые проверки ролей), ограничение частоты запросов, защита от всплесков, добавление корреляционного идентификатора, маршрутизация по версиям. Политики конфигурируются декларативно и версионируются вместе с инфраструктурой.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Политика</w:t>
            </w:r>
          </w:p>
        </w:tc>
        <w:tc>
          <w:tcPr>
            <w:tcW w:type="dxa" w:w="3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c>
          <w:tcPr>
            <w:tcW w:type="dxa" w:w="32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Параметры</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JWT validation</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Проверка подписи и срока токена</w:t>
            </w:r>
          </w:p>
        </w:tc>
        <w:tc>
          <w:tcPr>
            <w:tcW w:type="dxa" w:w="3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JWKS IAM; кэш ключей</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Rate limiting</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Ограничение частоты по клиенту</w:t>
            </w:r>
          </w:p>
        </w:tc>
        <w:tc>
          <w:tcPr>
            <w:tcW w:type="dxa" w:w="3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Напр. 100 rps/клиент (настраивается)</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Request size limit</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Защита от больших тел</w:t>
            </w:r>
          </w:p>
        </w:tc>
        <w:tc>
          <w:tcPr>
            <w:tcW w:type="dxa" w:w="3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Лимит на размер тела</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CORS</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Контроль кросс-доменных запросов</w:t>
            </w:r>
          </w:p>
        </w:tc>
        <w:tc>
          <w:tcPr>
            <w:tcW w:type="dxa" w:w="3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Белый список доменов</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Correlation ID</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Сквозная трассировка</w:t>
            </w:r>
          </w:p>
        </w:tc>
        <w:tc>
          <w:tcPr>
            <w:tcW w:type="dxa" w:w="3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Заголовок X-Correlation-Id</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Response caching</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Кэш публичных ответов</w:t>
            </w:r>
          </w:p>
        </w:tc>
        <w:tc>
          <w:tcPr>
            <w:tcW w:type="dxa" w:w="3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Короткий TTL</w:t>
            </w:r>
          </w:p>
        </w:tc>
      </w:tr>
    </w:tbl>
    <w:p>
      <w:pPr>
        <w:spacing w:after="160" w:before="60" w:line="240"/>
      </w:pPr>
      <w:r>
        <w:rPr>
          <w:i/>
          <w:iCs/>
          <w:color w:val="5A6B7B"/>
          <w:sz w:val="18"/>
          <w:szCs w:val="18"/>
        </w:rPr>
        <w:t xml:space="preserve">Таблица 5А.3 — Сквозные политики API Gateway.</w:t>
      </w:r>
    </w:p>
    <w:p>
      <w:pPr>
        <w:pStyle w:val="Heading1"/>
      </w:pPr>
      <w:r>
        <w:t xml:space="preserve">5Б. Архитектура данных</w:t>
      </w:r>
    </w:p>
    <w:p>
      <w:pPr>
        <w:spacing w:after="120" w:line="276"/>
      </w:pPr>
      <w:r>
        <w:t xml:space="preserve">Настоящий раздел определяет принципы организации данных: владение, модели хранения, согласованность, жизненный цикл, защиту и миграцию. Архитектура данных подчинена принципу единого источника истины (SSOT, раздел 8) и модели «база данных на сервис» (раздел 4.1).</w:t>
      </w:r>
    </w:p>
    <w:p>
      <w:pPr>
        <w:pStyle w:val="Heading2"/>
      </w:pPr>
      <w:r>
        <w:t xml:space="preserve">5Б.1. Владение данными и логические домены</w:t>
      </w:r>
    </w:p>
    <w:p>
      <w:pPr>
        <w:spacing w:after="120" w:line="276"/>
      </w:pPr>
      <w:r>
        <w:t xml:space="preserve">Каждая сущность данных принадлежит одному сервису-владельцу. Ниже приведена сводная карта владения для ключевых сущностей; она является нормативной и используется при проектировании схем.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660"/>
      </w:tblGrid>
      <w:tr>
        <w:trPr>
          <w:tblHeader/>
        </w:trPr>
        <w:tc>
          <w:tcPr>
            <w:tcW w:type="dxa" w:w="2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Сущность данных</w:t>
            </w:r>
          </w:p>
        </w:tc>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Сервис-владелец</w:t>
            </w:r>
          </w:p>
        </w:tc>
        <w:tc>
          <w:tcPr>
            <w:tcW w:type="dxa" w:w="36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Кто использует (через контракт)</w:t>
            </w:r>
          </w:p>
        </w:tc>
      </w:tr>
      <w:tr>
        <w:tc>
          <w:tcPr>
            <w:tcW w:type="dxa" w:w="2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Описание услуги</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Каталог услуг</w:t>
            </w:r>
          </w:p>
        </w:tc>
        <w:tc>
          <w:tcPr>
            <w:tcW w:type="dxa" w:w="3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Все каналы, Заявления</w:t>
            </w:r>
          </w:p>
        </w:tc>
      </w:tr>
      <w:tr>
        <w:tc>
          <w:tcPr>
            <w:tcW w:type="dxa" w:w="2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Заявление</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w:t>
            </w:r>
          </w:p>
        </w:tc>
        <w:tc>
          <w:tcPr>
            <w:tcW w:type="dxa" w:w="3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Каналы, Платежи, Документы, Уведомления</w:t>
            </w:r>
          </w:p>
        </w:tc>
      </w:tr>
      <w:tr>
        <w:tc>
          <w:tcPr>
            <w:tcW w:type="dxa" w:w="2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Профиль, согласия</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Профиль</w:t>
            </w:r>
          </w:p>
        </w:tc>
        <w:tc>
          <w:tcPr>
            <w:tcW w:type="dxa" w:w="3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Все сервисы (с учётом согласий)</w:t>
            </w:r>
          </w:p>
        </w:tc>
      </w:tr>
      <w:tr>
        <w:tc>
          <w:tcPr>
            <w:tcW w:type="dxa" w:w="2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Начисление, платёж</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Платежи</w:t>
            </w:r>
          </w:p>
        </w:tc>
        <w:tc>
          <w:tcPr>
            <w:tcW w:type="dxa" w:w="3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w:t>
            </w:r>
          </w:p>
        </w:tc>
      </w:tr>
      <w:tr>
        <w:tc>
          <w:tcPr>
            <w:tcW w:type="dxa" w:w="2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Документы</w:t>
            </w:r>
          </w:p>
        </w:tc>
        <w:tc>
          <w:tcPr>
            <w:tcW w:type="dxa" w:w="3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 ЭЦП, каналы</w:t>
            </w:r>
          </w:p>
        </w:tc>
      </w:tr>
      <w:tr>
        <w:tc>
          <w:tcPr>
            <w:tcW w:type="dxa" w:w="2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Справочник (НСИ)</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НСИ</w:t>
            </w:r>
          </w:p>
        </w:tc>
        <w:tc>
          <w:tcPr>
            <w:tcW w:type="dxa" w:w="3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Все сервисы</w:t>
            </w:r>
          </w:p>
        </w:tc>
      </w:tr>
      <w:tr>
        <w:tc>
          <w:tcPr>
            <w:tcW w:type="dxa" w:w="2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Запись аудита</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Аудит</w:t>
            </w:r>
          </w:p>
        </w:tc>
        <w:tc>
          <w:tcPr>
            <w:tcW w:type="dxa" w:w="3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Аудиторы, SIEM</w:t>
            </w:r>
          </w:p>
        </w:tc>
      </w:tr>
      <w:tr>
        <w:tc>
          <w:tcPr>
            <w:tcW w:type="dxa" w:w="2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Сведения из реестров</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Межведомственное (кэш)</w:t>
            </w:r>
          </w:p>
        </w:tc>
        <w:tc>
          <w:tcPr>
            <w:tcW w:type="dxa" w:w="3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 формы (автозаполнение)</w:t>
            </w:r>
          </w:p>
        </w:tc>
      </w:tr>
    </w:tbl>
    <w:p>
      <w:pPr>
        <w:spacing w:after="160" w:before="60" w:line="240"/>
      </w:pPr>
      <w:r>
        <w:rPr>
          <w:i/>
          <w:iCs/>
          <w:color w:val="5A6B7B"/>
          <w:sz w:val="18"/>
          <w:szCs w:val="18"/>
        </w:rPr>
        <w:t xml:space="preserve">Таблица 5Б.1 — Карта владения ключевыми сущностями данных.</w:t>
      </w:r>
    </w:p>
    <w:p>
      <w:pPr>
        <w:pStyle w:val="Heading2"/>
      </w:pPr>
      <w:r>
        <w:t xml:space="preserve">5Б.2. Концептуальная модель данных (ключевые связи)</w:t>
      </w:r>
    </w:p>
    <w:p>
      <w:pPr>
        <w:spacing w:after="120" w:line="276"/>
      </w:pPr>
      <w:r>
        <w:t xml:space="preserve">Ниже текстом описана концептуальная модель связей между ключевыми сущностями (детальные физические схемы разрабатываются на этапе проектирования по каждому сервису).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Гражданин (1) ──&lt; (N) Заявление</w:t>
            </w:r>
          </w:p>
          <w:p>
            <w:pPr>
              <w:spacing w:after="0" w:line="240"/>
            </w:pPr>
            <w:r>
              <w:rPr>
                <w:rFonts w:ascii="Courier New" w:cs="Courier New" w:eastAsia="Courier New" w:hAnsi="Courier New"/>
                <w:color w:val="24292E"/>
                <w:sz w:val="17"/>
                <w:szCs w:val="17"/>
              </w:rPr>
              <w:t xml:space="preserve">Услуга (1) ──&lt; (N) Заявление        [по версии услуги]</w:t>
            </w:r>
          </w:p>
          <w:p>
            <w:pPr>
              <w:spacing w:after="0" w:line="240"/>
            </w:pPr>
            <w:r>
              <w:rPr>
                <w:rFonts w:ascii="Courier New" w:cs="Courier New" w:eastAsia="Courier New" w:hAnsi="Courier New"/>
                <w:color w:val="24292E"/>
                <w:sz w:val="17"/>
                <w:szCs w:val="17"/>
              </w:rPr>
              <w:t xml:space="preserve">Заявление (1) ──&lt; (N) ПереходСтатуса</w:t>
            </w:r>
          </w:p>
          <w:p>
            <w:pPr>
              <w:spacing w:after="0" w:line="240"/>
            </w:pPr>
            <w:r>
              <w:rPr>
                <w:rFonts w:ascii="Courier New" w:cs="Courier New" w:eastAsia="Courier New" w:hAnsi="Courier New"/>
                <w:color w:val="24292E"/>
                <w:sz w:val="17"/>
                <w:szCs w:val="17"/>
              </w:rPr>
              <w:t xml:space="preserve">Заявление (1) ──&lt; (N) Вложение</w:t>
            </w:r>
          </w:p>
          <w:p>
            <w:pPr>
              <w:spacing w:after="0" w:line="240"/>
            </w:pPr>
            <w:r>
              <w:rPr>
                <w:rFonts w:ascii="Courier New" w:cs="Courier New" w:eastAsia="Courier New" w:hAnsi="Courier New"/>
                <w:color w:val="24292E"/>
                <w:sz w:val="17"/>
                <w:szCs w:val="17"/>
              </w:rPr>
              <w:t xml:space="preserve">Заявление (1) ──&lt; (0..N) Начисление ──&lt; (0..N) Платёж</w:t>
            </w:r>
          </w:p>
          <w:p>
            <w:pPr>
              <w:spacing w:after="0" w:line="240"/>
            </w:pPr>
            <w:r>
              <w:rPr>
                <w:rFonts w:ascii="Courier New" w:cs="Courier New" w:eastAsia="Courier New" w:hAnsi="Courier New"/>
                <w:color w:val="24292E"/>
                <w:sz w:val="17"/>
                <w:szCs w:val="17"/>
              </w:rPr>
              <w:t xml:space="preserve">Заявление (1) ──&lt; (0..N) Документ ──&lt; (0..1) Подпись</w:t>
            </w:r>
          </w:p>
          <w:p>
            <w:pPr>
              <w:spacing w:after="0" w:line="240"/>
            </w:pPr>
            <w:r>
              <w:rPr>
                <w:rFonts w:ascii="Courier New" w:cs="Courier New" w:eastAsia="Courier New" w:hAnsi="Courier New"/>
                <w:color w:val="24292E"/>
                <w:sz w:val="17"/>
                <w:szCs w:val="17"/>
              </w:rPr>
              <w:t xml:space="preserve">Заявление (1) ──&lt; (0..N) ЗапросСведений (межвед.)</w:t>
            </w:r>
          </w:p>
          <w:p>
            <w:pPr>
              <w:spacing w:after="0" w:line="240"/>
            </w:pPr>
            <w:r>
              <w:rPr>
                <w:rFonts w:ascii="Courier New" w:cs="Courier New" w:eastAsia="Courier New" w:hAnsi="Courier New"/>
                <w:color w:val="24292E"/>
                <w:sz w:val="17"/>
                <w:szCs w:val="17"/>
              </w:rPr>
              <w:t xml:space="preserve">Услуга (N) &gt;── (1) Ведомство</w:t>
            </w:r>
          </w:p>
          <w:p>
            <w:pPr>
              <w:spacing w:after="0" w:line="240"/>
            </w:pPr>
            <w:r>
              <w:rPr>
                <w:rFonts w:ascii="Courier New" w:cs="Courier New" w:eastAsia="Courier New" w:hAnsi="Courier New"/>
                <w:color w:val="24292E"/>
                <w:sz w:val="17"/>
                <w:szCs w:val="17"/>
              </w:rPr>
              <w:t xml:space="preserve">Услуга (N) &gt;──&lt; (N) ЖизненнаяСитуация</w:t>
            </w:r>
          </w:p>
        </w:tc>
      </w:tr>
    </w:tbl>
    <w:p>
      <w:pPr>
        <w:spacing w:after="160" w:before="60" w:line="240"/>
      </w:pPr>
      <w:r>
        <w:rPr>
          <w:i/>
          <w:iCs/>
          <w:color w:val="5A6B7B"/>
          <w:sz w:val="18"/>
          <w:szCs w:val="18"/>
        </w:rPr>
        <w:t xml:space="preserve">Листинг 5Б.1 — Концептуальные связи ключевых сущностей (нотация «один-ко-многим»).</w:t>
      </w:r>
    </w:p>
    <w:p>
      <w:pPr>
        <w:pStyle w:val="Heading2"/>
      </w:pPr>
      <w:r>
        <w:t xml:space="preserve">5Б.3. Модели согласованности</w:t>
      </w:r>
    </w:p>
    <w:p>
      <w:pPr>
        <w:spacing w:after="120" w:line="276"/>
      </w:pPr>
      <w:r>
        <w:t xml:space="preserve">Внутри сервиса данные строго согласованы (ACID-транзакции PostgreSQL). Между сервисами применяется итоговая согласованность через события (раздел 4А.4). Для отдельных критических данных (платежи, переходы статусов заявления) межсайтовая репликация настроена синхронно (раздел 12.4), что обеспечивает нулевую потерю при отказе ЦОД. Справочные и кэшируемые данные согласуются асинхронно с допустимым лагом.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tblHeader/>
        </w:trPr>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Класс данных</w:t>
            </w:r>
          </w:p>
        </w:tc>
        <w:tc>
          <w:tcPr>
            <w:tcW w:type="dxa" w:w="33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Согласованность</w:t>
            </w:r>
          </w:p>
        </w:tc>
        <w:tc>
          <w:tcPr>
            <w:tcW w:type="dxa" w:w="3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Обоснование</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Платежи, статусы заявлений</w:t>
            </w:r>
          </w:p>
        </w:tc>
        <w:tc>
          <w:tcPr>
            <w:tcW w:type="dxa" w:w="3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Сильная (синхронная репликация)</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Финансовая/юридическая значимость</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Профиль, согласия</w:t>
            </w:r>
          </w:p>
        </w:tc>
        <w:tc>
          <w:tcPr>
            <w:tcW w:type="dxa" w:w="3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Сильная внутри сервиса</w:t>
            </w:r>
          </w:p>
        </w:tc>
        <w:tc>
          <w:tcPr>
            <w:tcW w:type="dxa" w:w="3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Защита ПДн, актуальность согласий</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Каталог, НСИ</w:t>
            </w:r>
          </w:p>
        </w:tc>
        <w:tc>
          <w:tcPr>
            <w:tcW w:type="dxa" w:w="3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Итоговая (версионирование)</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Редкие изменения, кэшируемость</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Кэш межвед. ответов</w:t>
            </w:r>
          </w:p>
        </w:tc>
        <w:tc>
          <w:tcPr>
            <w:tcW w:type="dxa" w:w="3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Итоговая, ограниченный TTL</w:t>
            </w:r>
          </w:p>
        </w:tc>
        <w:tc>
          <w:tcPr>
            <w:tcW w:type="dxa" w:w="3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Баланс актуальности и нагрузки</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Уведомления, лента</w:t>
            </w:r>
          </w:p>
        </w:tc>
        <w:tc>
          <w:tcPr>
            <w:tcW w:type="dxa" w:w="3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Итоговая</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Допустима небольшая задержка</w:t>
            </w:r>
          </w:p>
        </w:tc>
      </w:tr>
    </w:tbl>
    <w:p>
      <w:pPr>
        <w:spacing w:after="160" w:before="60" w:line="240"/>
      </w:pPr>
      <w:r>
        <w:rPr>
          <w:i/>
          <w:iCs/>
          <w:color w:val="5A6B7B"/>
          <w:sz w:val="18"/>
          <w:szCs w:val="18"/>
        </w:rPr>
        <w:t xml:space="preserve">Таблица 5Б.2 — Классы данных и применяемые модели согласованности.</w:t>
      </w:r>
    </w:p>
    <w:p>
      <w:pPr>
        <w:pStyle w:val="Heading2"/>
      </w:pPr>
      <w:r>
        <w:t xml:space="preserve">5Б.4. Жизненный цикл и хранение данных</w:t>
      </w:r>
    </w:p>
    <w:p>
      <w:pPr>
        <w:spacing w:after="120" w:line="276"/>
      </w:pPr>
      <w:r>
        <w:t xml:space="preserve">Сроки хранения данных определяются регламентами услуг и законодательством. Определены классы хранения с разными политиками. Персональные данные хранятся не дольше необходимого для цели обработки; по истечении срока выполняется обезличивание или удаление в соответствии с законом о защите ПДн.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Класс данных</w:t>
            </w:r>
          </w:p>
        </w:tc>
        <w:tc>
          <w:tcPr>
            <w:tcW w:type="dxa" w:w="3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Срок хранения</w:t>
            </w:r>
          </w:p>
        </w:tc>
        <w:tc>
          <w:tcPr>
            <w:tcW w:type="dxa" w:w="3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 истечении</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Результаты услуг (документы)</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регламенту (часто длительно)</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Архивирование</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 и история</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регламенту услуги</w:t>
            </w:r>
          </w:p>
        </w:tc>
        <w:tc>
          <w:tcPr>
            <w:tcW w:type="dxa" w:w="3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Архивирование/обезличивание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Платёжные данные</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требованиям фин. учёта</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Архивирование</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Журнал аудита</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Длительно (годы)</w:t>
            </w:r>
          </w:p>
        </w:tc>
        <w:tc>
          <w:tcPr>
            <w:tcW w:type="dxa" w:w="3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Архивирование (WORM)</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Кэш межвед. сведений</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Минуты–часы (TTL)</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Автоудаление</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Технические логи</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90 дней (горячие)</w:t>
            </w:r>
          </w:p>
        </w:tc>
        <w:tc>
          <w:tcPr>
            <w:tcW w:type="dxa" w:w="3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Архив/удаление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Метрики</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365 дней</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Агрегация/удаление</w:t>
            </w:r>
          </w:p>
        </w:tc>
      </w:tr>
    </w:tbl>
    <w:p>
      <w:pPr>
        <w:spacing w:after="160" w:before="60" w:line="240"/>
      </w:pPr>
      <w:r>
        <w:rPr>
          <w:i/>
          <w:iCs/>
          <w:color w:val="5A6B7B"/>
          <w:sz w:val="18"/>
          <w:szCs w:val="18"/>
        </w:rPr>
        <w:t xml:space="preserve">Таблица 5Б.3 — Классы данных, сроки хранения и действия по истечении.</w:t>
      </w:r>
    </w:p>
    <w:p>
      <w:pPr>
        <w:pStyle w:val="Heading2"/>
      </w:pPr>
      <w:r>
        <w:t xml:space="preserve">5Б.5. Защита данных на уровне хранения</w:t>
      </w:r>
    </w:p>
    <w:p>
      <w:pPr>
        <w:pStyle w:val="ListParagraph"/>
        <w:numPr>
          <w:ilvl w:val="0"/>
          <w:numId w:val="2"/>
        </w:numPr>
        <w:spacing w:after="80" w:line="264"/>
      </w:pPr>
      <w:r>
        <w:rPr>
          <w:b/>
          <w:bCs/>
        </w:rPr>
        <w:t xml:space="preserve">Шифрование при хранении </w:t>
      </w:r>
      <w:r>
        <w:t xml:space="preserve">— на уровне СУБД и объектного хранилища; ключи в HSM.</w:t>
      </w:r>
    </w:p>
    <w:p>
      <w:pPr>
        <w:pStyle w:val="ListParagraph"/>
        <w:numPr>
          <w:ilvl w:val="0"/>
          <w:numId w:val="2"/>
        </w:numPr>
        <w:spacing w:after="80" w:line="264"/>
      </w:pPr>
      <w:r>
        <w:rPr>
          <w:b/>
          <w:bCs/>
        </w:rPr>
        <w:t xml:space="preserve">Шифрование чувствительных столбцов </w:t>
      </w:r>
      <w:r>
        <w:t xml:space="preserve">— дополнительно для отдельных полей ПДн.</w:t>
      </w:r>
    </w:p>
    <w:p>
      <w:pPr>
        <w:pStyle w:val="ListParagraph"/>
        <w:numPr>
          <w:ilvl w:val="0"/>
          <w:numId w:val="2"/>
        </w:numPr>
        <w:spacing w:after="80" w:line="264"/>
      </w:pPr>
      <w:r>
        <w:rPr>
          <w:b/>
          <w:bCs/>
        </w:rPr>
        <w:t xml:space="preserve">Row-Level Security </w:t>
      </w:r>
      <w:r>
        <w:t xml:space="preserve">— изоляция данных арендаторов и пользователей на уровне строк.</w:t>
      </w:r>
    </w:p>
    <w:p>
      <w:pPr>
        <w:pStyle w:val="ListParagraph"/>
        <w:numPr>
          <w:ilvl w:val="0"/>
          <w:numId w:val="2"/>
        </w:numPr>
        <w:spacing w:after="80" w:line="264"/>
      </w:pPr>
      <w:r>
        <w:rPr>
          <w:b/>
          <w:bCs/>
        </w:rPr>
        <w:t xml:space="preserve">Маскирование </w:t>
      </w:r>
      <w:r>
        <w:t xml:space="preserve">— в нерабочих средах ПДн маскируются/синтезируются.</w:t>
      </w:r>
    </w:p>
    <w:p>
      <w:pPr>
        <w:pStyle w:val="ListParagraph"/>
        <w:numPr>
          <w:ilvl w:val="0"/>
          <w:numId w:val="2"/>
        </w:numPr>
        <w:spacing w:after="80" w:line="264"/>
      </w:pPr>
      <w:r>
        <w:rPr>
          <w:b/>
          <w:bCs/>
        </w:rPr>
        <w:t xml:space="preserve">Журналирование доступа </w:t>
      </w:r>
      <w:r>
        <w:t xml:space="preserve">— все обращения к ПДн фиксируются в аудите.</w:t>
      </w:r>
    </w:p>
    <w:p>
      <w:pPr>
        <w:pStyle w:val="Heading2"/>
      </w:pPr>
      <w:r>
        <w:t xml:space="preserve">5Б.6. Миграции схемы БД</w:t>
      </w:r>
    </w:p>
    <w:p>
      <w:pPr>
        <w:spacing w:after="120" w:line="276"/>
      </w:pPr>
      <w:r>
        <w:t xml:space="preserve">Изменения схемы выполняются версионированными миграциями (Liquibase/Flyway), применяемыми автоматически в конвейере поставки. Применяется стратегия «расширяй и сжимай» (expand–contract), обеспечивающая совместимость во время поэтапного развёртывания: сначала схема расширяется (добавление новых столбцов/таблиц), затем код переключается на новые структуры, затем устаревшие структуры удаляются отдельной миграцией. Это исключает простой и позволяет откат.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Этап 1 (expand):  ADD COLUMN new_field ... NULL;       -- совместимо со старым кодом</w:t>
            </w:r>
          </w:p>
          <w:p>
            <w:pPr>
              <w:spacing w:after="0" w:line="240"/>
            </w:pPr>
            <w:r>
              <w:rPr>
                <w:rFonts w:ascii="Courier New" w:cs="Courier New" w:eastAsia="Courier New" w:hAnsi="Courier New"/>
                <w:color w:val="24292E"/>
                <w:sz w:val="17"/>
                <w:szCs w:val="17"/>
              </w:rPr>
              <w:t xml:space="preserve">Этап 2 (migrate): фоновое заполнение new_field;        -- двойная запись из кода</w:t>
            </w:r>
          </w:p>
          <w:p>
            <w:pPr>
              <w:spacing w:after="0" w:line="240"/>
            </w:pPr>
            <w:r>
              <w:rPr>
                <w:rFonts w:ascii="Courier New" w:cs="Courier New" w:eastAsia="Courier New" w:hAnsi="Courier New"/>
                <w:color w:val="24292E"/>
                <w:sz w:val="17"/>
                <w:szCs w:val="17"/>
              </w:rPr>
              <w:t xml:space="preserve">Этап 3 (switch):  код читает/пишет new_field;          -- старое поле не используется</w:t>
            </w:r>
          </w:p>
          <w:p>
            <w:pPr>
              <w:spacing w:after="0" w:line="240"/>
            </w:pPr>
            <w:r>
              <w:rPr>
                <w:rFonts w:ascii="Courier New" w:cs="Courier New" w:eastAsia="Courier New" w:hAnsi="Courier New"/>
                <w:color w:val="24292E"/>
                <w:sz w:val="17"/>
                <w:szCs w:val="17"/>
              </w:rPr>
              <w:t xml:space="preserve">Этап 4 (contract): DROP COLUMN old_field;              -- отдельный релиз, после стабилизации</w:t>
            </w:r>
          </w:p>
        </w:tc>
      </w:tr>
    </w:tbl>
    <w:p>
      <w:pPr>
        <w:spacing w:after="160" w:before="60" w:line="240"/>
      </w:pPr>
      <w:r>
        <w:rPr>
          <w:i/>
          <w:iCs/>
          <w:color w:val="5A6B7B"/>
          <w:sz w:val="18"/>
          <w:szCs w:val="18"/>
        </w:rPr>
        <w:t xml:space="preserve">Листинг 5Б.2 — Стратегия миграции схемы «expand–contract» без простоя.</w:t>
      </w:r>
    </w:p>
    <w:p>
      <w:pPr>
        <w:pStyle w:val="Heading1"/>
      </w:pPr>
      <w:r>
        <w:t xml:space="preserve">5В. Стандарты проектирования API</w:t>
      </w:r>
    </w:p>
    <w:p>
      <w:pPr>
        <w:spacing w:after="120" w:line="276"/>
      </w:pPr>
      <w:r>
        <w:t xml:space="preserve">Единые стандарты API обеспечивают согласованность интерфейсов всех сервисов, предсказуемость для потребителей и автоматизацию (генерация SDK, документации, тестов). Настоящий раздел нормирует стиль, соглашения об именовании, обработку ошибок, пагинацию, идемпотентность и версионирование. Все REST-API описываются в OpenAPI 3.1; событийные интерфейсы — в AsyncAPI с регистрацией схем в Schema Registry (раздел 5Г).</w:t>
      </w:r>
    </w:p>
    <w:p>
      <w:pPr>
        <w:pStyle w:val="Heading2"/>
      </w:pPr>
      <w:r>
        <w:t xml:space="preserve">5В.1. Стиль и соглашения</w:t>
      </w:r>
    </w:p>
    <w:p>
      <w:pPr>
        <w:pStyle w:val="ListParagraph"/>
        <w:numPr>
          <w:ilvl w:val="0"/>
          <w:numId w:val="2"/>
        </w:numPr>
        <w:spacing w:after="80" w:line="264"/>
      </w:pPr>
      <w:r>
        <w:rPr>
          <w:b/>
          <w:bCs/>
        </w:rPr>
        <w:t xml:space="preserve">Ресурсно-ориентированность. </w:t>
      </w:r>
      <w:r>
        <w:t xml:space="preserve">URL обозначают ресурсы (существительные во множественном числе): /applications, /services. Действия, не сводимые к CRUD, оформляются как под-ресурс или операция с двоеточием: POST /applications/{id}:submit.</w:t>
      </w:r>
    </w:p>
    <w:p>
      <w:pPr>
        <w:pStyle w:val="ListParagraph"/>
        <w:numPr>
          <w:ilvl w:val="0"/>
          <w:numId w:val="2"/>
        </w:numPr>
        <w:spacing w:after="80" w:line="264"/>
      </w:pPr>
      <w:r>
        <w:rPr>
          <w:b/>
          <w:bCs/>
        </w:rPr>
        <w:t xml:space="preserve">Методы HTTP по семантике. </w:t>
      </w:r>
      <w:r>
        <w:t xml:space="preserve">GET — чтение (безопасно, идемпотентно), POST — создание/операция, PUT — полная замена (идемпотентно), PATCH — частичное изменение, DELETE — удаление (идемпотентно).</w:t>
      </w:r>
    </w:p>
    <w:p>
      <w:pPr>
        <w:pStyle w:val="ListParagraph"/>
        <w:numPr>
          <w:ilvl w:val="0"/>
          <w:numId w:val="2"/>
        </w:numPr>
        <w:spacing w:after="80" w:line="264"/>
      </w:pPr>
      <w:r>
        <w:rPr>
          <w:b/>
          <w:bCs/>
        </w:rPr>
        <w:t xml:space="preserve">Именование полей. </w:t>
      </w:r>
      <w:r>
        <w:t xml:space="preserve">camelCase в JSON; идентификаторы — строки; даты — ISO 8601 (UTC); денежные суммы — целое в минимальных единицах + код валюты.</w:t>
      </w:r>
    </w:p>
    <w:p>
      <w:pPr>
        <w:pStyle w:val="ListParagraph"/>
        <w:numPr>
          <w:ilvl w:val="0"/>
          <w:numId w:val="2"/>
        </w:numPr>
        <w:spacing w:after="80" w:line="264"/>
      </w:pPr>
      <w:r>
        <w:rPr>
          <w:b/>
          <w:bCs/>
        </w:rPr>
        <w:t xml:space="preserve">Коды ответов. </w:t>
      </w:r>
      <w:r>
        <w:t xml:space="preserve">2xx — успех (200, 201, 202, 204), 4xx — ошибка клиента, 5xx — ошибка сервера. 202 Accepted — для асинхронных операций.</w:t>
      </w:r>
    </w:p>
    <w:p>
      <w:pPr>
        <w:pStyle w:val="Heading2"/>
      </w:pPr>
      <w:r>
        <w:t xml:space="preserve">5В.2. Единый формат ошибок</w:t>
      </w:r>
    </w:p>
    <w:p>
      <w:pPr>
        <w:spacing w:after="120" w:line="276"/>
      </w:pPr>
      <w:r>
        <w:t xml:space="preserve">Все ошибки возвращаются в едином машиночитаемом формате (на базе RFC 9457 Problem Details). Это позволяет каналам и внешним системам единообразно обрабатывать ошибки и показывать пользователю локализованные сообщения.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HTTP/1.1 422 Unprocessable Entity</w:t>
            </w:r>
          </w:p>
          <w:p>
            <w:pPr>
              <w:spacing w:after="0" w:line="240"/>
            </w:pPr>
            <w:r>
              <w:rPr>
                <w:rFonts w:ascii="Courier New" w:cs="Courier New" w:eastAsia="Courier New" w:hAnsi="Courier New"/>
                <w:color w:val="24292E"/>
                <w:sz w:val="17"/>
                <w:szCs w:val="17"/>
              </w:rPr>
              <w:t xml:space="preserve">Content-Type: application/problem+json</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w:t>
            </w:r>
          </w:p>
          <w:p>
            <w:pPr>
              <w:spacing w:after="0" w:line="240"/>
            </w:pPr>
            <w:r>
              <w:rPr>
                <w:rFonts w:ascii="Courier New" w:cs="Courier New" w:eastAsia="Courier New" w:hAnsi="Courier New"/>
                <w:color w:val="24292E"/>
                <w:sz w:val="17"/>
                <w:szCs w:val="17"/>
              </w:rPr>
              <w:t xml:space="preserve">  "type": "https://errors.ekhizmat.tj/validation",</w:t>
            </w:r>
          </w:p>
          <w:p>
            <w:pPr>
              <w:spacing w:after="0" w:line="240"/>
            </w:pPr>
            <w:r>
              <w:rPr>
                <w:rFonts w:ascii="Courier New" w:cs="Courier New" w:eastAsia="Courier New" w:hAnsi="Courier New"/>
                <w:color w:val="24292E"/>
                <w:sz w:val="17"/>
                <w:szCs w:val="17"/>
              </w:rPr>
              <w:t xml:space="preserve">  "title": "Ошибка валидации",</w:t>
            </w:r>
          </w:p>
          <w:p>
            <w:pPr>
              <w:spacing w:after="0" w:line="240"/>
            </w:pPr>
            <w:r>
              <w:rPr>
                <w:rFonts w:ascii="Courier New" w:cs="Courier New" w:eastAsia="Courier New" w:hAnsi="Courier New"/>
                <w:color w:val="24292E"/>
                <w:sz w:val="17"/>
                <w:szCs w:val="17"/>
              </w:rPr>
              <w:t xml:space="preserve">  "status": 422,</w:t>
            </w:r>
          </w:p>
          <w:p>
            <w:pPr>
              <w:spacing w:after="0" w:line="240"/>
            </w:pPr>
            <w:r>
              <w:rPr>
                <w:rFonts w:ascii="Courier New" w:cs="Courier New" w:eastAsia="Courier New" w:hAnsi="Courier New"/>
                <w:color w:val="24292E"/>
                <w:sz w:val="17"/>
                <w:szCs w:val="17"/>
              </w:rPr>
              <w:t xml:space="preserve">  "code": "VALIDATION_FAILED",</w:t>
            </w:r>
          </w:p>
          <w:p>
            <w:pPr>
              <w:spacing w:after="0" w:line="240"/>
            </w:pPr>
            <w:r>
              <w:rPr>
                <w:rFonts w:ascii="Courier New" w:cs="Courier New" w:eastAsia="Courier New" w:hAnsi="Courier New"/>
                <w:color w:val="24292E"/>
                <w:sz w:val="17"/>
                <w:szCs w:val="17"/>
              </w:rPr>
              <w:t xml:space="preserve">  "detail": "Проверьте заполнение полей",</w:t>
            </w:r>
          </w:p>
          <w:p>
            <w:pPr>
              <w:spacing w:after="0" w:line="240"/>
            </w:pPr>
            <w:r>
              <w:rPr>
                <w:rFonts w:ascii="Courier New" w:cs="Courier New" w:eastAsia="Courier New" w:hAnsi="Courier New"/>
                <w:color w:val="24292E"/>
                <w:sz w:val="17"/>
                <w:szCs w:val="17"/>
              </w:rPr>
              <w:t xml:space="preserve">  "correlationId": "c-9f2a...",</w:t>
            </w:r>
          </w:p>
          <w:p>
            <w:pPr>
              <w:spacing w:after="0" w:line="240"/>
            </w:pPr>
            <w:r>
              <w:rPr>
                <w:rFonts w:ascii="Courier New" w:cs="Courier New" w:eastAsia="Courier New" w:hAnsi="Courier New"/>
                <w:color w:val="24292E"/>
                <w:sz w:val="17"/>
                <w:szCs w:val="17"/>
              </w:rPr>
              <w:t xml:space="preserve">  "errors": [</w:t>
            </w:r>
          </w:p>
          <w:p>
            <w:pPr>
              <w:spacing w:after="0" w:line="240"/>
            </w:pPr>
            <w:r>
              <w:rPr>
                <w:rFonts w:ascii="Courier New" w:cs="Courier New" w:eastAsia="Courier New" w:hAnsi="Courier New"/>
                <w:color w:val="24292E"/>
                <w:sz w:val="17"/>
                <w:szCs w:val="17"/>
              </w:rPr>
              <w:t xml:space="preserve">    { "field": "birthDate", "code": "REQUIRED", "message": "Поле обязательно" },</w:t>
            </w:r>
          </w:p>
          <w:p>
            <w:pPr>
              <w:spacing w:after="0" w:line="240"/>
            </w:pPr>
            <w:r>
              <w:rPr>
                <w:rFonts w:ascii="Courier New" w:cs="Courier New" w:eastAsia="Courier New" w:hAnsi="Courier New"/>
                <w:color w:val="24292E"/>
                <w:sz w:val="17"/>
                <w:szCs w:val="17"/>
              </w:rPr>
              <w:t xml:space="preserve">    { "field": "parentTIN", "code": "FORMAT", "message": "Неверный формат ИНН" }</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w:t>
            </w:r>
          </w:p>
        </w:tc>
      </w:tr>
    </w:tbl>
    <w:p>
      <w:pPr>
        <w:spacing w:after="160" w:before="60" w:line="240"/>
      </w:pPr>
      <w:r>
        <w:rPr>
          <w:i/>
          <w:iCs/>
          <w:color w:val="5A6B7B"/>
          <w:sz w:val="18"/>
          <w:szCs w:val="18"/>
        </w:rPr>
        <w:t xml:space="preserve">Листинг 5В.1 — Единый формат ошибки (Problem Details + поля валидации).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HTTP</w:t>
            </w:r>
          </w:p>
        </w:tc>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Код (code)</w:t>
            </w:r>
          </w:p>
        </w:tc>
        <w:tc>
          <w:tcPr>
            <w:tcW w:type="dxa" w:w="5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Когда применяется</w:t>
            </w:r>
          </w:p>
        </w:tc>
      </w:tr>
      <w:tr>
        <w:tc>
          <w:tcPr>
            <w:tcW w:type="dxa" w:w="1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400</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BAD_REQUEST</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Некорректный синтаксис запроса.</w:t>
            </w:r>
          </w:p>
        </w:tc>
      </w:tr>
      <w:tr>
        <w:tc>
          <w:tcPr>
            <w:tcW w:type="dxa" w:w="1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401</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UNAUTHENTICATED</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Отсутствует/недействителен токен.</w:t>
            </w:r>
          </w:p>
        </w:tc>
      </w:tr>
      <w:tr>
        <w:tc>
          <w:tcPr>
            <w:tcW w:type="dxa" w:w="1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403</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FORBIDDEN</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Недостаточно прав или нет согласия.</w:t>
            </w:r>
          </w:p>
        </w:tc>
      </w:tr>
      <w:tr>
        <w:tc>
          <w:tcPr>
            <w:tcW w:type="dxa" w:w="1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404</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NOT_FOUND</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Ресурс не найден.</w:t>
            </w:r>
          </w:p>
        </w:tc>
      </w:tr>
      <w:tr>
        <w:tc>
          <w:tcPr>
            <w:tcW w:type="dxa" w:w="1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409</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CONFLICT</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Конфликт состояния/идемпотентности.</w:t>
            </w:r>
          </w:p>
        </w:tc>
      </w:tr>
      <w:tr>
        <w:tc>
          <w:tcPr>
            <w:tcW w:type="dxa" w:w="1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422</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VALIDATION_FAILED</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Данные не прошли проверку.</w:t>
            </w:r>
          </w:p>
        </w:tc>
      </w:tr>
      <w:tr>
        <w:tc>
          <w:tcPr>
            <w:tcW w:type="dxa" w:w="1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429</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RATE_LIMITED</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Превышена частота запросов.</w:t>
            </w:r>
          </w:p>
        </w:tc>
      </w:tr>
      <w:tr>
        <w:tc>
          <w:tcPr>
            <w:tcW w:type="dxa" w:w="1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503</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UNAVAILABLE</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Зависимость недоступна (деградация).</w:t>
            </w:r>
          </w:p>
        </w:tc>
      </w:tr>
      <w:tr>
        <w:tc>
          <w:tcPr>
            <w:tcW w:type="dxa" w:w="1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504</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UPSTREAM_TIMEOUT</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Превышен тайм-аут внешней системы.</w:t>
            </w:r>
          </w:p>
        </w:tc>
      </w:tr>
    </w:tbl>
    <w:p>
      <w:pPr>
        <w:spacing w:after="160" w:before="60" w:line="240"/>
      </w:pPr>
      <w:r>
        <w:rPr>
          <w:i/>
          <w:iCs/>
          <w:color w:val="5A6B7B"/>
          <w:sz w:val="18"/>
          <w:szCs w:val="18"/>
        </w:rPr>
        <w:t xml:space="preserve">Таблица 5В.1 — Каталог кодов ошибок API.</w:t>
      </w:r>
    </w:p>
    <w:p>
      <w:pPr>
        <w:pStyle w:val="Heading2"/>
      </w:pPr>
      <w:r>
        <w:t xml:space="preserve">5В.3. Пагинация, фильтрация, сортировка</w:t>
      </w:r>
    </w:p>
    <w:p>
      <w:pPr>
        <w:spacing w:after="120" w:line="276"/>
      </w:pPr>
      <w:r>
        <w:t xml:space="preserve">Списочные ресурсы поддерживают пагинацию. Для больших и часто меняющихся коллекций применяется курсорная пагинация (стабильна при вставках); для небольших — пагинация по смещению. Фильтрация и сортировка задаются параметрами запроса по белому списку полей.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GET /api/v1/applications?status=IN_PROGRESS&amp;sort=-submittedAt&amp;cursor=eyJ...&amp;size=20</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200 OK</w:t>
            </w:r>
          </w:p>
          <w:p>
            <w:pPr>
              <w:spacing w:after="0" w:line="240"/>
            </w:pPr>
            <w:r>
              <w:rPr>
                <w:rFonts w:ascii="Courier New" w:cs="Courier New" w:eastAsia="Courier New" w:hAnsi="Courier New"/>
                <w:color w:val="24292E"/>
                <w:sz w:val="17"/>
                <w:szCs w:val="17"/>
              </w:rPr>
              <w:t xml:space="preserve">{</w:t>
            </w:r>
          </w:p>
          <w:p>
            <w:pPr>
              <w:spacing w:after="0" w:line="240"/>
            </w:pPr>
            <w:r>
              <w:rPr>
                <w:rFonts w:ascii="Courier New" w:cs="Courier New" w:eastAsia="Courier New" w:hAnsi="Courier New"/>
                <w:color w:val="24292E"/>
                <w:sz w:val="17"/>
                <w:szCs w:val="17"/>
              </w:rPr>
              <w:t xml:space="preserve">  "items": [ /* ... */ ],</w:t>
            </w:r>
          </w:p>
          <w:p>
            <w:pPr>
              <w:spacing w:after="0" w:line="240"/>
            </w:pPr>
            <w:r>
              <w:rPr>
                <w:rFonts w:ascii="Courier New" w:cs="Courier New" w:eastAsia="Courier New" w:hAnsi="Courier New"/>
                <w:color w:val="24292E"/>
                <w:sz w:val="17"/>
                <w:szCs w:val="17"/>
              </w:rPr>
              <w:t xml:space="preserve">  "nextCursor": "eyJpZCI6...",   // null, если страниц больше нет</w:t>
            </w:r>
          </w:p>
          <w:p>
            <w:pPr>
              <w:spacing w:after="0" w:line="240"/>
            </w:pPr>
            <w:r>
              <w:rPr>
                <w:rFonts w:ascii="Courier New" w:cs="Courier New" w:eastAsia="Courier New" w:hAnsi="Courier New"/>
                <w:color w:val="24292E"/>
                <w:sz w:val="17"/>
                <w:szCs w:val="17"/>
              </w:rPr>
              <w:t xml:space="preserve">  "size": 20</w:t>
            </w:r>
          </w:p>
          <w:p>
            <w:pPr>
              <w:spacing w:after="0" w:line="240"/>
            </w:pPr>
            <w:r>
              <w:rPr>
                <w:rFonts w:ascii="Courier New" w:cs="Courier New" w:eastAsia="Courier New" w:hAnsi="Courier New"/>
                <w:color w:val="24292E"/>
                <w:sz w:val="17"/>
                <w:szCs w:val="17"/>
              </w:rPr>
              <w:t xml:space="preserve">}</w:t>
            </w:r>
          </w:p>
        </w:tc>
      </w:tr>
    </w:tbl>
    <w:p>
      <w:pPr>
        <w:spacing w:after="160" w:before="60" w:line="240"/>
      </w:pPr>
      <w:r>
        <w:rPr>
          <w:i/>
          <w:iCs/>
          <w:color w:val="5A6B7B"/>
          <w:sz w:val="18"/>
          <w:szCs w:val="18"/>
        </w:rPr>
        <w:t xml:space="preserve">Листинг 5В.2 — Курсорная пагинация со фильтром и сортировкой.</w:t>
      </w:r>
    </w:p>
    <w:p>
      <w:pPr>
        <w:pStyle w:val="Heading2"/>
      </w:pPr>
      <w:r>
        <w:t xml:space="preserve">5В.4. Идемпотентность и конкурентность</w:t>
      </w:r>
    </w:p>
    <w:p>
      <w:pPr>
        <w:spacing w:after="120" w:line="276"/>
      </w:pPr>
      <w:r>
        <w:t xml:space="preserve">Небезопасные операции принимают заголовок Idempotency-Key (раздел 4А.3.1). Для предотвращения «потерянных обновлений» при конкурентном изменении применяется оптимистическая блокировка через ETag/If-Match: клиент получает версию ресурса (ETag) и передаёт её при изменении; при несовпадении возвращается 412 Precondition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GET  /api/v1/profile/me        → 200, ETag: "v12"</w:t>
            </w:r>
          </w:p>
          <w:p>
            <w:pPr>
              <w:spacing w:after="0" w:line="240"/>
            </w:pPr>
            <w:r>
              <w:rPr>
                <w:rFonts w:ascii="Courier New" w:cs="Courier New" w:eastAsia="Courier New" w:hAnsi="Courier New"/>
                <w:color w:val="24292E"/>
                <w:sz w:val="17"/>
                <w:szCs w:val="17"/>
              </w:rPr>
              <w:t xml:space="preserve">PUT  /api/v1/profile/me/contacts</w:t>
            </w:r>
          </w:p>
          <w:p>
            <w:pPr>
              <w:spacing w:after="0" w:line="240"/>
            </w:pPr>
            <w:r>
              <w:rPr>
                <w:rFonts w:ascii="Courier New" w:cs="Courier New" w:eastAsia="Courier New" w:hAnsi="Courier New"/>
                <w:color w:val="24292E"/>
                <w:sz w:val="17"/>
                <w:szCs w:val="17"/>
              </w:rPr>
              <w:t xml:space="preserve">     If-Match: "v12"</w:t>
            </w:r>
          </w:p>
          <w:p>
            <w:pPr>
              <w:spacing w:after="0" w:line="240"/>
            </w:pPr>
            <w:r>
              <w:rPr>
                <w:rFonts w:ascii="Courier New" w:cs="Courier New" w:eastAsia="Courier New" w:hAnsi="Courier New"/>
                <w:color w:val="24292E"/>
                <w:sz w:val="17"/>
                <w:szCs w:val="17"/>
              </w:rPr>
              <w:t xml:space="preserve">     → 200 (успех) | 412 Precondition Failed (кто-то изменил раньше)</w:t>
            </w:r>
          </w:p>
        </w:tc>
      </w:tr>
    </w:tbl>
    <w:p>
      <w:pPr>
        <w:spacing w:after="160" w:before="60" w:line="240"/>
      </w:pPr>
      <w:r>
        <w:rPr>
          <w:i/>
          <w:iCs/>
          <w:color w:val="5A6B7B"/>
          <w:sz w:val="18"/>
          <w:szCs w:val="18"/>
        </w:rPr>
        <w:t xml:space="preserve">Листинг 5В.3 — Оптимистическая блокировка через ETag/If-Match.</w:t>
      </w:r>
    </w:p>
    <w:p>
      <w:pPr>
        <w:pStyle w:val="Heading2"/>
      </w:pPr>
      <w:r>
        <w:t xml:space="preserve">5В.5. Версионирование и совместимость</w:t>
      </w:r>
    </w:p>
    <w:p>
      <w:pPr>
        <w:spacing w:after="120" w:line="276"/>
      </w:pPr>
      <w:r>
        <w:t xml:space="preserve">Версия указывается в пути (/api/v1/...). В пределах мажорной версии допускаются только обратно-совместимые изменения (раздел 4.6). Несовместимые изменения требуют новой мажорной версии с параллельной поддержкой предыдущей не менее 6 месяцев и уведомлением через заголовок Sunset. Совместимость контрактов проверяется автоматически в конвейере (Pact, проверка схем).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Изменение</w:t>
            </w:r>
          </w:p>
        </w:tc>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Совместимость</w:t>
            </w:r>
          </w:p>
        </w:tc>
        <w:tc>
          <w:tcPr>
            <w:tcW w:type="dxa" w:w="2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Действие</w:t>
            </w:r>
          </w:p>
        </w:tc>
      </w:tr>
      <w:tr>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Добавление необязательного поля в ответ</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Совместимо</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 пределах vN</w:t>
            </w:r>
          </w:p>
        </w:tc>
      </w:tr>
      <w:tr>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Добавление необязательного параметра</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Совместимо</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 пределах vN</w:t>
            </w:r>
          </w:p>
        </w:tc>
      </w:tr>
      <w:tr>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Новый эндпойнт/метод</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Совместимо</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 пределах vN</w:t>
            </w:r>
          </w:p>
        </w:tc>
      </w:tr>
      <w:tr>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Удаление/переименование поля</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Несовместимо</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Новая мажорная версия</w:t>
            </w:r>
          </w:p>
        </w:tc>
      </w:tr>
      <w:tr>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Изменение типа/семантики поля</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Несовместимо</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Новая мажорная версия</w:t>
            </w:r>
          </w:p>
        </w:tc>
      </w:tr>
      <w:tr>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Ужесточение валидации</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Несовместимо</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Новая мажорная версия</w:t>
            </w:r>
          </w:p>
        </w:tc>
      </w:tr>
    </w:tbl>
    <w:p>
      <w:pPr>
        <w:spacing w:after="160" w:before="60" w:line="240"/>
      </w:pPr>
      <w:r>
        <w:rPr>
          <w:i/>
          <w:iCs/>
          <w:color w:val="5A6B7B"/>
          <w:sz w:val="18"/>
          <w:szCs w:val="18"/>
        </w:rPr>
        <w:t xml:space="preserve">Таблица 5В.2 — Классификация изменений API по совместимости.</w:t>
      </w:r>
    </w:p>
    <w:p>
      <w:pPr>
        <w:pStyle w:val="Heading2"/>
      </w:pPr>
      <w:r>
        <w:t xml:space="preserve">5В.6. Документация и SDK</w:t>
      </w:r>
    </w:p>
    <w:p>
      <w:pPr>
        <w:spacing w:after="120" w:line="276"/>
      </w:pPr>
      <w:r>
        <w:t xml:space="preserve">Спецификации OpenAPI публикуются на Developer Portal (Swagger UI и Redoc) с примерами запросов и песочницей. Клиентские SDK генерируются автоматически из спецификаций для языков фронтенда и бэкенда, что исключает рассинхронизацию клиента и контракта. Для внешних разработчиков предоставляется тестовая среда с синтетическими данными.</w:t>
      </w:r>
    </w:p>
    <w:p>
      <w:pPr>
        <w:pStyle w:val="Heading1"/>
      </w:pPr>
      <w:r>
        <w:t xml:space="preserve">5Г. Событийная модель и каталог событий</w:t>
      </w:r>
    </w:p>
    <w:p>
      <w:pPr>
        <w:spacing w:after="120" w:line="276"/>
      </w:pPr>
      <w:r>
        <w:t xml:space="preserve">Асинхронное взаимодействие сервисов строится на доменных событиях, публикуемых в Apache Kafka. Настоящий раздел определяет соглашения о событиях, структуру конверта, топики и их параметры, а также каталог ключевых событий со схемами.</w:t>
      </w:r>
    </w:p>
    <w:p>
      <w:pPr>
        <w:pStyle w:val="Heading2"/>
      </w:pPr>
      <w:r>
        <w:t xml:space="preserve">5Г.1. Соглашения о событиях</w:t>
      </w:r>
    </w:p>
    <w:p>
      <w:pPr>
        <w:pStyle w:val="ListParagraph"/>
        <w:numPr>
          <w:ilvl w:val="0"/>
          <w:numId w:val="2"/>
        </w:numPr>
        <w:spacing w:after="80" w:line="264"/>
      </w:pPr>
      <w:r>
        <w:rPr>
          <w:b/>
          <w:bCs/>
        </w:rPr>
        <w:t xml:space="preserve">Именование. </w:t>
      </w:r>
      <w:r>
        <w:t xml:space="preserve">События именуются в прошедшем времени (факт): ApplicationSubmitted, PaymentConfirmed.</w:t>
      </w:r>
    </w:p>
    <w:p>
      <w:pPr>
        <w:pStyle w:val="ListParagraph"/>
        <w:numPr>
          <w:ilvl w:val="0"/>
          <w:numId w:val="2"/>
        </w:numPr>
        <w:spacing w:after="80" w:line="264"/>
      </w:pPr>
      <w:r>
        <w:rPr>
          <w:b/>
          <w:bCs/>
        </w:rPr>
        <w:t xml:space="preserve">Конверт. </w:t>
      </w:r>
      <w:r>
        <w:t xml:space="preserve">Каждое событие обёрнуто в стандартный конверт с метаданными (идентификатор, тип, версия схемы, корреляция, метка времени).</w:t>
      </w:r>
    </w:p>
    <w:p>
      <w:pPr>
        <w:pStyle w:val="ListParagraph"/>
        <w:numPr>
          <w:ilvl w:val="0"/>
          <w:numId w:val="2"/>
        </w:numPr>
        <w:spacing w:after="80" w:line="264"/>
      </w:pPr>
      <w:r>
        <w:rPr>
          <w:b/>
          <w:bCs/>
        </w:rPr>
        <w:t xml:space="preserve">Схемы. </w:t>
      </w:r>
      <w:r>
        <w:t xml:space="preserve">Тело события описывается схемой Avro и регистрируется в реестре (Apicurio); допускаются только обратно-совместимые изменения схемы.</w:t>
      </w:r>
    </w:p>
    <w:p>
      <w:pPr>
        <w:pStyle w:val="ListParagraph"/>
        <w:numPr>
          <w:ilvl w:val="0"/>
          <w:numId w:val="2"/>
        </w:numPr>
        <w:spacing w:after="80" w:line="264"/>
      </w:pPr>
      <w:r>
        <w:rPr>
          <w:b/>
          <w:bCs/>
        </w:rPr>
        <w:t xml:space="preserve">Идемпотентность. </w:t>
      </w:r>
      <w:r>
        <w:t xml:space="preserve">Потребители обрабатывают события идемпотентно (шаблон Inbox), повторная доставка безопасна.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w:t>
            </w:r>
          </w:p>
          <w:p>
            <w:pPr>
              <w:spacing w:after="0" w:line="240"/>
            </w:pPr>
            <w:r>
              <w:rPr>
                <w:rFonts w:ascii="Courier New" w:cs="Courier New" w:eastAsia="Courier New" w:hAnsi="Courier New"/>
                <w:color w:val="24292E"/>
                <w:sz w:val="17"/>
                <w:szCs w:val="17"/>
              </w:rPr>
              <w:t xml:space="preserve">  "eventId": "uuid",            // уникальный идентификатор события</w:t>
            </w:r>
          </w:p>
          <w:p>
            <w:pPr>
              <w:spacing w:after="0" w:line="240"/>
            </w:pPr>
            <w:r>
              <w:rPr>
                <w:rFonts w:ascii="Courier New" w:cs="Courier New" w:eastAsia="Courier New" w:hAnsi="Courier New"/>
                <w:color w:val="24292E"/>
                <w:sz w:val="17"/>
                <w:szCs w:val="17"/>
              </w:rPr>
              <w:t xml:space="preserve">  "eventType": "ApplicationSubmitted",</w:t>
            </w:r>
          </w:p>
          <w:p>
            <w:pPr>
              <w:spacing w:after="0" w:line="240"/>
            </w:pPr>
            <w:r>
              <w:rPr>
                <w:rFonts w:ascii="Courier New" w:cs="Courier New" w:eastAsia="Courier New" w:hAnsi="Courier New"/>
                <w:color w:val="24292E"/>
                <w:sz w:val="17"/>
                <w:szCs w:val="17"/>
              </w:rPr>
              <w:t xml:space="preserve">  "schemaVersion": 1,</w:t>
            </w:r>
          </w:p>
          <w:p>
            <w:pPr>
              <w:spacing w:after="0" w:line="240"/>
            </w:pPr>
            <w:r>
              <w:rPr>
                <w:rFonts w:ascii="Courier New" w:cs="Courier New" w:eastAsia="Courier New" w:hAnsi="Courier New"/>
                <w:color w:val="24292E"/>
                <w:sz w:val="17"/>
                <w:szCs w:val="17"/>
              </w:rPr>
              <w:t xml:space="preserve">  "occurredAt": "2026-05-29T09:14:00Z",</w:t>
            </w:r>
          </w:p>
          <w:p>
            <w:pPr>
              <w:spacing w:after="0" w:line="240"/>
            </w:pPr>
            <w:r>
              <w:rPr>
                <w:rFonts w:ascii="Courier New" w:cs="Courier New" w:eastAsia="Courier New" w:hAnsi="Courier New"/>
                <w:color w:val="24292E"/>
                <w:sz w:val="17"/>
                <w:szCs w:val="17"/>
              </w:rPr>
              <w:t xml:space="preserve">  "correlationId": "c-9f2a...", // сквозная трассировка</w:t>
            </w:r>
          </w:p>
          <w:p>
            <w:pPr>
              <w:spacing w:after="0" w:line="240"/>
            </w:pPr>
            <w:r>
              <w:rPr>
                <w:rFonts w:ascii="Courier New" w:cs="Courier New" w:eastAsia="Courier New" w:hAnsi="Courier New"/>
                <w:color w:val="24292E"/>
                <w:sz w:val="17"/>
                <w:szCs w:val="17"/>
              </w:rPr>
              <w:t xml:space="preserve">  "tenant": "moj",</w:t>
            </w:r>
          </w:p>
          <w:p>
            <w:pPr>
              <w:spacing w:after="0" w:line="240"/>
            </w:pPr>
            <w:r>
              <w:rPr>
                <w:rFonts w:ascii="Courier New" w:cs="Courier New" w:eastAsia="Courier New" w:hAnsi="Courier New"/>
                <w:color w:val="24292E"/>
                <w:sz w:val="17"/>
                <w:szCs w:val="17"/>
              </w:rPr>
              <w:t xml:space="preserve">  "aggregateId": "app-99312",   // идентификатор агрегата</w:t>
            </w:r>
          </w:p>
          <w:p>
            <w:pPr>
              <w:spacing w:after="0" w:line="240"/>
            </w:pPr>
            <w:r>
              <w:rPr>
                <w:rFonts w:ascii="Courier New" w:cs="Courier New" w:eastAsia="Courier New" w:hAnsi="Courier New"/>
                <w:color w:val="24292E"/>
                <w:sz w:val="17"/>
                <w:szCs w:val="17"/>
              </w:rPr>
              <w:t xml:space="preserve">  "data": { /* тело по схеме Avro */ }</w:t>
            </w:r>
          </w:p>
          <w:p>
            <w:pPr>
              <w:spacing w:after="0" w:line="240"/>
            </w:pPr>
            <w:r>
              <w:rPr>
                <w:rFonts w:ascii="Courier New" w:cs="Courier New" w:eastAsia="Courier New" w:hAnsi="Courier New"/>
                <w:color w:val="24292E"/>
                <w:sz w:val="17"/>
                <w:szCs w:val="17"/>
              </w:rPr>
              <w:t xml:space="preserve">}</w:t>
            </w:r>
          </w:p>
        </w:tc>
      </w:tr>
    </w:tbl>
    <w:p>
      <w:pPr>
        <w:spacing w:after="160" w:before="60" w:line="240"/>
      </w:pPr>
      <w:r>
        <w:rPr>
          <w:i/>
          <w:iCs/>
          <w:color w:val="5A6B7B"/>
          <w:sz w:val="18"/>
          <w:szCs w:val="18"/>
        </w:rPr>
        <w:t xml:space="preserve">Листинг 5Г.1 — Стандартный конверт доменного события.</w:t>
      </w:r>
    </w:p>
    <w:p>
      <w:pPr>
        <w:pStyle w:val="Heading2"/>
      </w:pPr>
      <w:r>
        <w:t xml:space="preserve">5Г.2. Топики и параметры</w:t>
      </w:r>
    </w:p>
    <w:p>
      <w:pPr>
        <w:spacing w:after="120" w:line="276"/>
      </w:pPr>
      <w:r>
        <w:t xml:space="preserve">События публикуются в топики, сгруппированные по доменам. Параметры топиков (число партиций, фактор репликации, политика хранения) задаются исходя из нагрузки и требований к надёжности. Ключ партиционирования выбирается так, чтобы сохранить порядок событий в пределах агрегата (например, по идентификатору заявления).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560"/>
        <w:gridCol w:w="240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Топик</w:t>
            </w:r>
          </w:p>
        </w:tc>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Ключ партиции</w:t>
            </w:r>
          </w:p>
        </w:tc>
        <w:tc>
          <w:tcPr>
            <w:tcW w:type="dxa" w:w="1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Партиции</w:t>
            </w:r>
          </w:p>
        </w:tc>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Хранение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applications.events</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applicationId</w:t>
            </w:r>
          </w:p>
        </w:tc>
        <w:tc>
          <w:tcPr>
            <w:tcW w:type="dxa" w:w="1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24</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 дней</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payments.events</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chargeId</w:t>
            </w:r>
          </w:p>
        </w:tc>
        <w:tc>
          <w:tcPr>
            <w:tcW w:type="dxa" w:w="1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12</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30 дней</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documents.events</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applicationId</w:t>
            </w:r>
          </w:p>
        </w:tc>
        <w:tc>
          <w:tcPr>
            <w:tcW w:type="dxa" w:w="1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12</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 дней</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interop.events</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requestId</w:t>
            </w:r>
          </w:p>
        </w:tc>
        <w:tc>
          <w:tcPr>
            <w:tcW w:type="dxa" w:w="1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12</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 дня</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notifications.events</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userId</w:t>
            </w:r>
          </w:p>
        </w:tc>
        <w:tc>
          <w:tcPr>
            <w:tcW w:type="dxa" w:w="1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12</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 дня</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catalog.events</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serviceId</w:t>
            </w:r>
          </w:p>
        </w:tc>
        <w:tc>
          <w:tcPr>
            <w:tcW w:type="dxa" w:w="1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компакция</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reference.events</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referenceCode</w:t>
            </w:r>
          </w:p>
        </w:tc>
        <w:tc>
          <w:tcPr>
            <w:tcW w:type="dxa" w:w="1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компакция</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audit.events</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aggregateId</w:t>
            </w:r>
          </w:p>
        </w:tc>
        <w:tc>
          <w:tcPr>
            <w:tcW w:type="dxa" w:w="1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24</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 дней (→ WORM)</w:t>
            </w:r>
          </w:p>
        </w:tc>
      </w:tr>
    </w:tbl>
    <w:p>
      <w:pPr>
        <w:spacing w:after="160" w:before="60" w:line="240"/>
      </w:pPr>
      <w:r>
        <w:rPr>
          <w:i/>
          <w:iCs/>
          <w:color w:val="5A6B7B"/>
          <w:sz w:val="18"/>
          <w:szCs w:val="18"/>
        </w:rPr>
        <w:t xml:space="preserve">Таблица 5Г.1 — Каталог топиков и их параметры (ориентировочные, уточняются нагрузочным тестом).</w:t>
      </w:r>
    </w:p>
    <w:p>
      <w:pPr>
        <w:spacing w:after="120" w:line="276"/>
      </w:pPr>
      <w:r>
        <w:t xml:space="preserve">Все топики имеют фактор репликации не менее 3 внутри ЦОД и зеркалируются между ЦОД (MirrorMaker 2). Для топиков-«журналов изменений» справочных данных применяется компакция (хранение последнего значения по ключу).</w:t>
      </w:r>
    </w:p>
    <w:p>
      <w:pPr>
        <w:pStyle w:val="Heading2"/>
      </w:pPr>
      <w:r>
        <w:t xml:space="preserve">5Г.3. Обработка сбоев доставки (повторы и DLQ)</w:t>
      </w:r>
    </w:p>
    <w:p>
      <w:pPr>
        <w:spacing w:after="120" w:line="276"/>
      </w:pPr>
      <w:r>
        <w:t xml:space="preserve">При временном сбое обработки события потребитель выполняет повторы с экспоненциальной задержкой. После исчерпания попыток событие направляется в очередь необработанных сообщений (Dead Letter Queue, DLQ) с сохранением причины. DLQ мониторится; накопление сообщений порождает алерт. Предусмотрены инструменты повторной обработки сообщений из DLQ после устранения причины.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Потребление события:</w:t>
            </w:r>
          </w:p>
          <w:p>
            <w:pPr>
              <w:spacing w:after="0" w:line="240"/>
            </w:pPr>
            <w:r>
              <w:rPr>
                <w:rFonts w:ascii="Courier New" w:cs="Courier New" w:eastAsia="Courier New" w:hAnsi="Courier New"/>
                <w:color w:val="24292E"/>
                <w:sz w:val="17"/>
                <w:szCs w:val="17"/>
              </w:rPr>
              <w:t xml:space="preserve">  retry 1..5 с backoff (1s, 2s, 4s, 8s, 16s) + jitter</w:t>
            </w:r>
          </w:p>
          <w:p>
            <w:pPr>
              <w:spacing w:after="0" w:line="240"/>
            </w:pPr>
            <w:r>
              <w:rPr>
                <w:rFonts w:ascii="Courier New" w:cs="Courier New" w:eastAsia="Courier New" w:hAnsi="Courier New"/>
                <w:color w:val="24292E"/>
                <w:sz w:val="17"/>
                <w:szCs w:val="17"/>
              </w:rPr>
              <w:t xml:space="preserve">  при исчерпании → publish to &lt;topic&gt;.DLQ c заголовками:</w:t>
            </w:r>
          </w:p>
          <w:p>
            <w:pPr>
              <w:spacing w:after="0" w:line="240"/>
            </w:pPr>
            <w:r>
              <w:rPr>
                <w:rFonts w:ascii="Courier New" w:cs="Courier New" w:eastAsia="Courier New" w:hAnsi="Courier New"/>
                <w:color w:val="24292E"/>
                <w:sz w:val="17"/>
                <w:szCs w:val="17"/>
              </w:rPr>
              <w:t xml:space="preserve">     x-original-topic, x-error, x-attempts, x-failed-at</w:t>
            </w:r>
          </w:p>
          <w:p>
            <w:pPr>
              <w:spacing w:after="0" w:line="240"/>
            </w:pPr>
            <w:r>
              <w:rPr>
                <w:rFonts w:ascii="Courier New" w:cs="Courier New" w:eastAsia="Courier New" w:hAnsi="Courier New"/>
                <w:color w:val="24292E"/>
                <w:sz w:val="17"/>
                <w:szCs w:val="17"/>
              </w:rPr>
              <w:t xml:space="preserve">Мониторинг: kafka_consumer_dlq_messages{topic} → alert при росте</w:t>
            </w:r>
          </w:p>
        </w:tc>
      </w:tr>
    </w:tbl>
    <w:p>
      <w:pPr>
        <w:spacing w:after="160" w:before="60" w:line="240"/>
      </w:pPr>
      <w:r>
        <w:rPr>
          <w:i/>
          <w:iCs/>
          <w:color w:val="5A6B7B"/>
          <w:sz w:val="18"/>
          <w:szCs w:val="18"/>
        </w:rPr>
        <w:t xml:space="preserve">Листинг 5Г.2 — Политика повторов и направление в DLQ.</w:t>
      </w:r>
    </w:p>
    <w:p>
      <w:pPr>
        <w:pStyle w:val="Heading2"/>
      </w:pPr>
      <w:r>
        <w:t xml:space="preserve">5Г.4. Каталог ключевых событий</w:t>
      </w:r>
    </w:p>
    <w:p>
      <w:pPr>
        <w:spacing w:after="120" w:line="276"/>
      </w:pPr>
      <w:r>
        <w:t xml:space="preserve">Ниже приведён каталог ключевых доменных событий с указанием источника, потребителей и назначения. Полный реестр событий со схемами Avro ведётся в реестре схем.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660"/>
        <w:gridCol w:w="260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Событие</w:t>
            </w:r>
          </w:p>
        </w:tc>
        <w:tc>
          <w:tcPr>
            <w:tcW w:type="dxa" w:w="15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Источник</w:t>
            </w:r>
          </w:p>
        </w:tc>
        <w:tc>
          <w:tcPr>
            <w:tcW w:type="dxa" w:w="26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Потребители</w:t>
            </w:r>
          </w:p>
        </w:tc>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ApplicationSubmitted</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w:t>
            </w:r>
          </w:p>
        </w:tc>
        <w:tc>
          <w:tcPr>
            <w:tcW w:type="dxa" w:w="2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 Уведомления, Аудит</w:t>
            </w:r>
          </w:p>
        </w:tc>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Запуск процесса, уведомление.</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ApplicationStatusChanged</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w:t>
            </w:r>
          </w:p>
        </w:tc>
        <w:tc>
          <w:tcPr>
            <w:tcW w:type="dxa" w:w="2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Уведомления, Аудит</w:t>
            </w:r>
          </w:p>
        </w:tc>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Информирование заявителя.</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ChargeCreated</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Платежи</w:t>
            </w:r>
          </w:p>
        </w:tc>
        <w:tc>
          <w:tcPr>
            <w:tcW w:type="dxa" w:w="2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 Уведомления</w:t>
            </w:r>
          </w:p>
        </w:tc>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Переход в «ожидает оплаты».</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PaymentConfirmed</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Платежи</w:t>
            </w:r>
          </w:p>
        </w:tc>
        <w:tc>
          <w:tcPr>
            <w:tcW w:type="dxa" w:w="2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 BPM, Уведомления</w:t>
            </w:r>
          </w:p>
        </w:tc>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Продолжение процесса.</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InteropResponded</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w:t>
            </w:r>
          </w:p>
        </w:tc>
        <w:tc>
          <w:tcPr>
            <w:tcW w:type="dxa" w:w="2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 Формы</w:t>
            </w:r>
          </w:p>
        </w:tc>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Автозаполнение/продолжение.</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DocumentRendered</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Документы</w:t>
            </w:r>
          </w:p>
        </w:tc>
        <w:tc>
          <w:tcPr>
            <w:tcW w:type="dxa" w:w="2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ЭЦП</w:t>
            </w:r>
          </w:p>
        </w:tc>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Передача на подпись.</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DocumentSigned</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ЭЦП</w:t>
            </w:r>
          </w:p>
        </w:tc>
        <w:tc>
          <w:tcPr>
            <w:tcW w:type="dxa" w:w="2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Документы, Уведомления</w:t>
            </w:r>
          </w:p>
        </w:tc>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Выдача результата.</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ConsentRevoked</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Профиль</w:t>
            </w:r>
          </w:p>
        </w:tc>
        <w:tc>
          <w:tcPr>
            <w:tcW w:type="dxa" w:w="2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 Уведомления</w:t>
            </w:r>
          </w:p>
        </w:tc>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Прекращение обработки.</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ServicePublished</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Каталог</w:t>
            </w:r>
          </w:p>
        </w:tc>
        <w:tc>
          <w:tcPr>
            <w:tcW w:type="dxa" w:w="2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Каналы, CDN</w:t>
            </w:r>
          </w:p>
        </w:tc>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Инвалидация кэшей.</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ReferenceUpdated</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НСИ</w:t>
            </w:r>
          </w:p>
        </w:tc>
        <w:tc>
          <w:tcPr>
            <w:tcW w:type="dxa" w:w="2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Все сервисы</w:t>
            </w:r>
          </w:p>
        </w:tc>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Инвалидация кэшей справочников.</w:t>
            </w:r>
          </w:p>
        </w:tc>
      </w:tr>
    </w:tbl>
    <w:p>
      <w:pPr>
        <w:spacing w:after="160" w:before="60" w:line="240"/>
      </w:pPr>
      <w:r>
        <w:rPr>
          <w:i/>
          <w:iCs/>
          <w:color w:val="5A6B7B"/>
          <w:sz w:val="18"/>
          <w:szCs w:val="18"/>
        </w:rPr>
        <w:t xml:space="preserve">Таблица 5Г.2 — Каталог ключевых доменных событий.</w:t>
      </w:r>
    </w:p>
    <w:p>
      <w:pPr>
        <w:pStyle w:val="Heading2"/>
      </w:pPr>
      <w:r>
        <w:t xml:space="preserve">5Г.5. Пример схемы Avro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w:t>
            </w:r>
          </w:p>
          <w:p>
            <w:pPr>
              <w:spacing w:after="0" w:line="240"/>
            </w:pPr>
            <w:r>
              <w:rPr>
                <w:rFonts w:ascii="Courier New" w:cs="Courier New" w:eastAsia="Courier New" w:hAnsi="Courier New"/>
                <w:color w:val="24292E"/>
                <w:sz w:val="17"/>
                <w:szCs w:val="17"/>
              </w:rPr>
              <w:t xml:space="preserve">  "type": "record",</w:t>
            </w:r>
          </w:p>
          <w:p>
            <w:pPr>
              <w:spacing w:after="0" w:line="240"/>
            </w:pPr>
            <w:r>
              <w:rPr>
                <w:rFonts w:ascii="Courier New" w:cs="Courier New" w:eastAsia="Courier New" w:hAnsi="Courier New"/>
                <w:color w:val="24292E"/>
                <w:sz w:val="17"/>
                <w:szCs w:val="17"/>
              </w:rPr>
              <w:t xml:space="preserve">  "name": "ApplicationSubmitted",</w:t>
            </w:r>
          </w:p>
          <w:p>
            <w:pPr>
              <w:spacing w:after="0" w:line="240"/>
            </w:pPr>
            <w:r>
              <w:rPr>
                <w:rFonts w:ascii="Courier New" w:cs="Courier New" w:eastAsia="Courier New" w:hAnsi="Courier New"/>
                <w:color w:val="24292E"/>
                <w:sz w:val="17"/>
                <w:szCs w:val="17"/>
              </w:rPr>
              <w:t xml:space="preserve">  "namespace": "tj.ekhizmat.applications.v1",</w:t>
            </w:r>
          </w:p>
          <w:p>
            <w:pPr>
              <w:spacing w:after="0" w:line="240"/>
            </w:pPr>
            <w:r>
              <w:rPr>
                <w:rFonts w:ascii="Courier New" w:cs="Courier New" w:eastAsia="Courier New" w:hAnsi="Courier New"/>
                <w:color w:val="24292E"/>
                <w:sz w:val="17"/>
                <w:szCs w:val="17"/>
              </w:rPr>
              <w:t xml:space="preserve">  "fields": [</w:t>
            </w:r>
          </w:p>
          <w:p>
            <w:pPr>
              <w:spacing w:after="0" w:line="240"/>
            </w:pPr>
            <w:r>
              <w:rPr>
                <w:rFonts w:ascii="Courier New" w:cs="Courier New" w:eastAsia="Courier New" w:hAnsi="Courier New"/>
                <w:color w:val="24292E"/>
                <w:sz w:val="17"/>
                <w:szCs w:val="17"/>
              </w:rPr>
              <w:t xml:space="preserve">    { "name": "applicationId", "type": "string" },</w:t>
            </w:r>
          </w:p>
          <w:p>
            <w:pPr>
              <w:spacing w:after="0" w:line="240"/>
            </w:pPr>
            <w:r>
              <w:rPr>
                <w:rFonts w:ascii="Courier New" w:cs="Courier New" w:eastAsia="Courier New" w:hAnsi="Courier New"/>
                <w:color w:val="24292E"/>
                <w:sz w:val="17"/>
                <w:szCs w:val="17"/>
              </w:rPr>
              <w:t xml:space="preserve">    { "name": "serviceId",     "type": "string" },</w:t>
            </w:r>
          </w:p>
          <w:p>
            <w:pPr>
              <w:spacing w:after="0" w:line="240"/>
            </w:pPr>
            <w:r>
              <w:rPr>
                <w:rFonts w:ascii="Courier New" w:cs="Courier New" w:eastAsia="Courier New" w:hAnsi="Courier New"/>
                <w:color w:val="24292E"/>
                <w:sz w:val="17"/>
                <w:szCs w:val="17"/>
              </w:rPr>
              <w:t xml:space="preserve">    { "name": "serviceVersion","type": "int" },</w:t>
            </w:r>
          </w:p>
          <w:p>
            <w:pPr>
              <w:spacing w:after="0" w:line="240"/>
            </w:pPr>
            <w:r>
              <w:rPr>
                <w:rFonts w:ascii="Courier New" w:cs="Courier New" w:eastAsia="Courier New" w:hAnsi="Courier New"/>
                <w:color w:val="24292E"/>
                <w:sz w:val="17"/>
                <w:szCs w:val="17"/>
              </w:rPr>
              <w:t xml:space="preserve">    { "name": "applicantId",   "type": "string" },</w:t>
            </w:r>
          </w:p>
          <w:p>
            <w:pPr>
              <w:spacing w:after="0" w:line="240"/>
            </w:pPr>
            <w:r>
              <w:rPr>
                <w:rFonts w:ascii="Courier New" w:cs="Courier New" w:eastAsia="Courier New" w:hAnsi="Courier New"/>
                <w:color w:val="24292E"/>
                <w:sz w:val="17"/>
                <w:szCs w:val="17"/>
              </w:rPr>
              <w:t xml:space="preserve">    { "name": "submittedAt",   "type": { "type": "long", "logicalType": "timestamp-millis" } },</w:t>
            </w:r>
          </w:p>
          <w:p>
            <w:pPr>
              <w:spacing w:after="0" w:line="240"/>
            </w:pPr>
            <w:r>
              <w:rPr>
                <w:rFonts w:ascii="Courier New" w:cs="Courier New" w:eastAsia="Courier New" w:hAnsi="Courier New"/>
                <w:color w:val="24292E"/>
                <w:sz w:val="17"/>
                <w:szCs w:val="17"/>
              </w:rPr>
              <w:t xml:space="preserve">    { "name": "channel",       "type": { "type": "enum", "name": "Channel",</w:t>
            </w:r>
          </w:p>
          <w:p>
            <w:pPr>
              <w:spacing w:after="0" w:line="240"/>
            </w:pPr>
            <w:r>
              <w:rPr>
                <w:rFonts w:ascii="Courier New" w:cs="Courier New" w:eastAsia="Courier New" w:hAnsi="Courier New"/>
                <w:color w:val="24292E"/>
                <w:sz w:val="17"/>
                <w:szCs w:val="17"/>
              </w:rPr>
              <w:t xml:space="preserve">                                          "symbols": ["WEB","MOBILE","API"] } }</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w:t>
            </w:r>
          </w:p>
        </w:tc>
      </w:tr>
    </w:tbl>
    <w:p>
      <w:pPr>
        <w:spacing w:after="160" w:before="60" w:line="240"/>
      </w:pPr>
      <w:r>
        <w:rPr>
          <w:i/>
          <w:iCs/>
          <w:color w:val="5A6B7B"/>
          <w:sz w:val="18"/>
          <w:szCs w:val="18"/>
        </w:rPr>
        <w:t xml:space="preserve">Листинг 5Г.3 — Схема Avro события ApplicationSubmitted (версия 1).</w:t>
      </w:r>
    </w:p>
    <w:p>
      <w:pPr>
        <w:pStyle w:val="Heading1"/>
      </w:pPr>
      <w:r>
        <w:t xml:space="preserve">5Д. Архитектура клиентских приложений</w:t>
      </w:r>
    </w:p>
    <w:p>
      <w:pPr>
        <w:spacing w:after="120" w:line="276"/>
      </w:pPr>
      <w:r>
        <w:t xml:space="preserve">Настоящий раздел детализирует архитектуру клиентских приложений (веб и мобайл), дополняя раздел 5.2. Клиенты взаимодействуют с Платформой исключительно через BFF-слой (раздел 4.2) и не обращаются к доменным сервисам напрямую.</w:t>
      </w:r>
    </w:p>
    <w:p>
      <w:pPr>
        <w:pStyle w:val="Heading2"/>
      </w:pPr>
      <w:r>
        <w:t xml:space="preserve">5Д.1. Веб-приложение</w:t>
      </w:r>
    </w:p>
    <w:p>
      <w:pPr>
        <w:pStyle w:val="ListParagraph"/>
        <w:numPr>
          <w:ilvl w:val="0"/>
          <w:numId w:val="2"/>
        </w:numPr>
        <w:spacing w:after="80" w:line="264"/>
      </w:pPr>
      <w:r>
        <w:rPr>
          <w:b/>
          <w:bCs/>
        </w:rPr>
        <w:t xml:space="preserve">Технологии. </w:t>
      </w:r>
      <w:r>
        <w:t xml:space="preserve">TypeScript + React; серверный рендеринг (Next.js) для скорости загрузки и индексируемости публичных страниц.</w:t>
      </w:r>
    </w:p>
    <w:p>
      <w:pPr>
        <w:pStyle w:val="ListParagraph"/>
        <w:numPr>
          <w:ilvl w:val="0"/>
          <w:numId w:val="2"/>
        </w:numPr>
        <w:spacing w:after="80" w:line="264"/>
      </w:pPr>
      <w:r>
        <w:rPr>
          <w:b/>
          <w:bCs/>
        </w:rPr>
        <w:t xml:space="preserve">Структура. </w:t>
      </w:r>
      <w:r>
        <w:t xml:space="preserve">Компонентная архитектура на основе общей дизайн-системы; разделение на публичную часть (каталог) и личный кабинет.</w:t>
      </w:r>
    </w:p>
    <w:p>
      <w:pPr>
        <w:pStyle w:val="ListParagraph"/>
        <w:numPr>
          <w:ilvl w:val="0"/>
          <w:numId w:val="2"/>
        </w:numPr>
        <w:spacing w:after="80" w:line="264"/>
      </w:pPr>
      <w:r>
        <w:rPr>
          <w:b/>
          <w:bCs/>
        </w:rPr>
        <w:t xml:space="preserve">Состояние. </w:t>
      </w:r>
      <w:r>
        <w:t xml:space="preserve">Управление состоянием на клиенте; кэширование ответов; отсутствие хранения чувствительных данных в браузере сверх необходимого.</w:t>
      </w:r>
    </w:p>
    <w:p>
      <w:pPr>
        <w:pStyle w:val="ListParagraph"/>
        <w:numPr>
          <w:ilvl w:val="0"/>
          <w:numId w:val="2"/>
        </w:numPr>
        <w:spacing w:after="80" w:line="264"/>
      </w:pPr>
      <w:r>
        <w:rPr>
          <w:b/>
          <w:bCs/>
        </w:rPr>
        <w:t xml:space="preserve">Производительность. </w:t>
      </w:r>
      <w:r>
        <w:t xml:space="preserve">Код-сплиттинг, ленивая загрузка, бюджеты производительности (раздел 6Б.4).</w:t>
      </w:r>
    </w:p>
    <w:p>
      <w:pPr>
        <w:pStyle w:val="ListParagraph"/>
        <w:numPr>
          <w:ilvl w:val="0"/>
          <w:numId w:val="2"/>
        </w:numPr>
        <w:spacing w:after="80" w:line="264"/>
      </w:pPr>
      <w:r>
        <w:rPr>
          <w:b/>
          <w:bCs/>
        </w:rPr>
        <w:t xml:space="preserve">Доступность и локализация. </w:t>
      </w:r>
      <w:r>
        <w:t xml:space="preserve">Соответствие критериям доступности (раздел 6В.1) и многоязычность (раздел 6В.2).</w:t>
      </w:r>
    </w:p>
    <w:p>
      <w:pPr>
        <w:pStyle w:val="Heading2"/>
      </w:pPr>
      <w:r>
        <w:t xml:space="preserve">5Д.2. Мобильные приложения</w:t>
      </w:r>
    </w:p>
    <w:p>
      <w:pPr>
        <w:pStyle w:val="ListParagraph"/>
        <w:numPr>
          <w:ilvl w:val="0"/>
          <w:numId w:val="2"/>
        </w:numPr>
        <w:spacing w:after="80" w:line="264"/>
      </w:pPr>
      <w:r>
        <w:rPr>
          <w:b/>
          <w:bCs/>
        </w:rPr>
        <w:t xml:space="preserve">Подход. </w:t>
      </w:r>
      <w:r>
        <w:t xml:space="preserve">Нативная разработка (Kotlin/Swift) либо кроссплатформенный подход (KMP) с переиспользованием бизнес-логики.</w:t>
      </w:r>
    </w:p>
    <w:p>
      <w:pPr>
        <w:pStyle w:val="ListParagraph"/>
        <w:numPr>
          <w:ilvl w:val="0"/>
          <w:numId w:val="2"/>
        </w:numPr>
        <w:spacing w:after="80" w:line="264"/>
      </w:pPr>
      <w:r>
        <w:rPr>
          <w:b/>
          <w:bCs/>
        </w:rPr>
        <w:t xml:space="preserve">Безопасность. </w:t>
      </w:r>
      <w:r>
        <w:t xml:space="preserve">Защищённое хранение токенов, биометрия в составе МФА, защита от подмены и перехвата.</w:t>
      </w:r>
    </w:p>
    <w:p>
      <w:pPr>
        <w:pStyle w:val="ListParagraph"/>
        <w:numPr>
          <w:ilvl w:val="0"/>
          <w:numId w:val="2"/>
        </w:numPr>
        <w:spacing w:after="80" w:line="264"/>
      </w:pPr>
      <w:r>
        <w:rPr>
          <w:b/>
          <w:bCs/>
        </w:rPr>
        <w:t xml:space="preserve">Офлайн. </w:t>
      </w:r>
      <w:r>
        <w:t xml:space="preserve">Базовый офлайн-режим: просмотр ранее загруженных данных и документов.</w:t>
      </w:r>
    </w:p>
    <w:p>
      <w:pPr>
        <w:pStyle w:val="ListParagraph"/>
        <w:numPr>
          <w:ilvl w:val="0"/>
          <w:numId w:val="2"/>
        </w:numPr>
        <w:spacing w:after="80" w:line="264"/>
      </w:pPr>
      <w:r>
        <w:rPr>
          <w:b/>
          <w:bCs/>
        </w:rPr>
        <w:t xml:space="preserve">Уведомления. </w:t>
      </w:r>
      <w:r>
        <w:t xml:space="preserve">Push через FCM/APNs; учёт предпочтений и тихих часов (раздел 4Б.7).</w:t>
      </w:r>
    </w:p>
    <w:p>
      <w:pPr>
        <w:pStyle w:val="Heading2"/>
      </w:pPr>
      <w:r>
        <w:t xml:space="preserve">5Д.3. Слой агрегации (BFF)</w:t>
      </w:r>
    </w:p>
    <w:p>
      <w:pPr>
        <w:spacing w:after="120" w:line="276"/>
      </w:pPr>
      <w:r>
        <w:t xml:space="preserve">Каждый канал обслуживается своим BFF (web-bff, mobile-bff, арм-bff, admin-bff), который агрегирует данные нескольких доменных сервисов под нужды канала, сокращая число обращений клиента и объём передаваемых данных. BFF не содержит бизнес-логики предметной области — только агрегацию, адаптацию форматов и оптимизацию под канал. Это позволяет независимо развивать клиенты и доменные сервисы.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Аспект</w:t>
            </w:r>
          </w:p>
        </w:tc>
        <w:tc>
          <w:tcPr>
            <w:tcW w:type="dxa" w:w="348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web-bff</w:t>
            </w:r>
          </w:p>
        </w:tc>
        <w:tc>
          <w:tcPr>
            <w:tcW w:type="dxa" w:w="348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mobile-bff</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Оптимизация</w:t>
            </w:r>
          </w:p>
        </w:tc>
        <w:tc>
          <w:tcPr>
            <w:tcW w:type="dxa" w:w="34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 широкий экран, развёрнутые данные</w:t>
            </w:r>
          </w:p>
        </w:tc>
        <w:tc>
          <w:tcPr>
            <w:tcW w:type="dxa" w:w="34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 мобайл, минимальный объём</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Агрегация</w:t>
            </w:r>
          </w:p>
        </w:tc>
        <w:tc>
          <w:tcPr>
            <w:tcW w:type="dxa" w:w="34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Сложные страницы (каталог, кабинет)</w:t>
            </w:r>
          </w:p>
        </w:tc>
        <w:tc>
          <w:tcPr>
            <w:tcW w:type="dxa" w:w="34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Компактные представления</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Кэширование</w:t>
            </w:r>
          </w:p>
        </w:tc>
        <w:tc>
          <w:tcPr>
            <w:tcW w:type="dxa" w:w="34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Агрессивное для публичного</w:t>
            </w:r>
          </w:p>
        </w:tc>
        <w:tc>
          <w:tcPr>
            <w:tcW w:type="dxa" w:w="34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 учётом трафика устройства</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Технология</w:t>
            </w:r>
          </w:p>
        </w:tc>
        <w:tc>
          <w:tcPr>
            <w:tcW w:type="dxa" w:w="34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Spring WebFlux (реактивно)</w:t>
            </w:r>
          </w:p>
        </w:tc>
        <w:tc>
          <w:tcPr>
            <w:tcW w:type="dxa" w:w="34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Spring Boot</w:t>
            </w:r>
          </w:p>
        </w:tc>
      </w:tr>
    </w:tbl>
    <w:p>
      <w:pPr>
        <w:spacing w:after="160" w:before="60" w:line="240"/>
      </w:pPr>
      <w:r>
        <w:rPr>
          <w:i/>
          <w:iCs/>
          <w:color w:val="5A6B7B"/>
          <w:sz w:val="18"/>
          <w:szCs w:val="18"/>
        </w:rPr>
        <w:t xml:space="preserve">Таблица 5Д.1 — Сравнение BFF по каналам.</w:t>
      </w:r>
    </w:p>
    <w:p>
      <w:pPr>
        <w:pStyle w:val="Heading2"/>
      </w:pPr>
      <w:r>
        <w:t xml:space="preserve">5Д.4. Мобильное приложение (React Native, mobile-first)</w:t>
      </w:r>
    </w:p>
    <w:p>
      <w:pPr>
        <w:spacing w:after="120" w:line="276"/>
      </w:pPr>
      <w:r>
        <w:t xml:space="preserve">Мобильный канал является приоритетным каналом доступа граждан (принцип Mobile-First, раздел 3.5). Мобильное приложение разрабатывается на React Native как кроссплатформенное решение для Android и iOS из единой кодовой базы. Настоящий пункт детализирует требования к мобильному приложению и дополняет раздел 5Д.</w:t>
      </w:r>
    </w:p>
    <w:p>
      <w:pPr>
        <w:pStyle w:val="Heading3"/>
      </w:pPr>
      <w:r>
        <w:t xml:space="preserve">5Д.4.1. Обоснование выбора React Native</w:t>
      </w:r>
    </w:p>
    <w:p>
      <w:pPr>
        <w:pStyle w:val="ListParagraph"/>
        <w:numPr>
          <w:ilvl w:val="0"/>
          <w:numId w:val="2"/>
        </w:numPr>
        <w:spacing w:after="80" w:line="264"/>
      </w:pPr>
      <w:r>
        <w:rPr>
          <w:b/>
          <w:bCs/>
        </w:rPr>
        <w:t xml:space="preserve">Единая кодовая база. </w:t>
      </w:r>
      <w:r>
        <w:t xml:space="preserve">Android и iOS из одного исходного кода — меньше трудозатрат, согласованность функций и интерфейса между платформами.</w:t>
      </w:r>
    </w:p>
    <w:p>
      <w:pPr>
        <w:pStyle w:val="ListParagraph"/>
        <w:numPr>
          <w:ilvl w:val="0"/>
          <w:numId w:val="2"/>
        </w:numPr>
        <w:spacing w:after="80" w:line="264"/>
      </w:pPr>
      <w:r>
        <w:rPr>
          <w:b/>
          <w:bCs/>
        </w:rPr>
        <w:t xml:space="preserve">Скорость разработки. </w:t>
      </w:r>
      <w:r>
        <w:t xml:space="preserve">Переиспользование кода и быстрый цикл разработки сокращают срок вывода функций; упрощается синхронность релизов на обеих платформах.</w:t>
      </w:r>
    </w:p>
    <w:p>
      <w:pPr>
        <w:pStyle w:val="ListParagraph"/>
        <w:numPr>
          <w:ilvl w:val="0"/>
          <w:numId w:val="2"/>
        </w:numPr>
        <w:spacing w:after="80" w:line="264"/>
      </w:pPr>
      <w:r>
        <w:rPr>
          <w:b/>
          <w:bCs/>
        </w:rPr>
        <w:t xml:space="preserve">Доступ к нативным возможностям. </w:t>
      </w:r>
      <w:r>
        <w:t xml:space="preserve">Доступ к нативным API устройства (биометрия, push, защищённое хранилище, камера) через нативные модули.</w:t>
      </w:r>
    </w:p>
    <w:p>
      <w:pPr>
        <w:pStyle w:val="ListParagraph"/>
        <w:numPr>
          <w:ilvl w:val="0"/>
          <w:numId w:val="2"/>
        </w:numPr>
        <w:spacing w:after="80" w:line="264"/>
      </w:pPr>
      <w:r>
        <w:rPr>
          <w:b/>
          <w:bCs/>
        </w:rPr>
        <w:t xml:space="preserve">Рынок специалистов. </w:t>
      </w:r>
      <w:r>
        <w:t xml:space="preserve">React/JavaScript/TypeScript — распространённый стек, что упрощает подбор кадров (согласовано с разделом 5.1).</w:t>
      </w:r>
    </w:p>
    <w:p>
      <w:pPr>
        <w:pStyle w:val="ListParagraph"/>
        <w:numPr>
          <w:ilvl w:val="0"/>
          <w:numId w:val="2"/>
        </w:numPr>
        <w:spacing w:after="80" w:line="264"/>
      </w:pPr>
      <w:r>
        <w:rPr>
          <w:b/>
          <w:bCs/>
        </w:rPr>
        <w:t xml:space="preserve">Согласованность с веб-стеком. </w:t>
      </w:r>
      <w:r>
        <w:t xml:space="preserve">Общая с веб-частью экосистема (TypeScript, React) облегчает переиспользование подходов и части логики.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Ограничение и страховка. </w:t>
            </w:r>
            <w:r>
              <w:rPr>
                <w:sz w:val="21"/>
                <w:szCs w:val="21"/>
              </w:rPr>
              <w:t xml:space="preserve">У кроссплатформенного подхода есть известные ограничения на тяжёлых формах и нестандартной навигации. Для таких случаев предусматривается разработка нативных модулей (Kotlin для Android, Swift для iOS) через мост; соответствующие трудозатраты закладываются в план. Это сохраняет выгоды единой кодовой базы и одновременно гарантирует нативную производительность там, где она критична.</w:t>
            </w:r>
          </w:p>
        </w:tc>
      </w:tr>
    </w:tbl>
    <w:p>
      <w:pPr>
        <w:pStyle w:val="Heading3"/>
      </w:pPr>
      <w:r>
        <w:t xml:space="preserve">5Д.4.2. Технические требования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Аспект</w:t>
            </w:r>
          </w:p>
        </w:tc>
        <w:tc>
          <w:tcPr>
            <w:tcW w:type="dxa" w:w="64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Платформы</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Android и iOS из единой кодовой базы (React Native)</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Язык</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TypeScript</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Слой агрегации</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mobile-bff (раздел 4.2)</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Аутентификация</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eID + МФА; биометрия (Face/Touch) в составе МФА</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Хранение токенов</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Защищённое хранилище ОС (Keychain / Keystore)</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Push-уведомления</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FCM (Android) и APNs (iOS) через сервис уведомлений (раздел 4Б.7)</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Офлайн-режим</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Базовый: просмотр ранее загруженных данных и документов</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Локализация</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Многоязычность (tg, ru как минимум; раздел 6В.2)</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 (a11y)</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Поддержка вспомогательных технологий ОС (раздел 6В.1)</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Нативные модули</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Биометрия, камера (документы), защищённое хранилище, push</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Обновления</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Публикация в Google Play и App Store; синхронные релизы</w:t>
            </w:r>
          </w:p>
        </w:tc>
      </w:tr>
    </w:tbl>
    <w:p>
      <w:pPr>
        <w:spacing w:after="160" w:before="60" w:line="240"/>
      </w:pPr>
      <w:r>
        <w:rPr>
          <w:i/>
          <w:iCs/>
          <w:color w:val="5A6B7B"/>
          <w:sz w:val="18"/>
          <w:szCs w:val="18"/>
        </w:rPr>
        <w:t xml:space="preserve">Таблица 5Д.2 — Технические требования к мобильному приложению (React Native).</w:t>
      </w:r>
    </w:p>
    <w:p>
      <w:pPr>
        <w:pStyle w:val="Heading3"/>
      </w:pPr>
      <w:r>
        <w:t xml:space="preserve">5Д.4.3. Архитектура мобильного приложения</w:t>
      </w:r>
    </w:p>
    <w:p>
      <w:pPr>
        <w:pStyle w:val="ListParagraph"/>
        <w:numPr>
          <w:ilvl w:val="0"/>
          <w:numId w:val="2"/>
        </w:numPr>
        <w:spacing w:after="80" w:line="264"/>
      </w:pPr>
      <w:r>
        <w:rPr>
          <w:b/>
          <w:bCs/>
        </w:rPr>
        <w:t xml:space="preserve">Взаимодействие с Платформой. </w:t>
      </w:r>
      <w:r>
        <w:t xml:space="preserve">Только через mobile-bff (раздел 4.2); прямого доступа к доменным сервисам нет.</w:t>
      </w:r>
    </w:p>
    <w:p>
      <w:pPr>
        <w:pStyle w:val="ListParagraph"/>
        <w:numPr>
          <w:ilvl w:val="0"/>
          <w:numId w:val="2"/>
        </w:numPr>
        <w:spacing w:after="80" w:line="264"/>
      </w:pPr>
      <w:r>
        <w:rPr>
          <w:b/>
          <w:bCs/>
        </w:rPr>
        <w:t xml:space="preserve">Управление состоянием. </w:t>
      </w:r>
      <w:r>
        <w:t xml:space="preserve">Состояние на клиенте; кэширование данных; отсутствие хранения чувствительных данных сверх необходимого.</w:t>
      </w:r>
    </w:p>
    <w:p>
      <w:pPr>
        <w:pStyle w:val="ListParagraph"/>
        <w:numPr>
          <w:ilvl w:val="0"/>
          <w:numId w:val="2"/>
        </w:numPr>
        <w:spacing w:after="80" w:line="264"/>
      </w:pPr>
      <w:r>
        <w:rPr>
          <w:b/>
          <w:bCs/>
        </w:rPr>
        <w:t xml:space="preserve">Структура. </w:t>
      </w:r>
      <w:r>
        <w:t xml:space="preserve">Компонентная архитектура с переиспользуемыми элементами интерфейса; общая дизайн-система с веб-каналом.</w:t>
      </w:r>
    </w:p>
    <w:p>
      <w:pPr>
        <w:pStyle w:val="ListParagraph"/>
        <w:numPr>
          <w:ilvl w:val="0"/>
          <w:numId w:val="2"/>
        </w:numPr>
        <w:spacing w:after="80" w:line="264"/>
      </w:pPr>
      <w:r>
        <w:rPr>
          <w:b/>
          <w:bCs/>
        </w:rPr>
        <w:t xml:space="preserve">Производительность. </w:t>
      </w:r>
      <w:r>
        <w:t xml:space="preserve">Бюджеты производительности интерфейса (раздел 6Б.4); экономное использование трафика и батареи.</w:t>
      </w:r>
    </w:p>
    <w:p>
      <w:pPr>
        <w:pStyle w:val="ListParagraph"/>
        <w:numPr>
          <w:ilvl w:val="0"/>
          <w:numId w:val="2"/>
        </w:numPr>
        <w:spacing w:after="80" w:line="264"/>
      </w:pPr>
      <w:r>
        <w:rPr>
          <w:b/>
          <w:bCs/>
        </w:rPr>
        <w:t xml:space="preserve">Безопасность. </w:t>
      </w:r>
      <w:r>
        <w:t xml:space="preserve">Защищённое хранение токенов, защита от подмены и перехвата, соответствие требованиям раздела 11А.</w:t>
      </w:r>
    </w:p>
    <w:p>
      <w:pPr>
        <w:pStyle w:val="Heading3"/>
      </w:pPr>
      <w:r>
        <w:t xml:space="preserve">5Д.4.4. Безопасность мобильного канала</w:t>
      </w:r>
    </w:p>
    <w:p>
      <w:pPr>
        <w:spacing w:after="120" w:line="276"/>
      </w:pPr>
      <w:r>
        <w:t xml:space="preserve">Мобильное приложение подчиняется общим требованиям безопасности (разделы 11, 11А) с учётом специфики мобильной платформы: защищённое хранение учётных данных и токенов средствами ОС, биометрия в составе многофакторной аутентификации, защита канала (TLS), контроль целостности приложения. Чувствительные данные не сохраняются на устройстве сверх необходимого; при выходе из приложения сессионные данные очищаются согласно политике.</w:t>
      </w:r>
    </w:p>
    <w:p>
      <w:pPr>
        <w:pStyle w:val="Heading1"/>
      </w:pPr>
      <w:r>
        <w:t xml:space="preserve">5Е. Слой мастер-данных и аналитики (перспективная область, вне текущего объёма работ)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Статус раздела: перспектива (vision), вне текущего объёма работ. </w:t>
            </w:r>
            <w:r>
              <w:rPr>
                <w:sz w:val="21"/>
                <w:szCs w:val="21"/>
              </w:rPr>
              <w:t xml:space="preserve">Слой мастер-данных и аналитики представляет собой отдельную архитектуру с иным типом нагрузки (аналитическая, OLAP) и иным рабочим процессом, чем операционное ядро Платформы (OLTP). В рамках настоящего проекта он не реализуется. Раздел фиксирует целевое видение и требует отдельной архитектурной проработки, проектирования и планирования (включая выбор конкретных технологий, моделей данных и оценку ресурсов) до начала каких-либо работ по нему. Приведённые ниже положения носят ориентирующий характер и не являются обязательствами по реализации в текущем объёме.</w:t>
            </w:r>
          </w:p>
        </w:tc>
      </w:tr>
    </w:tbl>
    <w:p>
      <w:pPr>
        <w:spacing w:after="120" w:line="276"/>
      </w:pPr>
      <w:r>
        <w:t xml:space="preserve">Настоящий раздел описывает целевое видение слоя мастер-данных и аналитики. Назначение слоя — сделать данные, проходящие через Систему, доступными для сводной отчётности, контроля показателей и будущих инициатив искусственного интеллекта Агентства, не нарушая принцип владения данными (раздел 5Б.1): операционные сервисы остаются единственными владельцами своих данных, а аналитический слой получал бы их копию через события, не вмешиваясь в операционную работу. Конкретная реализация определяется отдельной проработкой за рамками текущего проекта.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Принцип разделения нагрузок. </w:t>
            </w:r>
            <w:r>
              <w:rPr>
                <w:sz w:val="21"/>
                <w:szCs w:val="21"/>
              </w:rPr>
              <w:t xml:space="preserve">Операционная обработка (OLTP) и аналитика (OLAP) физически разделяются. Аналитика не выполняется на операционных базах данных и не влияет на их производительность и доступность. Это одна из причин, по которой слой выделяется в отдельную архитектуру и прорабатывается самостоятельно.</w:t>
            </w:r>
          </w:p>
        </w:tc>
      </w:tr>
    </w:tbl>
    <w:p>
      <w:pPr>
        <w:pStyle w:val="Heading2"/>
      </w:pPr>
      <w:r>
        <w:t xml:space="preserve">5Е.1. Управление мастер-данными (MDM)</w:t>
      </w:r>
    </w:p>
    <w:p>
      <w:pPr>
        <w:spacing w:after="120" w:line="276"/>
      </w:pPr>
      <w:r>
        <w:t xml:space="preserve">Мастер-данные — это ключевые сущности, используемые многими подсистемами (граждане, организации, услуги, ведомства, справочники). Управление мастер-данными опирается на принцип единого источника истины (раздел 8, 8А): у каждой мастер-сущности один владелец, остальные используют её через контракты и события. Аналитический слой потребляет мастер-данные для обогащения и сопоставления, но не изменяет их.</w:t>
      </w:r>
    </w:p>
    <w:p>
      <w:pPr>
        <w:pStyle w:val="ListParagraph"/>
        <w:numPr>
          <w:ilvl w:val="0"/>
          <w:numId w:val="2"/>
        </w:numPr>
        <w:spacing w:after="80" w:line="264"/>
      </w:pPr>
      <w:r>
        <w:t xml:space="preserve">единый владелец и версионирование каждой мастер-сущности (раздел 8А);</w:t>
      </w:r>
    </w:p>
    <w:p>
      <w:pPr>
        <w:pStyle w:val="ListParagraph"/>
        <w:numPr>
          <w:ilvl w:val="0"/>
          <w:numId w:val="2"/>
        </w:numPr>
        <w:spacing w:after="80" w:line="264"/>
      </w:pPr>
      <w:r>
        <w:t xml:space="preserve">согласованные идентификаторы сущностей между подсистемами;</w:t>
      </w:r>
    </w:p>
    <w:p>
      <w:pPr>
        <w:pStyle w:val="ListParagraph"/>
        <w:numPr>
          <w:ilvl w:val="0"/>
          <w:numId w:val="2"/>
        </w:numPr>
        <w:spacing w:after="80" w:line="264"/>
      </w:pPr>
      <w:r>
        <w:t xml:space="preserve">качество данных: контроль полноты, форматов, ссылочной целостности;</w:t>
      </w:r>
    </w:p>
    <w:p>
      <w:pPr>
        <w:pStyle w:val="ListParagraph"/>
        <w:numPr>
          <w:ilvl w:val="0"/>
          <w:numId w:val="2"/>
        </w:numPr>
        <w:spacing w:after="80" w:line="264"/>
      </w:pPr>
      <w:r>
        <w:t xml:space="preserve">связь с государственными реестрами через Smart Bridge (первичные сведения — у реестров).</w:t>
      </w:r>
    </w:p>
    <w:p>
      <w:pPr>
        <w:pStyle w:val="Heading2"/>
      </w:pPr>
      <w:r>
        <w:t xml:space="preserve">5Е.2. Аналитический слой</w:t>
      </w:r>
    </w:p>
    <w:p>
      <w:pPr>
        <w:spacing w:after="120" w:line="276"/>
      </w:pPr>
      <w:r>
        <w:t xml:space="preserve">В целевом видении аналитический слой собирал бы данные доменных сервисов для сводной отчётности, мониторинга показателей (раздел 2.2) и подготовки данных для ИИ-инициатив. Данные поступали бы из событий (раздел 5Г), без прямого извлечения из операционных БД. Состав компонентов ниже приведён как ориентир для будущей проработки: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Компонент</w:t>
            </w:r>
          </w:p>
        </w:tc>
        <w:tc>
          <w:tcPr>
            <w:tcW w:type="dxa" w:w="64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Приём данных (ingestion)</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Потоковый сбор доменных событий из Kafka в аналитическое хранилище (Kafka — нативный источник для ClickHouse).</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Аналитическое хранилище (OLAP)</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Колоночная аналитическая СУБД (ClickHouse) для исторических и сводных данных; рассчитана на массовые агрегации, GROUP BY и JOIN по большим объёмам.</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Витрины данных (data marts)</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Предметные наборы под отчётность ведомств и Агентства поверх ClickHouse.</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Отчётность и BI</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Дашборды и отчёты по услугам, срокам, нагрузке, показателям.</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Подготовка данных для ИИ</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Обезличенные/агрегированные наборы для обучения и аналитики моделей.</w:t>
            </w:r>
          </w:p>
        </w:tc>
      </w:tr>
    </w:tbl>
    <w:p>
      <w:pPr>
        <w:spacing w:after="160" w:before="60" w:line="240"/>
      </w:pPr>
      <w:r>
        <w:rPr>
          <w:i/>
          <w:iCs/>
          <w:color w:val="5A6B7B"/>
          <w:sz w:val="18"/>
          <w:szCs w:val="18"/>
        </w:rPr>
        <w:t xml:space="preserve">Таблица 5Е.1 — Компоненты аналитического слоя.</w:t>
      </w:r>
    </w:p>
    <w:p>
      <w:pPr>
        <w:spacing w:after="120" w:line="276"/>
      </w:pPr>
      <w:r>
        <w:t xml:space="preserve">Потоковая природа приёма (через события) обеспечивает актуальность аналитики без нагрузки на операционные сервисы и без нарушения границ владения данными.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Разграничение хранилищ: аналитика и логи — это разные инструменты. </w:t>
            </w:r>
            <w:r>
              <w:rPr>
                <w:sz w:val="21"/>
                <w:szCs w:val="21"/>
              </w:rPr>
              <w:t xml:space="preserve">Для аналитических витрин применяется колоночная OLAP-СУБД (ClickHouse), способная выполнять сложные агрегации и соединения по большим данным. OpenSearch (раздел 5.3, 14А) используется только для логов и наблюдаемости (полнотекстовый поиск, операционные дашборды) и НЕ применяется как хранилище аналитических витрин: он плохо подходит для тяжёлых агрегаций (GROUP BY/JOIN) по большим объёмам. Это разграничение — часть перспективной проработки слоя 5Е.</w:t>
            </w:r>
          </w:p>
        </w:tc>
      </w:tr>
    </w:tbl>
    <w:p>
      <w:pPr>
        <w:pStyle w:val="Heading2"/>
      </w:pPr>
      <w:r>
        <w:t xml:space="preserve">5Е.3. Приватность и управление данными в аналитике</w:t>
      </w:r>
    </w:p>
    <w:p>
      <w:pPr>
        <w:spacing w:after="120" w:line="276"/>
      </w:pPr>
      <w:r>
        <w:t xml:space="preserve">Аналитический слой работает с персональными данными в строгом соответствии с разделами 11А.5–11А.6 и Законом РТ № 1537. Применяются:</w:t>
      </w:r>
    </w:p>
    <w:p>
      <w:pPr>
        <w:pStyle w:val="ListParagraph"/>
        <w:numPr>
          <w:ilvl w:val="0"/>
          <w:numId w:val="2"/>
        </w:numPr>
        <w:spacing w:after="80" w:line="264"/>
      </w:pPr>
      <w:r>
        <w:rPr>
          <w:b/>
          <w:bCs/>
        </w:rPr>
        <w:t xml:space="preserve">Минимизация и обезличивание. </w:t>
      </w:r>
      <w:r>
        <w:t xml:space="preserve">Для аналитики и подготовки данных к ИИ персональные данные обезличиваются или агрегируются; идентифицирующие сведения исключаются там, где не требуются.</w:t>
      </w:r>
    </w:p>
    <w:p>
      <w:pPr>
        <w:pStyle w:val="ListParagraph"/>
        <w:numPr>
          <w:ilvl w:val="0"/>
          <w:numId w:val="2"/>
        </w:numPr>
        <w:spacing w:after="80" w:line="264"/>
      </w:pPr>
      <w:r>
        <w:rPr>
          <w:b/>
          <w:bCs/>
        </w:rPr>
        <w:t xml:space="preserve">Цель и согласие. </w:t>
      </w:r>
      <w:r>
        <w:t xml:space="preserve">Обработка в аналитических целях допускается в рамках заявленных целей и правовых оснований; учитываются согласия (раздел 4А.9).</w:t>
      </w:r>
    </w:p>
    <w:p>
      <w:pPr>
        <w:pStyle w:val="ListParagraph"/>
        <w:numPr>
          <w:ilvl w:val="0"/>
          <w:numId w:val="2"/>
        </w:numPr>
        <w:spacing w:after="80" w:line="264"/>
      </w:pPr>
      <w:r>
        <w:rPr>
          <w:b/>
          <w:bCs/>
        </w:rPr>
        <w:t xml:space="preserve">Суверенитет данных. </w:t>
      </w:r>
      <w:r>
        <w:t xml:space="preserve">Аналитические данные хранятся и обрабатываются на территории РТ (раздел 1.5).</w:t>
      </w:r>
    </w:p>
    <w:p>
      <w:pPr>
        <w:pStyle w:val="ListParagraph"/>
        <w:numPr>
          <w:ilvl w:val="0"/>
          <w:numId w:val="2"/>
        </w:numPr>
        <w:spacing w:after="80" w:line="264"/>
      </w:pPr>
      <w:r>
        <w:rPr>
          <w:b/>
          <w:bCs/>
        </w:rPr>
        <w:t xml:space="preserve">Разграничение доступа и аудит. </w:t>
      </w:r>
      <w:r>
        <w:t xml:space="preserve">Доступ к аналитике ограничен ролями; обращения журналируются.</w:t>
      </w:r>
    </w:p>
    <w:p>
      <w:pPr>
        <w:pStyle w:val="ListParagraph"/>
        <w:numPr>
          <w:ilvl w:val="0"/>
          <w:numId w:val="2"/>
        </w:numPr>
        <w:spacing w:after="80" w:line="264"/>
      </w:pPr>
      <w:r>
        <w:rPr>
          <w:b/>
          <w:bCs/>
        </w:rPr>
        <w:t xml:space="preserve">Управление жизненным циклом. </w:t>
      </w:r>
      <w:r>
        <w:t xml:space="preserve">Сроки хранения и удаление аналитических данных — по разделу 5Б.4.</w:t>
      </w:r>
    </w:p>
    <w:p>
      <w:pPr>
        <w:pStyle w:val="Heading2"/>
      </w:pPr>
      <w:r>
        <w:t xml:space="preserve">5Е.4. Связь с ИИ-инициативами и слоем MCP</w:t>
      </w:r>
    </w:p>
    <w:p>
      <w:pPr>
        <w:spacing w:after="120" w:line="276"/>
      </w:pPr>
      <w:r>
        <w:t xml:space="preserve">В целевом видении аналитический слой стал бы источником подготовленных (обезличенных/агрегированных) данных для будущих инициатив искусственного интеллекта Агентства. Доступ ИИ-агентов к разрешённым возможностям и данным Платформы предоставлялся бы через слой MCP (раздел 13Б) с теми же проверками доступа, согласий и аудита. Тем самым отчётность и ИИ-инициативы опирались бы на единый управляемый слой данных, а не на прямой доступ к операционным сервисам.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Условие реализации. </w:t>
            </w:r>
            <w:r>
              <w:rPr>
                <w:sz w:val="21"/>
                <w:szCs w:val="21"/>
              </w:rPr>
              <w:t xml:space="preserve">Реализация слоя 5Е выполняется как отдельная инициатива после самостоятельной архитектурной проработки и планирования, вне текущего объёма работ. Текущий проект обеспечивает лишь предпосылку для него — событийную модель (раздел 5Г), из которой данные могут быть получены без нагрузки на операционные сервисы.</w:t>
            </w:r>
          </w:p>
        </w:tc>
      </w:tr>
    </w:tbl>
    <w:p>
      <w:pPr>
        <w:pStyle w:val="Heading1"/>
      </w:pPr>
      <w:r>
        <w:t xml:space="preserve">6. Требования к Low-Code платформе</w:t>
      </w:r>
    </w:p>
    <w:p>
      <w:pPr>
        <w:spacing w:after="120" w:line="276"/>
      </w:pPr>
      <w:r>
        <w:t xml:space="preserve">Создание и изменение услуг выполняется преимущественно средствами Low-Code, без написания кода. Это обеспечивает целевой срок создания типовой услуги ≤ 10 дней и позволяет администраторам услуг работать без участия разработчиков.</w:t>
      </w:r>
    </w:p>
    <w:p>
      <w:pPr>
        <w:pStyle w:val="Heading2"/>
      </w:pPr>
      <w:r>
        <w:t xml:space="preserve">6.1. Состав Low-Code инструментов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Инструмент</w:t>
            </w:r>
          </w:p>
        </w:tc>
        <w:tc>
          <w:tcPr>
            <w:tcW w:type="dxa" w:w="62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Конструктор процессов</w:t>
            </w:r>
          </w:p>
        </w:tc>
        <w:tc>
          <w:tcPr>
            <w:tcW w:type="dxa" w:w="6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Моделирование сценариев услуг в нотации BPMN (исполняется BPM-движком: Camunda 7 / альт. open-source).</w:t>
            </w:r>
          </w:p>
        </w:tc>
      </w:tr>
      <w:tr>
        <w:tc>
          <w:tcPr>
            <w:tcW w:type="dxa" w:w="3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Конструктор форм (Form.io)</w:t>
            </w:r>
          </w:p>
        </w:tc>
        <w:tc>
          <w:tcPr>
            <w:tcW w:type="dxa" w:w="6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Визуальное создание форм заявлений (детально — раздел 6А).</w:t>
            </w:r>
          </w:p>
        </w:tc>
      </w:tr>
      <w:tr>
        <w:tc>
          <w:tcPr>
            <w:tcW w:type="dxa" w:w="3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Конструктор правил (DMN)</w:t>
            </w:r>
          </w:p>
        </w:tc>
        <w:tc>
          <w:tcPr>
            <w:tcW w:type="dxa" w:w="6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Таблицы решений: автоматические проверки и расчёты без кода.</w:t>
            </w:r>
          </w:p>
        </w:tc>
      </w:tr>
      <w:tr>
        <w:tc>
          <w:tcPr>
            <w:tcW w:type="dxa" w:w="3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Конструктор маршрутов</w:t>
            </w:r>
          </w:p>
        </w:tc>
        <w:tc>
          <w:tcPr>
            <w:tcW w:type="dxa" w:w="6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Назначение ролей-исполнителей, сроков (SLA), правил эскалации.</w:t>
            </w:r>
          </w:p>
        </w:tc>
      </w:tr>
      <w:tr>
        <w:tc>
          <w:tcPr>
            <w:tcW w:type="dxa" w:w="3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Конструктор интеграций</w:t>
            </w:r>
          </w:p>
        </w:tc>
        <w:tc>
          <w:tcPr>
            <w:tcW w:type="dxa" w:w="6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Настройка коннекторов к ведомствам через Smart Bridge.</w:t>
            </w:r>
          </w:p>
        </w:tc>
      </w:tr>
      <w:tr>
        <w:tc>
          <w:tcPr>
            <w:tcW w:type="dxa" w:w="3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Конструктор уведомлений</w:t>
            </w:r>
          </w:p>
        </w:tc>
        <w:tc>
          <w:tcPr>
            <w:tcW w:type="dxa" w:w="6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Шаблоны push/e-mail/SMS с подстановкой данных и многоязычностью.</w:t>
            </w:r>
          </w:p>
        </w:tc>
      </w:tr>
    </w:tbl>
    <w:p>
      <w:pPr>
        <w:pStyle w:val="Heading2"/>
      </w:pPr>
      <w:r>
        <w:t xml:space="preserve">6.2. Требования к Low-Code среде</w:t>
      </w:r>
    </w:p>
    <w:p>
      <w:pPr>
        <w:pStyle w:val="ListParagraph"/>
        <w:numPr>
          <w:ilvl w:val="0"/>
          <w:numId w:val="2"/>
        </w:numPr>
        <w:spacing w:after="80" w:line="264"/>
      </w:pPr>
      <w:r>
        <w:rPr>
          <w:b/>
          <w:bCs/>
        </w:rPr>
        <w:t xml:space="preserve">Прямое исполнение. </w:t>
      </w:r>
      <w:r>
        <w:t xml:space="preserve">Модели процессов и форм исполняются движком напрямую, без генерации и компиляции исходного кода.</w:t>
      </w:r>
    </w:p>
    <w:p>
      <w:pPr>
        <w:pStyle w:val="ListParagraph"/>
        <w:numPr>
          <w:ilvl w:val="0"/>
          <w:numId w:val="2"/>
        </w:numPr>
        <w:spacing w:after="80" w:line="264"/>
      </w:pPr>
      <w:r>
        <w:rPr>
          <w:b/>
          <w:bCs/>
        </w:rPr>
        <w:t xml:space="preserve">Версионирование и откат. </w:t>
      </w:r>
      <w:r>
        <w:t xml:space="preserve">Каждая модель версионируется; предусмотрен откат (rollback) к предыдущей версии.</w:t>
      </w:r>
    </w:p>
    <w:p>
      <w:pPr>
        <w:pStyle w:val="ListParagraph"/>
        <w:numPr>
          <w:ilvl w:val="0"/>
          <w:numId w:val="2"/>
        </w:numPr>
        <w:spacing w:after="80" w:line="264"/>
      </w:pPr>
      <w:r>
        <w:rPr>
          <w:b/>
          <w:bCs/>
        </w:rPr>
        <w:t xml:space="preserve">Разделение ролей. </w:t>
      </w:r>
      <w:r>
        <w:t xml:space="preserve">Разграничение прав на создание, редактирование, согласование и публикацию моделей.</w:t>
      </w:r>
    </w:p>
    <w:p>
      <w:pPr>
        <w:pStyle w:val="ListParagraph"/>
        <w:numPr>
          <w:ilvl w:val="0"/>
          <w:numId w:val="2"/>
        </w:numPr>
        <w:spacing w:after="80" w:line="264"/>
      </w:pPr>
      <w:r>
        <w:rPr>
          <w:b/>
          <w:bCs/>
        </w:rPr>
        <w:t xml:space="preserve">Валидация. </w:t>
      </w:r>
      <w:r>
        <w:t xml:space="preserve">Проверка корректности модели перед публикацией (полнота формы, связность процесса).</w:t>
      </w:r>
    </w:p>
    <w:p>
      <w:pPr>
        <w:pStyle w:val="ListParagraph"/>
        <w:numPr>
          <w:ilvl w:val="0"/>
          <w:numId w:val="2"/>
        </w:numPr>
        <w:spacing w:after="80" w:line="264"/>
      </w:pPr>
      <w:r>
        <w:rPr>
          <w:b/>
          <w:bCs/>
        </w:rPr>
        <w:t xml:space="preserve">Поэтапное включение. </w:t>
      </w:r>
      <w:r>
        <w:t xml:space="preserve">Управление выкаткой новых версий услуг через feature flags (Unleash), включая canary-режим.</w:t>
      </w:r>
    </w:p>
    <w:p>
      <w:pPr>
        <w:pStyle w:val="Heading2"/>
      </w:pPr>
      <w:r>
        <w:t xml:space="preserve">6.3. Граница Low-Code / Pro-Code</w:t>
      </w:r>
    </w:p>
    <w:p>
      <w:pPr>
        <w:spacing w:after="120" w:line="276"/>
      </w:pPr>
      <w:r>
        <w:t xml:space="preserve">Чёткое разделение того, что создаётся средствами Low-Code, и того, что требует разработки (Pro-Code), предотвращает попытки реализовать сложную логику в неподходящем инструменте.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Реализуется в Low-Code</w:t>
            </w:r>
          </w:p>
        </w:tc>
        <w:tc>
          <w:tcPr>
            <w:tcW w:type="dxa" w:w="468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Реализуется в Pro-Code (разработка)</w:t>
            </w:r>
          </w:p>
        </w:tc>
      </w:tr>
      <w:tr>
        <w:tc>
          <w:tcPr>
            <w:tcW w:type="dxa" w:w="46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Процессы (BPMN), формы, правила (DMN), шаблоны уведомлений и документов.</w:t>
            </w:r>
          </w:p>
        </w:tc>
        <w:tc>
          <w:tcPr>
            <w:tcW w:type="dxa" w:w="46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Платформенные сервисы, BFF-слой, подсистема IAM.</w:t>
            </w:r>
          </w:p>
        </w:tc>
      </w:tr>
      <w:tr>
        <w:tc>
          <w:tcPr>
            <w:tcW w:type="dxa" w:w="46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Параметры конкретных услуг (сроки, роли, поля).</w:t>
            </w:r>
          </w:p>
        </w:tc>
        <w:tc>
          <w:tcPr>
            <w:tcW w:type="dxa" w:w="46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Сложные алгоритмы, нестандартные коннекторы Smart Bridge.</w:t>
            </w:r>
          </w:p>
        </w:tc>
      </w:tr>
    </w:tbl>
    <w:p>
      <w:pPr>
        <w:pStyle w:val="Heading1"/>
      </w:pPr>
      <w:r>
        <w:t xml:space="preserve">6А. Конструктор электронных форм (Form.io)</w:t>
      </w:r>
    </w:p>
    <w:p>
      <w:pPr>
        <w:pStyle w:val="Heading2"/>
      </w:pPr>
      <w:r>
        <w:t xml:space="preserve">6А.1. Назначение</w:t>
      </w:r>
    </w:p>
    <w:p>
      <w:pPr>
        <w:spacing w:after="120" w:line="276"/>
      </w:pPr>
      <w:r>
        <w:t xml:space="preserve">Разделение ответственности между инструментами: BPM-движок (Camunda 7 / альт. open-source) отвечает за оркестрацию процесса услуги, Form.io — за визуальное создание форм заявлений без программирования. Форма привязывается к пользовательской задаче (user task) процесса и отображается заявителю или специалисту на соответствующем шаге.</w:t>
      </w:r>
    </w:p>
    <w:p>
      <w:pPr>
        <w:pStyle w:val="Heading2"/>
      </w:pPr>
      <w:r>
        <w:t xml:space="preserve">6А.2. Платформа конструктора форм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rPr>
          <w:tblHeader/>
        </w:trPr>
        <w:tc>
          <w:tcPr>
            <w:tcW w:type="dxa" w:w="2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Платформа</w:t>
            </w:r>
          </w:p>
        </w:tc>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Лицензия</w:t>
            </w:r>
          </w:p>
        </w:tc>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Интеграция</w:t>
            </w:r>
          </w:p>
        </w:tc>
        <w:tc>
          <w:tcPr>
            <w:tcW w:type="dxa" w:w="2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Рекомендация</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Form.io</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MIT (CE) / Commercial</w:t>
            </w:r>
          </w:p>
        </w:tc>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REST API → BPM-движок</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bCs/>
                <w:color w:val="2E7D32"/>
                <w:sz w:val="20"/>
                <w:szCs w:val="20"/>
              </w:rPr>
              <w:t xml:space="preserve">Основной вариант</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Joget DX</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GPLv3 (CE) / Commercial</w:t>
            </w:r>
          </w:p>
        </w:tc>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Встроенный workflow</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Альтернатива</w:t>
            </w:r>
          </w:p>
        </w:tc>
      </w:tr>
    </w:tbl>
    <w:p>
      <w:pPr>
        <w:pStyle w:val="Heading2"/>
      </w:pPr>
      <w:r>
        <w:t xml:space="preserve">6А.3. Требования к конструктору форм</w:t>
      </w:r>
    </w:p>
    <w:p>
      <w:pPr>
        <w:pStyle w:val="ListParagraph"/>
        <w:numPr>
          <w:ilvl w:val="0"/>
          <w:numId w:val="2"/>
        </w:numPr>
        <w:spacing w:after="80" w:line="264"/>
      </w:pPr>
      <w:r>
        <w:rPr>
          <w:b/>
          <w:bCs/>
        </w:rPr>
        <w:t xml:space="preserve">Визуальное создание (drag-and-drop) </w:t>
      </w:r>
      <w:r>
        <w:t xml:space="preserve">полей и блоков формы без написания кода.</w:t>
      </w:r>
    </w:p>
    <w:p>
      <w:pPr>
        <w:pStyle w:val="ListParagraph"/>
        <w:numPr>
          <w:ilvl w:val="0"/>
          <w:numId w:val="2"/>
        </w:numPr>
        <w:spacing w:after="80" w:line="264"/>
      </w:pPr>
      <w:r>
        <w:rPr>
          <w:b/>
          <w:bCs/>
        </w:rPr>
        <w:t xml:space="preserve">Условная логика. </w:t>
      </w:r>
      <w:r>
        <w:t xml:space="preserve">Показ/скрытие полей и блоков в зависимости от введённых значений.</w:t>
      </w:r>
    </w:p>
    <w:p>
      <w:pPr>
        <w:pStyle w:val="ListParagraph"/>
        <w:numPr>
          <w:ilvl w:val="0"/>
          <w:numId w:val="2"/>
        </w:numPr>
        <w:spacing w:after="80" w:line="264"/>
      </w:pPr>
      <w:r>
        <w:rPr>
          <w:b/>
          <w:bCs/>
        </w:rPr>
        <w:t xml:space="preserve">Валидация. </w:t>
      </w:r>
      <w:r>
        <w:t xml:space="preserve">Маски ввода, обязательность, форматы (ИНН, дата, телефон), межполевые проверки.</w:t>
      </w:r>
    </w:p>
    <w:p>
      <w:pPr>
        <w:pStyle w:val="ListParagraph"/>
        <w:numPr>
          <w:ilvl w:val="0"/>
          <w:numId w:val="2"/>
        </w:numPr>
        <w:spacing w:after="80" w:line="264"/>
      </w:pPr>
      <w:r>
        <w:rPr>
          <w:b/>
          <w:bCs/>
        </w:rPr>
        <w:t xml:space="preserve">Автозаполнение через Smart Bridge. </w:t>
      </w:r>
      <w:r>
        <w:t xml:space="preserve">Подстановка данных из реестров (реализация принципа Once-Only).</w:t>
      </w:r>
    </w:p>
    <w:p>
      <w:pPr>
        <w:pStyle w:val="ListParagraph"/>
        <w:numPr>
          <w:ilvl w:val="0"/>
          <w:numId w:val="2"/>
        </w:numPr>
        <w:spacing w:after="80" w:line="264"/>
      </w:pPr>
      <w:r>
        <w:rPr>
          <w:b/>
          <w:bCs/>
        </w:rPr>
        <w:t xml:space="preserve">Многоязычность. </w:t>
      </w:r>
      <w:r>
        <w:t xml:space="preserve">Таджикский, русский и английский языки в рамках одной формы.</w:t>
      </w:r>
    </w:p>
    <w:p>
      <w:pPr>
        <w:pStyle w:val="ListParagraph"/>
        <w:numPr>
          <w:ilvl w:val="0"/>
          <w:numId w:val="2"/>
        </w:numPr>
        <w:spacing w:after="80" w:line="264"/>
      </w:pPr>
      <w:r>
        <w:rPr>
          <w:b/>
          <w:bCs/>
        </w:rPr>
        <w:t xml:space="preserve">Версионирование и песочница. </w:t>
      </w:r>
      <w:r>
        <w:t xml:space="preserve">Хранение версий форм и тестовая среда для проверки до публикации.</w:t>
      </w:r>
    </w:p>
    <w:p>
      <w:pPr>
        <w:pStyle w:val="ListParagraph"/>
        <w:numPr>
          <w:ilvl w:val="0"/>
          <w:numId w:val="2"/>
        </w:numPr>
        <w:spacing w:after="80" w:line="264"/>
      </w:pPr>
      <w:r>
        <w:rPr>
          <w:b/>
          <w:bCs/>
        </w:rPr>
        <w:t xml:space="preserve">Формирование PDF. </w:t>
      </w:r>
      <w:r>
        <w:t xml:space="preserve">Генерация печатной формы заявления через Gotenberg.</w:t>
      </w:r>
    </w:p>
    <w:p>
      <w:pPr>
        <w:pStyle w:val="ListParagraph"/>
        <w:numPr>
          <w:ilvl w:val="0"/>
          <w:numId w:val="2"/>
        </w:numPr>
        <w:spacing w:after="80" w:line="264"/>
      </w:pPr>
      <w:r>
        <w:rPr>
          <w:b/>
          <w:bCs/>
        </w:rPr>
        <w:t xml:space="preserve">Интеграция с BPM. </w:t>
      </w:r>
      <w:r>
        <w:t xml:space="preserve">Привязка формы к user task процесса BPM-движка (Camunda 7 / альт. open-source).</w:t>
      </w:r>
    </w:p>
    <w:p>
      <w:pPr>
        <w:pStyle w:val="Heading1"/>
      </w:pPr>
      <w:r>
        <w:t xml:space="preserve">6Б. Каналы доступа и требования к пользовательскому опыту</w:t>
      </w:r>
    </w:p>
    <w:p>
      <w:pPr>
        <w:spacing w:after="120" w:line="276"/>
      </w:pPr>
      <w:r>
        <w:t xml:space="preserve">Платформа предоставляет услуги через несколько каналов с единым набором функций и согласованным пользовательским опытом. Настоящий раздел определяет каналы, принципы проектирования интерфейсов и требования к ключевым пользовательским путям.</w:t>
      </w:r>
    </w:p>
    <w:p>
      <w:pPr>
        <w:pStyle w:val="Heading2"/>
      </w:pPr>
      <w:r>
        <w:t xml:space="preserve">6Б.1. Каналы доступа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Канал</w:t>
            </w:r>
          </w:p>
        </w:tc>
        <w:tc>
          <w:tcPr>
            <w:tcW w:type="dxa" w:w="4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c>
          <w:tcPr>
            <w:tcW w:type="dxa" w:w="2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Слой агрегации</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Веб-портал</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Основной канал для подробных сценариев, работы с документами</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web-bff</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Мобильные приложения</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Приоритетный канал граждан (Android/iOS)</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mobile-bff</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Внешние API</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Интеграция организаций и систем</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API Gateway</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Чат-боты</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Информирование, простые операции</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web-bff</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АРМ специалиста</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Рабочее место специалиста ведомства</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web-bff</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Кабинет администратора</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Конструкторы Low-Code</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web-bff</w:t>
            </w:r>
          </w:p>
        </w:tc>
      </w:tr>
    </w:tbl>
    <w:p>
      <w:pPr>
        <w:spacing w:after="160" w:before="60" w:line="240"/>
      </w:pPr>
      <w:r>
        <w:rPr>
          <w:i/>
          <w:iCs/>
          <w:color w:val="5A6B7B"/>
          <w:sz w:val="18"/>
          <w:szCs w:val="18"/>
        </w:rPr>
        <w:t xml:space="preserve">Таблица 6Б.1 — Каналы доступа и слои агрегации.</w:t>
      </w:r>
    </w:p>
    <w:p>
      <w:pPr>
        <w:pStyle w:val="Heading2"/>
      </w:pPr>
      <w:r>
        <w:t xml:space="preserve">6Б.2. Принципы проектирования интерфейсов</w:t>
      </w:r>
    </w:p>
    <w:p>
      <w:pPr>
        <w:pStyle w:val="ListParagraph"/>
        <w:numPr>
          <w:ilvl w:val="0"/>
          <w:numId w:val="2"/>
        </w:numPr>
        <w:spacing w:after="80" w:line="264"/>
      </w:pPr>
      <w:r>
        <w:rPr>
          <w:b/>
          <w:bCs/>
        </w:rPr>
        <w:t xml:space="preserve">Мобильный приоритет. </w:t>
      </w:r>
      <w:r>
        <w:t xml:space="preserve">Интерфейсы проектируются в первую очередь для мобильных устройств; адаптивная вёрстка для остальных размеров экрана.</w:t>
      </w:r>
    </w:p>
    <w:p>
      <w:pPr>
        <w:pStyle w:val="ListParagraph"/>
        <w:numPr>
          <w:ilvl w:val="0"/>
          <w:numId w:val="2"/>
        </w:numPr>
        <w:spacing w:after="80" w:line="264"/>
      </w:pPr>
      <w:r>
        <w:rPr>
          <w:b/>
          <w:bCs/>
        </w:rPr>
        <w:t xml:space="preserve">Ориентация на задачу. </w:t>
      </w:r>
      <w:r>
        <w:t xml:space="preserve">Пользовательские пути выстраиваются вокруг жизненных ситуаций, а не структуры ведомств.</w:t>
      </w:r>
    </w:p>
    <w:p>
      <w:pPr>
        <w:pStyle w:val="ListParagraph"/>
        <w:numPr>
          <w:ilvl w:val="0"/>
          <w:numId w:val="2"/>
        </w:numPr>
        <w:spacing w:after="80" w:line="264"/>
      </w:pPr>
      <w:r>
        <w:rPr>
          <w:b/>
          <w:bCs/>
        </w:rPr>
        <w:t xml:space="preserve">Минимум усилий. </w:t>
      </w:r>
      <w:r>
        <w:t xml:space="preserve">Автозаполнение (Once-Only), понятные подсказки, сохранение черновиков, минимум обязательных полей.</w:t>
      </w:r>
    </w:p>
    <w:p>
      <w:pPr>
        <w:pStyle w:val="ListParagraph"/>
        <w:numPr>
          <w:ilvl w:val="0"/>
          <w:numId w:val="2"/>
        </w:numPr>
        <w:spacing w:after="80" w:line="264"/>
      </w:pPr>
      <w:r>
        <w:rPr>
          <w:b/>
          <w:bCs/>
        </w:rPr>
        <w:t xml:space="preserve">Прозрачность статуса. </w:t>
      </w:r>
      <w:r>
        <w:t xml:space="preserve">Понятное отображение статуса заявления и следующего шага на каждом этапе.</w:t>
      </w:r>
    </w:p>
    <w:p>
      <w:pPr>
        <w:pStyle w:val="ListParagraph"/>
        <w:numPr>
          <w:ilvl w:val="0"/>
          <w:numId w:val="2"/>
        </w:numPr>
        <w:spacing w:after="80" w:line="264"/>
      </w:pPr>
      <w:r>
        <w:rPr>
          <w:b/>
          <w:bCs/>
        </w:rPr>
        <w:t xml:space="preserve">Единый дизайн. </w:t>
      </w:r>
      <w:r>
        <w:t xml:space="preserve">Общая дизайн-система (компоненты, типографика, цвета) для согласованности каналов.</w:t>
      </w:r>
    </w:p>
    <w:p>
      <w:pPr>
        <w:pStyle w:val="ListParagraph"/>
        <w:numPr>
          <w:ilvl w:val="0"/>
          <w:numId w:val="2"/>
        </w:numPr>
        <w:spacing w:after="80" w:line="264"/>
      </w:pPr>
      <w:r>
        <w:rPr>
          <w:b/>
          <w:bCs/>
        </w:rPr>
        <w:t xml:space="preserve">Обратная связь. </w:t>
      </w:r>
      <w:r>
        <w:t xml:space="preserve">Немедленная реакция на действия, понятные сообщения об ошибках с указанием способа исправления.</w:t>
      </w:r>
    </w:p>
    <w:p>
      <w:pPr>
        <w:pStyle w:val="Heading2"/>
      </w:pPr>
      <w:r>
        <w:t xml:space="preserve">6Б.3. Ключевые пользовательские пути</w:t>
      </w:r>
    </w:p>
    <w:p>
      <w:pPr>
        <w:spacing w:after="120" w:line="276"/>
      </w:pPr>
      <w:r>
        <w:t xml:space="preserve">Для ключевых путей задаются требования к простоте и скорости. Эти требования проверяются юзабилити-тестированием и метриками поведения.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Путь</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Поиск услуги</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Поиск и фильтрация; результат за ≤ 3 действия от главной.</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Подача заявления</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Минимум шагов; автозаполнение известных данных; сохранение черновика.</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Оплата</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Понятный расчёт суммы; подтверждение; квитанция в кабинете.</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Отслеживание статуса</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Текущий статус и следующий шаг видны без дополнительных действий.</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Получение результата</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 доступен в кабинете; уведомление по выбранному каналу.</w:t>
            </w:r>
          </w:p>
        </w:tc>
      </w:tr>
    </w:tbl>
    <w:p>
      <w:pPr>
        <w:spacing w:after="160" w:before="60" w:line="240"/>
      </w:pPr>
      <w:r>
        <w:rPr>
          <w:i/>
          <w:iCs/>
          <w:color w:val="5A6B7B"/>
          <w:sz w:val="18"/>
          <w:szCs w:val="18"/>
        </w:rPr>
        <w:t xml:space="preserve">Таблица 6Б.2 — Требования к ключевым пользовательским путям.</w:t>
      </w:r>
    </w:p>
    <w:p>
      <w:pPr>
        <w:pStyle w:val="Heading2"/>
      </w:pPr>
      <w:r>
        <w:t xml:space="preserve">6Б.4. Бюджеты производительности интерфейса</w:t>
      </w:r>
    </w:p>
    <w:p>
      <w:pPr>
        <w:spacing w:after="120" w:line="276"/>
      </w:pPr>
      <w:r>
        <w:t xml:space="preserve">Для обеспечения отзывчивости (раздел 12.1) задаются бюджеты производительности фронтенда. Превышение бюджета блокирует релиз страницы.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Показатель</w:t>
            </w:r>
          </w:p>
        </w:tc>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Бюджет</w:t>
            </w:r>
          </w:p>
        </w:tc>
        <w:tc>
          <w:tcPr>
            <w:tcW w:type="dxa" w:w="3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Примечание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до интерактивности (TTI)</w:t>
            </w:r>
          </w:p>
        </w:tc>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3 с (мобайл, 4G)</w:t>
            </w:r>
          </w:p>
        </w:tc>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Ключевые страницы</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отклика интерфейса (P95)</w:t>
            </w:r>
          </w:p>
        </w:tc>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1,5 с</w:t>
            </w:r>
          </w:p>
        </w:tc>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Согласовано с разделом 12.1</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Размер начальной загрузки</w:t>
            </w:r>
          </w:p>
        </w:tc>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Ограничен бюджетом</w:t>
            </w:r>
          </w:p>
        </w:tc>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Код-сплиттинг, ленивая загрузка</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 офлайн</w:t>
            </w:r>
          </w:p>
        </w:tc>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Базовая (кэш)</w:t>
            </w:r>
          </w:p>
        </w:tc>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Просмотр ранее загруженного</w:t>
            </w:r>
          </w:p>
        </w:tc>
      </w:tr>
    </w:tbl>
    <w:p>
      <w:pPr>
        <w:spacing w:after="160" w:before="60" w:line="240"/>
      </w:pPr>
      <w:r>
        <w:rPr>
          <w:i/>
          <w:iCs/>
          <w:color w:val="5A6B7B"/>
          <w:sz w:val="18"/>
          <w:szCs w:val="18"/>
        </w:rPr>
        <w:t xml:space="preserve">Таблица 6Б.3 — Бюджеты производительности интерфейса.</w:t>
      </w:r>
    </w:p>
    <w:p>
      <w:pPr>
        <w:pStyle w:val="Heading1"/>
      </w:pPr>
      <w:r>
        <w:t xml:space="preserve">6В. Доступность и многоязычность</w:t>
      </w:r>
    </w:p>
    <w:p>
      <w:pPr>
        <w:pStyle w:val="Heading2"/>
      </w:pPr>
      <w:r>
        <w:t xml:space="preserve">6В.1. Доступность (accessibility)</w:t>
      </w:r>
    </w:p>
    <w:p>
      <w:pPr>
        <w:spacing w:after="120" w:line="276"/>
      </w:pPr>
      <w:r>
        <w:t xml:space="preserve">Интерфейсы Платформы проектируются доступными для людей с ограниченными возможностями в соответствии с признанными международными критериями доступности веб-контента. Доступность является обязательным требованием, поскольку государственные услуги должны быть доступны всем гражданам.</w:t>
      </w:r>
    </w:p>
    <w:p>
      <w:pPr>
        <w:pStyle w:val="ListParagraph"/>
        <w:numPr>
          <w:ilvl w:val="0"/>
          <w:numId w:val="2"/>
        </w:numPr>
        <w:spacing w:after="80" w:line="264"/>
      </w:pPr>
      <w:r>
        <w:rPr>
          <w:b/>
          <w:bCs/>
        </w:rPr>
        <w:t xml:space="preserve">Восприятие. </w:t>
      </w:r>
      <w:r>
        <w:t xml:space="preserve">Текстовые альтернативы изображений, достаточный контраст, масштабируемый текст, поддержка экранных дикторов.</w:t>
      </w:r>
    </w:p>
    <w:p>
      <w:pPr>
        <w:pStyle w:val="ListParagraph"/>
        <w:numPr>
          <w:ilvl w:val="0"/>
          <w:numId w:val="2"/>
        </w:numPr>
        <w:spacing w:after="80" w:line="264"/>
      </w:pPr>
      <w:r>
        <w:rPr>
          <w:b/>
          <w:bCs/>
        </w:rPr>
        <w:t xml:space="preserve">Управляемость. </w:t>
      </w:r>
      <w:r>
        <w:t xml:space="preserve">Полная управляемость с клавиатуры, видимый фокус, отсутствие ловушек фокуса, достаточное время на действия.</w:t>
      </w:r>
    </w:p>
    <w:p>
      <w:pPr>
        <w:pStyle w:val="ListParagraph"/>
        <w:numPr>
          <w:ilvl w:val="0"/>
          <w:numId w:val="2"/>
        </w:numPr>
        <w:spacing w:after="80" w:line="264"/>
      </w:pPr>
      <w:r>
        <w:rPr>
          <w:b/>
          <w:bCs/>
        </w:rPr>
        <w:t xml:space="preserve">Понятность. </w:t>
      </w:r>
      <w:r>
        <w:t xml:space="preserve">Понятный язык, предсказуемое поведение, понятные сообщения об ошибках и подсказки.</w:t>
      </w:r>
    </w:p>
    <w:p>
      <w:pPr>
        <w:pStyle w:val="ListParagraph"/>
        <w:numPr>
          <w:ilvl w:val="0"/>
          <w:numId w:val="2"/>
        </w:numPr>
        <w:spacing w:after="80" w:line="264"/>
      </w:pPr>
      <w:r>
        <w:rPr>
          <w:b/>
          <w:bCs/>
        </w:rPr>
        <w:t xml:space="preserve">Надёжность. </w:t>
      </w:r>
      <w:r>
        <w:t xml:space="preserve">Совместимость со вспомогательными технологиями; корректная семантическая разметка.</w:t>
      </w:r>
    </w:p>
    <w:p>
      <w:pPr>
        <w:spacing w:after="120" w:line="276"/>
      </w:pPr>
      <w:r>
        <w:t xml:space="preserve">Доступность проверяется автоматизированными средствами и ручным тестированием, в том числе с участием пользователей вспомогательных технологий.</w:t>
      </w:r>
    </w:p>
    <w:p>
      <w:pPr>
        <w:pStyle w:val="Heading2"/>
      </w:pPr>
      <w:r>
        <w:t xml:space="preserve">6В.2. Многоязычность (i18n / l10n)</w:t>
      </w:r>
    </w:p>
    <w:p>
      <w:pPr>
        <w:spacing w:after="120" w:line="276"/>
      </w:pPr>
      <w:r>
        <w:t xml:space="preserve">Платформа поддерживает несколько языков интерфейса и контента. Минимальный набор — таджикский и русский; предусмотрена возможность добавления других языков (например, английского) без изменения архитектуры.</w:t>
      </w:r>
    </w:p>
    <w:p>
      <w:pPr>
        <w:pStyle w:val="ListParagraph"/>
        <w:numPr>
          <w:ilvl w:val="0"/>
          <w:numId w:val="2"/>
        </w:numPr>
        <w:spacing w:after="80" w:line="264"/>
      </w:pPr>
      <w:r>
        <w:rPr>
          <w:b/>
          <w:bCs/>
        </w:rPr>
        <w:t xml:space="preserve">Интерфейс. </w:t>
      </w:r>
      <w:r>
        <w:t xml:space="preserve">Все элементы интерфейса вынесены в ресурсы локализации; переключение языка не требует перезагрузки данных.</w:t>
      </w:r>
    </w:p>
    <w:p>
      <w:pPr>
        <w:pStyle w:val="ListParagraph"/>
        <w:numPr>
          <w:ilvl w:val="0"/>
          <w:numId w:val="2"/>
        </w:numPr>
        <w:spacing w:after="80" w:line="264"/>
      </w:pPr>
      <w:r>
        <w:rPr>
          <w:b/>
          <w:bCs/>
        </w:rPr>
        <w:t xml:space="preserve">Контент услуг. </w:t>
      </w:r>
      <w:r>
        <w:t xml:space="preserve">Наименования, регламенты, формы и уведомления заполняются на поддерживаемых языках (раздел 6А).</w:t>
      </w:r>
    </w:p>
    <w:p>
      <w:pPr>
        <w:pStyle w:val="ListParagraph"/>
        <w:numPr>
          <w:ilvl w:val="0"/>
          <w:numId w:val="2"/>
        </w:numPr>
        <w:spacing w:after="80" w:line="264"/>
      </w:pPr>
      <w:r>
        <w:rPr>
          <w:b/>
          <w:bCs/>
        </w:rPr>
        <w:t xml:space="preserve">Форматы. </w:t>
      </w:r>
      <w:r>
        <w:t xml:space="preserve">Локализованные форматы дат, чисел; корректная обработка различных алфавитов и направлений.</w:t>
      </w:r>
    </w:p>
    <w:p>
      <w:pPr>
        <w:pStyle w:val="ListParagraph"/>
        <w:numPr>
          <w:ilvl w:val="0"/>
          <w:numId w:val="2"/>
        </w:numPr>
        <w:spacing w:after="80" w:line="264"/>
      </w:pPr>
      <w:r>
        <w:rPr>
          <w:b/>
          <w:bCs/>
        </w:rPr>
        <w:t xml:space="preserve">Резервный язык. </w:t>
      </w:r>
      <w:r>
        <w:t xml:space="preserve">При отсутствии перевода используется язык по умолчанию с пометкой.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Аспект</w:t>
            </w:r>
          </w:p>
        </w:tc>
        <w:tc>
          <w:tcPr>
            <w:tcW w:type="dxa" w:w="64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Языки интерфейса</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tg, ru (минимум); расширяемо</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Локализация контента</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Обязательна для услуг и уведомлений</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Хранение переводов</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Ресурсы локализации, версионирование</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Переключение языка</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Без перезагрузки, сохранение выбора</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Форматы данных</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Локализованные дата/число/валюта</w:t>
            </w:r>
          </w:p>
        </w:tc>
      </w:tr>
    </w:tbl>
    <w:p>
      <w:pPr>
        <w:spacing w:after="160" w:before="60" w:line="240"/>
      </w:pPr>
      <w:r>
        <w:rPr>
          <w:i/>
          <w:iCs/>
          <w:color w:val="5A6B7B"/>
          <w:sz w:val="18"/>
          <w:szCs w:val="18"/>
        </w:rPr>
        <w:t xml:space="preserve">Таблица 6В.1 — Требования к многоязычности.</w:t>
      </w:r>
    </w:p>
    <w:p>
      <w:pPr>
        <w:pStyle w:val="Heading1"/>
      </w:pPr>
      <w:r>
        <w:t xml:space="preserve">6Г. Совместимость каналов и устройств</w:t>
      </w:r>
    </w:p>
    <w:p>
      <w:pPr>
        <w:spacing w:after="120" w:line="276"/>
      </w:pPr>
      <w:r>
        <w:t xml:space="preserve">Настоящий раздел определяет требования к совместимости клиентских интерфейсов с устройствами и платформами. Цель — обеспечить доступность услуг на максимально широком парке устройств граждан.</w:t>
      </w:r>
    </w:p>
    <w:p>
      <w:pPr>
        <w:pStyle w:val="Heading2"/>
      </w:pPr>
      <w:r>
        <w:t xml:space="preserve">6Г.1. Веб-совместимость</w:t>
      </w:r>
    </w:p>
    <w:p>
      <w:pPr>
        <w:spacing w:after="120" w:line="276"/>
      </w:pPr>
      <w:r>
        <w:t xml:space="preserve">Веб-портал поддерживает актуальные версии распространённых браузеров и адаптируется к различным размерам экрана. Применяется прогрессивное улучшение: базовая функциональность доступна и на ограниченных устройствах, расширенная — на современных.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Категория</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Браузеры</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Актуальные версии распространённых браузеров</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Адаптивность</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Мобильные, планшеты, десктоп (responsive)</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Деградация</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Базовая функциональность при ограничениях</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Сеть</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Работоспособность при медленном соединении (3G/4G)</w:t>
            </w:r>
          </w:p>
        </w:tc>
      </w:tr>
    </w:tbl>
    <w:p>
      <w:pPr>
        <w:spacing w:after="160" w:before="60" w:line="240"/>
      </w:pPr>
      <w:r>
        <w:rPr>
          <w:i/>
          <w:iCs/>
          <w:color w:val="5A6B7B"/>
          <w:sz w:val="18"/>
          <w:szCs w:val="18"/>
        </w:rPr>
        <w:t xml:space="preserve">Таблица 6Г.1 — Требования к веб-совместимости.</w:t>
      </w:r>
    </w:p>
    <w:p>
      <w:pPr>
        <w:pStyle w:val="Heading2"/>
      </w:pPr>
      <w:r>
        <w:t xml:space="preserve">6Г.2. Мобильная совместимость</w:t>
      </w:r>
    </w:p>
    <w:p>
      <w:pPr>
        <w:spacing w:after="120" w:line="276"/>
      </w:pPr>
      <w:r>
        <w:t xml:space="preserve">Мобильные приложения поддерживают актуальные и предыдущие основные версии мобильных операционных систем, охватывая значимую долю парка устройств. Приложения корректно работают на устройствах с различными размерами экрана и производительностью.</w:t>
      </w:r>
    </w:p>
    <w:p>
      <w:pPr>
        <w:pStyle w:val="ListParagraph"/>
        <w:numPr>
          <w:ilvl w:val="0"/>
          <w:numId w:val="2"/>
        </w:numPr>
        <w:spacing w:after="80" w:line="264"/>
      </w:pPr>
      <w:r>
        <w:t xml:space="preserve">поддержка актуальной и нескольких предыдущих основных версий ОС;</w:t>
      </w:r>
    </w:p>
    <w:p>
      <w:pPr>
        <w:pStyle w:val="ListParagraph"/>
        <w:numPr>
          <w:ilvl w:val="0"/>
          <w:numId w:val="2"/>
        </w:numPr>
        <w:spacing w:after="80" w:line="264"/>
      </w:pPr>
      <w:r>
        <w:t xml:space="preserve">адаптация под различные размеры и плотности экранов;</w:t>
      </w:r>
    </w:p>
    <w:p>
      <w:pPr>
        <w:pStyle w:val="ListParagraph"/>
        <w:numPr>
          <w:ilvl w:val="0"/>
          <w:numId w:val="2"/>
        </w:numPr>
        <w:spacing w:after="80" w:line="264"/>
      </w:pPr>
      <w:r>
        <w:t xml:space="preserve">корректная работа при ограниченных ресурсах устройства;</w:t>
      </w:r>
    </w:p>
    <w:p>
      <w:pPr>
        <w:pStyle w:val="ListParagraph"/>
        <w:numPr>
          <w:ilvl w:val="0"/>
          <w:numId w:val="2"/>
        </w:numPr>
        <w:spacing w:after="80" w:line="264"/>
      </w:pPr>
      <w:r>
        <w:t xml:space="preserve">поддержка биометрической аутентификации при наличии (в рамках МФА);</w:t>
      </w:r>
    </w:p>
    <w:p>
      <w:pPr>
        <w:pStyle w:val="ListParagraph"/>
        <w:numPr>
          <w:ilvl w:val="0"/>
          <w:numId w:val="2"/>
        </w:numPr>
        <w:spacing w:after="80" w:line="264"/>
      </w:pPr>
      <w:r>
        <w:t xml:space="preserve">экономичное использование трафика и батареи.</w:t>
      </w:r>
    </w:p>
    <w:p>
      <w:pPr>
        <w:pStyle w:val="Heading2"/>
      </w:pPr>
      <w:r>
        <w:t xml:space="preserve">6Г.3. Совместимость API для внешних систем</w:t>
      </w:r>
    </w:p>
    <w:p>
      <w:pPr>
        <w:spacing w:after="120" w:line="276"/>
      </w:pPr>
      <w:r>
        <w:t xml:space="preserve">Открытые API проектируются с учётом долгосрочной совместимости (раздел 5В.5): стабильные контракты, версионирование, параллельная поддержка версий, понятная политика вывода версий из эксплуатации. Это позволяет внешним системам интегрироваться без риска внезапной поломки.</w:t>
      </w:r>
    </w:p>
    <w:p>
      <w:pPr>
        <w:pStyle w:val="Heading1"/>
      </w:pPr>
      <w:r>
        <w:t xml:space="preserve">7. Функциональные требования и сценарии услуг</w:t>
      </w:r>
    </w:p>
    <w:p>
      <w:pPr>
        <w:spacing w:after="120" w:line="276"/>
      </w:pPr>
      <w:r>
        <w:t xml:space="preserve">Настоящий раздел раскрывает функциональные требования к Системе. Поскольку каталог Платформы охватывает более 700 услуг, перечисление каждой из них в ТЗ нецелесообразно и не является задачей данного документа: конкретные услуги создаются и сопровождаются средствами Low-Code (разделы 6 и 6А), а их перечень ведётся в каталоге услуг. Вместо этого настоящий раздел задаёт:</w:t>
      </w:r>
    </w:p>
    <w:p>
      <w:pPr>
        <w:pStyle w:val="ListParagraph"/>
        <w:numPr>
          <w:ilvl w:val="0"/>
          <w:numId w:val="2"/>
        </w:numPr>
        <w:spacing w:after="80" w:line="264"/>
      </w:pPr>
      <w:r>
        <w:t xml:space="preserve">типовую модель услуги — единый шаблон, которому подчиняются все услуги Платформы;</w:t>
      </w:r>
    </w:p>
    <w:p>
      <w:pPr>
        <w:pStyle w:val="ListParagraph"/>
        <w:numPr>
          <w:ilvl w:val="0"/>
          <w:numId w:val="2"/>
        </w:numPr>
        <w:spacing w:after="80" w:line="264"/>
      </w:pPr>
      <w:r>
        <w:t xml:space="preserve">перечень функциональных требований по ролям пользователей;</w:t>
      </w:r>
    </w:p>
    <w:p>
      <w:pPr>
        <w:pStyle w:val="ListParagraph"/>
        <w:numPr>
          <w:ilvl w:val="0"/>
          <w:numId w:val="2"/>
        </w:numPr>
        <w:spacing w:after="80" w:line="264"/>
      </w:pPr>
      <w:r>
        <w:t xml:space="preserve">три эталонных сквозных сценария (use case), служащих образцом для разработки и приёмки.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Принцип. </w:t>
            </w:r>
            <w:r>
              <w:rPr>
                <w:sz w:val="21"/>
                <w:szCs w:val="21"/>
              </w:rPr>
              <w:t xml:space="preserve">Любая из 700+ услуг должна укладываться в типовую модель услуги и реализовываться комбинацией платформенных возможностей. Если услуга не вписывается в типовую модель, это основание для доработки платформы, а не для создания обособленного решения.</w:t>
            </w:r>
          </w:p>
        </w:tc>
      </w:tr>
    </w:tbl>
    <w:p>
      <w:pPr>
        <w:pStyle w:val="Heading2"/>
      </w:pPr>
      <w:r>
        <w:t xml:space="preserve">7.1. Типовая модель услуги</w:t>
      </w:r>
    </w:p>
    <w:p>
      <w:pPr>
        <w:spacing w:after="120" w:line="276"/>
      </w:pPr>
      <w:r>
        <w:t xml:space="preserve">Каждая услуга Платформы — вне зависимости от ведомства — проходит единый жизненный цикл, состоящий из типовых этапов. Этапы реализуются переиспользуемыми платформенными сервисами; конкретная услуга настраивает их параметры (поля формы, правила, сроки, исполнителей).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4060"/>
        <w:gridCol w:w="2400"/>
      </w:tblGrid>
      <w:tr>
        <w:trPr>
          <w:tblHeader/>
        </w:trPr>
        <w:tc>
          <w:tcPr>
            <w:tcW w:type="dxa" w:w="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w:t>
            </w:r>
          </w:p>
        </w:tc>
        <w:tc>
          <w:tcPr>
            <w:tcW w:type="dxa" w:w="23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Этап жизненного цикла</w:t>
            </w:r>
          </w:p>
        </w:tc>
        <w:tc>
          <w:tcPr>
            <w:tcW w:type="dxa" w:w="40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Что происходит</w:t>
            </w:r>
          </w:p>
        </w:tc>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Платформенный сервис</w:t>
            </w:r>
          </w:p>
        </w:tc>
      </w:tr>
      <w:tr>
        <w:tc>
          <w:tcPr>
            <w:tcW w:type="dxa" w:w="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2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Информирование</w:t>
            </w:r>
          </w:p>
        </w:tc>
        <w:tc>
          <w:tcPr>
            <w:tcW w:type="dxa" w:w="4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Заявитель находит услугу, изучает регламент, сроки, перечень документов.</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Каталог услуг</w:t>
            </w:r>
          </w:p>
        </w:tc>
      </w:tr>
      <w:tr>
        <w:tc>
          <w:tcPr>
            <w:tcW w:type="dxa" w:w="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2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Идентификация</w:t>
            </w:r>
          </w:p>
        </w:tc>
        <w:tc>
          <w:tcPr>
            <w:tcW w:type="dxa" w:w="4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Заявитель входит через eID; подтверждается личность и полномочия.</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Профиль и идентичность; IAM</w:t>
            </w:r>
          </w:p>
        </w:tc>
      </w:tr>
      <w:tr>
        <w:tc>
          <w:tcPr>
            <w:tcW w:type="dxa" w:w="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w:t>
            </w:r>
          </w:p>
        </w:tc>
        <w:tc>
          <w:tcPr>
            <w:tcW w:type="dxa" w:w="2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Подача заявления</w:t>
            </w:r>
          </w:p>
        </w:tc>
        <w:tc>
          <w:tcPr>
            <w:tcW w:type="dxa" w:w="4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Заполнение формы; поля автозаполняются из реестров (Once-Only).</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Form.io; Smart Bridge</w:t>
            </w:r>
          </w:p>
        </w:tc>
      </w:tr>
      <w:tr>
        <w:tc>
          <w:tcPr>
            <w:tcW w:type="dxa" w:w="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w:t>
            </w:r>
          </w:p>
        </w:tc>
        <w:tc>
          <w:tcPr>
            <w:tcW w:type="dxa" w:w="2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Проверка и оплата</w:t>
            </w:r>
          </w:p>
        </w:tc>
        <w:tc>
          <w:tcPr>
            <w:tcW w:type="dxa" w:w="4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Валидация данных, расчёт пошлины (DMN), приём оплаты.</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Платежи; правила DMN</w:t>
            </w:r>
          </w:p>
        </w:tc>
      </w:tr>
      <w:tr>
        <w:tc>
          <w:tcPr>
            <w:tcW w:type="dxa" w:w="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w:t>
            </w:r>
          </w:p>
        </w:tc>
        <w:tc>
          <w:tcPr>
            <w:tcW w:type="dxa" w:w="2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Маршрутизация и исполнение</w:t>
            </w:r>
          </w:p>
        </w:tc>
        <w:tc>
          <w:tcPr>
            <w:tcW w:type="dxa" w:w="4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Запуск процесса BPMN: авто-шаги и шаги специалиста ведомства.</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BPM-движок; Управление заявлениями</w:t>
            </w:r>
          </w:p>
        </w:tc>
      </w:tr>
      <w:tr>
        <w:tc>
          <w:tcPr>
            <w:tcW w:type="dxa" w:w="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w:t>
            </w:r>
          </w:p>
        </w:tc>
        <w:tc>
          <w:tcPr>
            <w:tcW w:type="dxa" w:w="2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Межведомственные запросы</w:t>
            </w:r>
          </w:p>
        </w:tc>
        <w:tc>
          <w:tcPr>
            <w:tcW w:type="dxa" w:w="4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Получение недостающих сведений из реестров без участия заявителя.</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Smart Bridge</w:t>
            </w:r>
          </w:p>
        </w:tc>
      </w:tr>
      <w:tr>
        <w:tc>
          <w:tcPr>
            <w:tcW w:type="dxa" w:w="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w:t>
            </w:r>
          </w:p>
        </w:tc>
        <w:tc>
          <w:tcPr>
            <w:tcW w:type="dxa" w:w="2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Принятие решения</w:t>
            </w:r>
          </w:p>
        </w:tc>
        <w:tc>
          <w:tcPr>
            <w:tcW w:type="dxa" w:w="4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Специалист или автоматическое правило принимает решение по заявлению.</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АРМ специалиста; DMN</w:t>
            </w:r>
          </w:p>
        </w:tc>
      </w:tr>
      <w:tr>
        <w:tc>
          <w:tcPr>
            <w:tcW w:type="dxa" w:w="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8</w:t>
            </w:r>
          </w:p>
        </w:tc>
        <w:tc>
          <w:tcPr>
            <w:tcW w:type="dxa" w:w="2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Формирование результата</w:t>
            </w:r>
          </w:p>
        </w:tc>
        <w:tc>
          <w:tcPr>
            <w:tcW w:type="dxa" w:w="4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Генерация результата (PDF), подписание ЭЦП.</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Электронные документы; ЭЦП</w:t>
            </w:r>
          </w:p>
        </w:tc>
      </w:tr>
      <w:tr>
        <w:tc>
          <w:tcPr>
            <w:tcW w:type="dxa" w:w="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9</w:t>
            </w:r>
          </w:p>
        </w:tc>
        <w:tc>
          <w:tcPr>
            <w:tcW w:type="dxa" w:w="2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Уведомление и выдача</w:t>
            </w:r>
          </w:p>
        </w:tc>
        <w:tc>
          <w:tcPr>
            <w:tcW w:type="dxa" w:w="4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Заявитель получает уведомление и документ в личный кабинет.</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Уведомления; Электронные документы</w:t>
            </w:r>
          </w:p>
        </w:tc>
      </w:tr>
      <w:tr>
        <w:tc>
          <w:tcPr>
            <w:tcW w:type="dxa" w:w="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10</w:t>
            </w:r>
          </w:p>
        </w:tc>
        <w:tc>
          <w:tcPr>
            <w:tcW w:type="dxa" w:w="2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Архивирование и аудит</w:t>
            </w:r>
          </w:p>
        </w:tc>
        <w:tc>
          <w:tcPr>
            <w:tcW w:type="dxa" w:w="4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Сохранение результата, фиксация всех действий в WORM-журнале.</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Аудит; хранилище</w:t>
            </w:r>
          </w:p>
        </w:tc>
      </w:tr>
    </w:tbl>
    <w:p>
      <w:pPr>
        <w:pStyle w:val="Heading2"/>
      </w:pPr>
      <w:r>
        <w:t xml:space="preserve">7.2. Жизненный цикл (статусная модель) заявления</w:t>
      </w:r>
    </w:p>
    <w:p>
      <w:pPr>
        <w:spacing w:after="120" w:line="276"/>
      </w:pPr>
      <w:r>
        <w:t xml:space="preserve">Заявление перемещается по единой статусной модели. Статусы видны заявителю в личном кабинете и специалисту в АРМ; переход между статусами фиксируется в аудите и инициирует уведомление.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Статус</w:t>
            </w:r>
          </w:p>
        </w:tc>
        <w:tc>
          <w:tcPr>
            <w:tcW w:type="dxa" w:w="4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w:t>
            </w:r>
          </w:p>
        </w:tc>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Кто/что инициирует переход</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Черновик</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Заявление создано, форма заполняется, не отправлено.</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Заявитель</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Подано</w:t>
            </w:r>
          </w:p>
        </w:tc>
        <w:tc>
          <w:tcPr>
            <w:tcW w:type="dxa" w:w="4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Заявление отправлено, прошло первичную валидацию.</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Заявитель → Система</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Ожидает оплаты</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Сформировано начисление, ожидается оплата пошлины.</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Сервис платежей</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 обработке</w:t>
            </w:r>
          </w:p>
        </w:tc>
        <w:tc>
          <w:tcPr>
            <w:tcW w:type="dxa" w:w="4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Запущен процесс; идут авто-шаги и/или работа специалиста.</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BPM-движок</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Запрошены сведения</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Ожидается ответ ведомства по межведомственному запросу.</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Smart Bridge</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Требует уточнения</w:t>
            </w:r>
          </w:p>
        </w:tc>
        <w:tc>
          <w:tcPr>
            <w:tcW w:type="dxa" w:w="4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Специалист вернул заявление заявителю за недостающими данными.</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Специалист ведомства</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Решение принято</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 положительное или отрицательное решение.</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Специалист / правило DMN</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Исполнено</w:t>
            </w:r>
          </w:p>
        </w:tc>
        <w:tc>
          <w:tcPr>
            <w:tcW w:type="dxa" w:w="4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Сформирован и подписан результат, выдан заявителю.</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Система</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Отказано</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 отрицательное решение с указанием причины.</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Специалист / правило DMN</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Отозвано</w:t>
            </w:r>
          </w:p>
        </w:tc>
        <w:tc>
          <w:tcPr>
            <w:tcW w:type="dxa" w:w="4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Заявитель отозвал заявление до принятия решения.</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Заявитель</w:t>
            </w:r>
          </w:p>
        </w:tc>
      </w:tr>
    </w:tbl>
    <w:p>
      <w:pPr>
        <w:pStyle w:val="Heading2"/>
      </w:pPr>
      <w:r>
        <w:t xml:space="preserve">7.3. Функциональные требования по ролям</w:t>
      </w:r>
    </w:p>
    <w:p>
      <w:pPr>
        <w:spacing w:after="120" w:line="276"/>
      </w:pPr>
      <w:r>
        <w:t xml:space="preserve">Ниже приведены обязательные функциональные требования, сгруппированные по целевым группам пользователей (раздел 2.3).</w:t>
      </w:r>
    </w:p>
    <w:p>
      <w:pPr>
        <w:pStyle w:val="Heading3"/>
      </w:pPr>
      <w:r>
        <w:t xml:space="preserve">7.3.1. Гражданин (физическое лицо)</w:t>
      </w:r>
    </w:p>
    <w:p>
      <w:pPr>
        <w:pStyle w:val="ListParagraph"/>
        <w:numPr>
          <w:ilvl w:val="0"/>
          <w:numId w:val="2"/>
        </w:numPr>
        <w:spacing w:after="80" w:line="264"/>
      </w:pPr>
      <w:r>
        <w:t xml:space="preserve">регистрация и вход через eID; управление профилем и контактными данными;</w:t>
      </w:r>
    </w:p>
    <w:p>
      <w:pPr>
        <w:pStyle w:val="ListParagraph"/>
        <w:numPr>
          <w:ilvl w:val="0"/>
          <w:numId w:val="2"/>
        </w:numPr>
        <w:spacing w:after="80" w:line="264"/>
      </w:pPr>
      <w:r>
        <w:t xml:space="preserve">поиск услуги по каталогу, жизненным ситуациям и ведомствам; просмотр регламента и сроков;</w:t>
      </w:r>
    </w:p>
    <w:p>
      <w:pPr>
        <w:pStyle w:val="ListParagraph"/>
        <w:numPr>
          <w:ilvl w:val="0"/>
          <w:numId w:val="2"/>
        </w:numPr>
        <w:spacing w:after="80" w:line="264"/>
      </w:pPr>
      <w:r>
        <w:t xml:space="preserve">подача заявления с автозаполнением данных из реестров; сохранение черновика;</w:t>
      </w:r>
    </w:p>
    <w:p>
      <w:pPr>
        <w:pStyle w:val="ListParagraph"/>
        <w:numPr>
          <w:ilvl w:val="0"/>
          <w:numId w:val="2"/>
        </w:numPr>
        <w:spacing w:after="80" w:line="264"/>
      </w:pPr>
      <w:r>
        <w:t xml:space="preserve">оплата пошлины электронным способом; просмотр истории начислений и платежей;</w:t>
      </w:r>
    </w:p>
    <w:p>
      <w:pPr>
        <w:pStyle w:val="ListParagraph"/>
        <w:numPr>
          <w:ilvl w:val="0"/>
          <w:numId w:val="2"/>
        </w:numPr>
        <w:spacing w:after="80" w:line="264"/>
      </w:pPr>
      <w:r>
        <w:t xml:space="preserve">отслеживание статуса заявления в реальном времени; получение уведомлений (push/e-mail/SMS);</w:t>
      </w:r>
    </w:p>
    <w:p>
      <w:pPr>
        <w:pStyle w:val="ListParagraph"/>
        <w:numPr>
          <w:ilvl w:val="0"/>
          <w:numId w:val="2"/>
        </w:numPr>
        <w:spacing w:after="80" w:line="264"/>
      </w:pPr>
      <w:r>
        <w:t xml:space="preserve">получение результата в виде электронного документа, подписанного ЭЦП; хранение документов в личном кабинете;</w:t>
      </w:r>
    </w:p>
    <w:p>
      <w:pPr>
        <w:pStyle w:val="ListParagraph"/>
        <w:numPr>
          <w:ilvl w:val="0"/>
          <w:numId w:val="2"/>
        </w:numPr>
        <w:spacing w:after="80" w:line="264"/>
      </w:pPr>
      <w:r>
        <w:t xml:space="preserve">управление согласиями на обработку и передачу персональных данных;</w:t>
      </w:r>
    </w:p>
    <w:p>
      <w:pPr>
        <w:pStyle w:val="ListParagraph"/>
        <w:numPr>
          <w:ilvl w:val="0"/>
          <w:numId w:val="2"/>
        </w:numPr>
        <w:spacing w:after="80" w:line="264"/>
      </w:pPr>
      <w:r>
        <w:t xml:space="preserve">отзыв поданного заявления до принятия решения; подача обращения/жалобы.</w:t>
      </w:r>
    </w:p>
    <w:p>
      <w:pPr>
        <w:pStyle w:val="Heading3"/>
      </w:pPr>
      <w:r>
        <w:t xml:space="preserve">7.3.2. Организация / ИП</w:t>
      </w:r>
    </w:p>
    <w:p>
      <w:pPr>
        <w:pStyle w:val="ListParagraph"/>
        <w:numPr>
          <w:ilvl w:val="0"/>
          <w:numId w:val="2"/>
        </w:numPr>
        <w:spacing w:after="80" w:line="264"/>
      </w:pPr>
      <w:r>
        <w:t xml:space="preserve">получение услуг для юридического лица представителем с подтверждёнными полномочиями;</w:t>
      </w:r>
    </w:p>
    <w:p>
      <w:pPr>
        <w:pStyle w:val="ListParagraph"/>
        <w:numPr>
          <w:ilvl w:val="0"/>
          <w:numId w:val="2"/>
        </w:numPr>
        <w:spacing w:after="80" w:line="264"/>
      </w:pPr>
      <w:r>
        <w:t xml:space="preserve">программная интеграция с Платформой через открытые API (подача и отслеживание заявлений);</w:t>
      </w:r>
    </w:p>
    <w:p>
      <w:pPr>
        <w:pStyle w:val="ListParagraph"/>
        <w:numPr>
          <w:ilvl w:val="0"/>
          <w:numId w:val="2"/>
        </w:numPr>
        <w:spacing w:after="80" w:line="264"/>
      </w:pPr>
      <w:r>
        <w:t xml:space="preserve">подписание заявлений и документов ЭЦП юридического лица;</w:t>
      </w:r>
    </w:p>
    <w:p>
      <w:pPr>
        <w:pStyle w:val="ListParagraph"/>
        <w:numPr>
          <w:ilvl w:val="0"/>
          <w:numId w:val="2"/>
        </w:numPr>
        <w:spacing w:after="80" w:line="264"/>
      </w:pPr>
      <w:r>
        <w:t xml:space="preserve">доступ к истории обращений и документам организации.</w:t>
      </w:r>
    </w:p>
    <w:p>
      <w:pPr>
        <w:pStyle w:val="Heading3"/>
      </w:pPr>
      <w:r>
        <w:t xml:space="preserve">7.3.3. Специалист ведомства (АРМ)</w:t>
      </w:r>
    </w:p>
    <w:p>
      <w:pPr>
        <w:pStyle w:val="ListParagraph"/>
        <w:numPr>
          <w:ilvl w:val="0"/>
          <w:numId w:val="2"/>
        </w:numPr>
        <w:spacing w:after="80" w:line="264"/>
      </w:pPr>
      <w:r>
        <w:t xml:space="preserve">просмотр очереди назначенных заявлений с учётом сроков (SLA) и приоритетов;</w:t>
      </w:r>
    </w:p>
    <w:p>
      <w:pPr>
        <w:pStyle w:val="ListParagraph"/>
        <w:numPr>
          <w:ilvl w:val="0"/>
          <w:numId w:val="2"/>
        </w:numPr>
        <w:spacing w:after="80" w:line="264"/>
      </w:pPr>
      <w:r>
        <w:t xml:space="preserve">рассмотрение заявления: просмотр данных, приложенных и полученных по межведомственным запросам сведений;</w:t>
      </w:r>
    </w:p>
    <w:p>
      <w:pPr>
        <w:pStyle w:val="ListParagraph"/>
        <w:numPr>
          <w:ilvl w:val="0"/>
          <w:numId w:val="2"/>
        </w:numPr>
        <w:spacing w:after="80" w:line="264"/>
      </w:pPr>
      <w:r>
        <w:t xml:space="preserve">инициирование дополнительных межведомственных запросов через Smart Bridge;</w:t>
      </w:r>
    </w:p>
    <w:p>
      <w:pPr>
        <w:pStyle w:val="ListParagraph"/>
        <w:numPr>
          <w:ilvl w:val="0"/>
          <w:numId w:val="2"/>
        </w:numPr>
        <w:spacing w:after="80" w:line="264"/>
      </w:pPr>
      <w:r>
        <w:t xml:space="preserve">возврат заявления заявителю на уточнение; принятие положительного/отрицательного решения с обоснованием;</w:t>
      </w:r>
    </w:p>
    <w:p>
      <w:pPr>
        <w:pStyle w:val="ListParagraph"/>
        <w:numPr>
          <w:ilvl w:val="0"/>
          <w:numId w:val="2"/>
        </w:numPr>
        <w:spacing w:after="80" w:line="264"/>
      </w:pPr>
      <w:r>
        <w:t xml:space="preserve">формирование и подписание результата; контроль соблюдения сроков и эскалаций.</w:t>
      </w:r>
    </w:p>
    <w:p>
      <w:pPr>
        <w:pStyle w:val="Heading3"/>
      </w:pPr>
      <w:r>
        <w:t xml:space="preserve">7.3.4. Администратор услуг (Low-Code)</w:t>
      </w:r>
    </w:p>
    <w:p>
      <w:pPr>
        <w:pStyle w:val="ListParagraph"/>
        <w:numPr>
          <w:ilvl w:val="0"/>
          <w:numId w:val="2"/>
        </w:numPr>
        <w:spacing w:after="80" w:line="264"/>
      </w:pPr>
      <w:r>
        <w:t xml:space="preserve">создание и изменение услуг: процессы (BPMN), формы (Form.io), правила (DMN);</w:t>
      </w:r>
    </w:p>
    <w:p>
      <w:pPr>
        <w:pStyle w:val="ListParagraph"/>
        <w:numPr>
          <w:ilvl w:val="0"/>
          <w:numId w:val="2"/>
        </w:numPr>
        <w:spacing w:after="80" w:line="264"/>
      </w:pPr>
      <w:r>
        <w:t xml:space="preserve">настройка маршрутов, ролей-исполнителей, сроков и правил эскалации;</w:t>
      </w:r>
    </w:p>
    <w:p>
      <w:pPr>
        <w:pStyle w:val="ListParagraph"/>
        <w:numPr>
          <w:ilvl w:val="0"/>
          <w:numId w:val="2"/>
        </w:numPr>
        <w:spacing w:after="80" w:line="264"/>
      </w:pPr>
      <w:r>
        <w:t xml:space="preserve">настройка шаблонов уведомлений и документов с многоязычностью;</w:t>
      </w:r>
    </w:p>
    <w:p>
      <w:pPr>
        <w:pStyle w:val="ListParagraph"/>
        <w:numPr>
          <w:ilvl w:val="0"/>
          <w:numId w:val="2"/>
        </w:numPr>
        <w:spacing w:after="80" w:line="264"/>
      </w:pPr>
      <w:r>
        <w:t xml:space="preserve">версионирование услуг, тестирование в песочнице, поэтапная публикация через feature flags.</w:t>
      </w:r>
    </w:p>
    <w:p>
      <w:pPr>
        <w:pStyle w:val="Heading2"/>
      </w:pPr>
      <w:r>
        <w:t xml:space="preserve">7.4. Эталонные сквозные сценарии (use cases)</w:t>
      </w:r>
    </w:p>
    <w:p>
      <w:pPr>
        <w:spacing w:after="120" w:line="276"/>
      </w:pPr>
      <w:r>
        <w:t xml:space="preserve">Три приведённых ниже сценария являются эталонными и охватывают типовые классы услуг: (А) выдача справки без оплаты с полной автоматизацией; (Б) услуга с оплатой пошлины и рассмотрением специалистом; (В) проактивная услуга, инициируемая событием в реестре. Эти сценарии служат образцом при разработке новых услуг и основой функциональных тестов при приёмке.</w:t>
      </w:r>
    </w:p>
    <w:p>
      <w:pPr>
        <w:pStyle w:val="Heading3"/>
      </w:pPr>
      <w:r>
        <w:t xml:space="preserve">UC-A. Выдача справки (полностью автоматическая услуга)</w:t>
      </w:r>
    </w:p>
    <w:p>
      <w:pPr>
        <w:spacing w:after="120" w:line="276"/>
      </w:pPr>
      <w:r>
        <w:rPr>
          <w:b/>
          <w:bCs/>
        </w:rPr>
        <w:t xml:space="preserve">Класс услуги: </w:t>
      </w:r>
      <w:r>
        <w:t xml:space="preserve">предоставление сведений из реестра без оплаты, без участия специалиста.</w:t>
      </w:r>
    </w:p>
    <w:p>
      <w:pPr>
        <w:spacing w:after="120" w:line="276"/>
      </w:pPr>
      <w:r>
        <w:rPr>
          <w:b/>
          <w:bCs/>
        </w:rPr>
        <w:t xml:space="preserve">Действующие лица: </w:t>
      </w:r>
      <w:r>
        <w:t xml:space="preserve">гражданин; платформенные сервисы; реестр-владелец сведений (через Smart Bridge).</w:t>
      </w:r>
    </w:p>
    <w:p>
      <w:pPr>
        <w:spacing w:after="120" w:line="276"/>
      </w:pPr>
      <w:r>
        <w:rPr>
          <w:b/>
          <w:bCs/>
        </w:rPr>
        <w:t xml:space="preserve">Предусловия: </w:t>
      </w:r>
      <w:r>
        <w:t xml:space="preserve">гражданин идентифицирован через eID; запрашиваемые сведения имеются в реестре.</w:t>
      </w:r>
    </w:p>
    <w:p>
      <w:pPr>
        <w:spacing w:after="60" w:line="276"/>
      </w:pPr>
      <w:r>
        <w:rPr>
          <w:b/>
          <w:bCs/>
        </w:rPr>
        <w:t xml:space="preserve">Основной сценарий:</w:t>
      </w:r>
    </w:p>
    <w:p>
      <w:pPr>
        <w:pStyle w:val="ListParagraph"/>
        <w:numPr>
          <w:ilvl w:val="0"/>
          <w:numId w:val="4"/>
        </w:numPr>
        <w:spacing w:after="80" w:line="264"/>
      </w:pPr>
      <w:r>
        <w:t xml:space="preserve">Гражданин выбирает услугу в каталоге и подтверждает запрос.</w:t>
      </w:r>
    </w:p>
    <w:p>
      <w:pPr>
        <w:pStyle w:val="ListParagraph"/>
        <w:numPr>
          <w:ilvl w:val="0"/>
          <w:numId w:val="4"/>
        </w:numPr>
        <w:spacing w:after="80" w:line="264"/>
      </w:pPr>
      <w:r>
        <w:t xml:space="preserve">Система проверяет идентификацию и согласие на обработку ПДн.</w:t>
      </w:r>
    </w:p>
    <w:p>
      <w:pPr>
        <w:pStyle w:val="ListParagraph"/>
        <w:numPr>
          <w:ilvl w:val="0"/>
          <w:numId w:val="4"/>
        </w:numPr>
        <w:spacing w:after="80" w:line="264"/>
      </w:pPr>
      <w:r>
        <w:t xml:space="preserve">Сервис межведомственного взаимодействия запрашивает сведения у реестра-владельца через Smart Bridge.</w:t>
      </w:r>
    </w:p>
    <w:p>
      <w:pPr>
        <w:pStyle w:val="ListParagraph"/>
        <w:numPr>
          <w:ilvl w:val="0"/>
          <w:numId w:val="4"/>
        </w:numPr>
        <w:spacing w:after="80" w:line="264"/>
      </w:pPr>
      <w:r>
        <w:t xml:space="preserve">Реестр возвращает сведения; данные проходят валидацию.</w:t>
      </w:r>
    </w:p>
    <w:p>
      <w:pPr>
        <w:pStyle w:val="ListParagraph"/>
        <w:numPr>
          <w:ilvl w:val="0"/>
          <w:numId w:val="4"/>
        </w:numPr>
        <w:spacing w:after="80" w:line="264"/>
      </w:pPr>
      <w:r>
        <w:t xml:space="preserve">Сервис электронных документов формирует справку (PDF) и подписывает её ЭЦП.</w:t>
      </w:r>
    </w:p>
    <w:p>
      <w:pPr>
        <w:pStyle w:val="ListParagraph"/>
        <w:numPr>
          <w:ilvl w:val="0"/>
          <w:numId w:val="4"/>
        </w:numPr>
        <w:spacing w:after="80" w:line="264"/>
      </w:pPr>
      <w:r>
        <w:t xml:space="preserve">Справка размещается в личном кабинете; гражданин получает уведомление.</w:t>
      </w:r>
    </w:p>
    <w:p>
      <w:pPr>
        <w:pStyle w:val="ListParagraph"/>
        <w:numPr>
          <w:ilvl w:val="0"/>
          <w:numId w:val="4"/>
        </w:numPr>
        <w:spacing w:after="80" w:line="264"/>
      </w:pPr>
      <w:r>
        <w:t xml:space="preserve">Все действия фиксируются в WORM-журнале аудита.</w:t>
      </w:r>
    </w:p>
    <w:p>
      <w:pPr>
        <w:spacing w:after="120" w:line="276"/>
      </w:pPr>
      <w:r>
        <w:rPr>
          <w:b/>
          <w:bCs/>
        </w:rPr>
        <w:t xml:space="preserve">Альтернативные потоки: </w:t>
      </w:r>
      <w:r>
        <w:t xml:space="preserve">реестр недоступен → срабатывает circuit breaker, запрос повторяется (retry), заявителю показывается статус «Запрошены сведения»; сведения не найдены → формируется мотивированный отказ.</w:t>
      </w:r>
    </w:p>
    <w:p>
      <w:pPr>
        <w:spacing w:after="120" w:line="276"/>
      </w:pPr>
      <w:r>
        <w:rPr>
          <w:b/>
          <w:bCs/>
        </w:rPr>
        <w:t xml:space="preserve">Результат: </w:t>
      </w:r>
      <w:r>
        <w:t xml:space="preserve">юридически значимая справка в личном кабинете. Целевое время — в пределах нескольких минут.</w:t>
      </w:r>
    </w:p>
    <w:p>
      <w:pPr>
        <w:pStyle w:val="Heading3"/>
      </w:pPr>
      <w:r>
        <w:t xml:space="preserve">UC-B. Услуга с оплатой пошлины и рассмотрением специалистом</w:t>
      </w:r>
    </w:p>
    <w:p>
      <w:pPr>
        <w:spacing w:after="120" w:line="276"/>
      </w:pPr>
      <w:r>
        <w:rPr>
          <w:b/>
          <w:bCs/>
        </w:rPr>
        <w:t xml:space="preserve">Класс услуги: </w:t>
      </w:r>
      <w:r>
        <w:t xml:space="preserve">услуга, требующая оплаты и решения специалиста ведомства (например, выдача разрешения/лицензии).</w:t>
      </w:r>
    </w:p>
    <w:p>
      <w:pPr>
        <w:spacing w:after="120" w:line="276"/>
      </w:pPr>
      <w:r>
        <w:rPr>
          <w:b/>
          <w:bCs/>
        </w:rPr>
        <w:t xml:space="preserve">Действующие лица: </w:t>
      </w:r>
      <w:r>
        <w:t xml:space="preserve">гражданин/организация; сервис платежей; специалист ведомства; реестры через Smart Bridge.</w:t>
      </w:r>
    </w:p>
    <w:p>
      <w:pPr>
        <w:spacing w:after="120" w:line="276"/>
      </w:pPr>
      <w:r>
        <w:rPr>
          <w:b/>
          <w:bCs/>
        </w:rPr>
        <w:t xml:space="preserve">Предусловия: </w:t>
      </w:r>
      <w:r>
        <w:t xml:space="preserve">заявитель идентифицирован; услуга и форма опубликованы; настроен маршрут и SLA.</w:t>
      </w:r>
    </w:p>
    <w:p>
      <w:pPr>
        <w:spacing w:after="60" w:line="276"/>
      </w:pPr>
      <w:r>
        <w:rPr>
          <w:b/>
          <w:bCs/>
        </w:rPr>
        <w:t xml:space="preserve">Основной сценарий:</w:t>
      </w:r>
    </w:p>
    <w:p>
      <w:pPr>
        <w:pStyle w:val="ListParagraph"/>
        <w:numPr>
          <w:ilvl w:val="0"/>
          <w:numId w:val="5"/>
        </w:numPr>
        <w:spacing w:after="80" w:line="264"/>
      </w:pPr>
      <w:r>
        <w:t xml:space="preserve">Заявитель заполняет форму (часть полей автозаполнена из реестров) и отправляет заявление.</w:t>
      </w:r>
    </w:p>
    <w:p>
      <w:pPr>
        <w:pStyle w:val="ListParagraph"/>
        <w:numPr>
          <w:ilvl w:val="0"/>
          <w:numId w:val="5"/>
        </w:numPr>
        <w:spacing w:after="80" w:line="264"/>
      </w:pPr>
      <w:r>
        <w:t xml:space="preserve">Правило DMN рассчитывает размер пошлины; сервис платежей формирует начисление.</w:t>
      </w:r>
    </w:p>
    <w:p>
      <w:pPr>
        <w:pStyle w:val="ListParagraph"/>
        <w:numPr>
          <w:ilvl w:val="0"/>
          <w:numId w:val="5"/>
        </w:numPr>
        <w:spacing w:after="80" w:line="264"/>
      </w:pPr>
      <w:r>
        <w:t xml:space="preserve">Заявитель оплачивает; оплата подтверждается идемпотентно (источник истины — PostgreSQL: unique constraint по idempotency_key/external_payment_id), статус → «В обработке».</w:t>
      </w:r>
    </w:p>
    <w:p>
      <w:pPr>
        <w:pStyle w:val="ListParagraph"/>
        <w:numPr>
          <w:ilvl w:val="0"/>
          <w:numId w:val="5"/>
        </w:numPr>
        <w:spacing w:after="80" w:line="264"/>
      </w:pPr>
      <w:r>
        <w:t xml:space="preserve">Процесс BPMN выполняет авто-проверки и межведомственные запросы; заявление попадает в очередь специалиста.</w:t>
      </w:r>
    </w:p>
    <w:p>
      <w:pPr>
        <w:pStyle w:val="ListParagraph"/>
        <w:numPr>
          <w:ilvl w:val="0"/>
          <w:numId w:val="5"/>
        </w:numPr>
        <w:spacing w:after="80" w:line="264"/>
      </w:pPr>
      <w:r>
        <w:t xml:space="preserve">Специалист рассматривает заявление в АРМ, при необходимости запрашивает уточнение или дополнительные сведения.</w:t>
      </w:r>
    </w:p>
    <w:p>
      <w:pPr>
        <w:pStyle w:val="ListParagraph"/>
        <w:numPr>
          <w:ilvl w:val="0"/>
          <w:numId w:val="5"/>
        </w:numPr>
        <w:spacing w:after="80" w:line="264"/>
      </w:pPr>
      <w:r>
        <w:t xml:space="preserve">Специалист принимает решение; для критичных решений применяется принцип «четырёх глаз» (второе подтверждение).</w:t>
      </w:r>
    </w:p>
    <w:p>
      <w:pPr>
        <w:pStyle w:val="ListParagraph"/>
        <w:numPr>
          <w:ilvl w:val="0"/>
          <w:numId w:val="5"/>
        </w:numPr>
        <w:spacing w:after="80" w:line="264"/>
      </w:pPr>
      <w:r>
        <w:t xml:space="preserve">Формируется результат (PDF), подписывается ЭЦП, размещается в личном кабинете; заявитель уведомляется.</w:t>
      </w:r>
    </w:p>
    <w:p>
      <w:pPr>
        <w:spacing w:after="120" w:line="276"/>
      </w:pPr>
      <w:r>
        <w:rPr>
          <w:b/>
          <w:bCs/>
        </w:rPr>
        <w:t xml:space="preserve">Альтернативные потоки: </w:t>
      </w:r>
      <w:r>
        <w:t xml:space="preserve">оплата не поступила в срок → автонапоминание, затем закрытие по таймеру; нарушение SLA специалистом → эскалация руководителю; возврат на уточнение → статус «Требует уточнения».</w:t>
      </w:r>
    </w:p>
    <w:p>
      <w:pPr>
        <w:spacing w:after="120" w:line="276"/>
      </w:pPr>
      <w:r>
        <w:rPr>
          <w:b/>
          <w:bCs/>
        </w:rPr>
        <w:t xml:space="preserve">Компенсация (Saga): </w:t>
      </w:r>
      <w:r>
        <w:t xml:space="preserve">при отказе после оплаты, если это предусмотрено регламентом, инициируется возврат средств.</w:t>
      </w:r>
    </w:p>
    <w:p>
      <w:pPr>
        <w:spacing w:after="120" w:line="276"/>
      </w:pPr>
      <w:r>
        <w:rPr>
          <w:b/>
          <w:bCs/>
        </w:rPr>
        <w:t xml:space="preserve">Результат: </w:t>
      </w:r>
      <w:r>
        <w:t xml:space="preserve">подписанный результат услуги либо мотивированный отказ; корректные финансовые проводки.</w:t>
      </w:r>
    </w:p>
    <w:p>
      <w:pPr>
        <w:pStyle w:val="Heading3"/>
      </w:pPr>
      <w:r>
        <w:t xml:space="preserve">UC-C. Проактивная услуга (инициируется событием в реестре)</w:t>
      </w:r>
    </w:p>
    <w:p>
      <w:pPr>
        <w:spacing w:after="120" w:line="276"/>
      </w:pPr>
      <w:r>
        <w:rPr>
          <w:b/>
          <w:bCs/>
        </w:rPr>
        <w:t xml:space="preserve">Класс услуги: </w:t>
      </w:r>
      <w:r>
        <w:t xml:space="preserve">услуга, инициируемая Платформой на основании события в государственном реестре, без обращения гражданина.</w:t>
      </w:r>
    </w:p>
    <w:p>
      <w:pPr>
        <w:spacing w:after="120" w:line="276"/>
      </w:pPr>
      <w:r>
        <w:rPr>
          <w:b/>
          <w:bCs/>
        </w:rPr>
        <w:t xml:space="preserve">Действующие лица: </w:t>
      </w:r>
      <w:r>
        <w:t xml:space="preserve">реестр-источник события; платформенные сервисы; гражданин (получатель).</w:t>
      </w:r>
    </w:p>
    <w:p>
      <w:pPr>
        <w:spacing w:after="120" w:line="276"/>
      </w:pPr>
      <w:r>
        <w:rPr>
          <w:b/>
          <w:bCs/>
        </w:rPr>
        <w:t xml:space="preserve">Предусловия: </w:t>
      </w:r>
      <w:r>
        <w:t xml:space="preserve">гражданин дал согласие на проактивное информирование; настроена подписка на событие реестра.</w:t>
      </w:r>
    </w:p>
    <w:p>
      <w:pPr>
        <w:spacing w:after="60" w:line="276"/>
      </w:pPr>
      <w:r>
        <w:rPr>
          <w:b/>
          <w:bCs/>
        </w:rPr>
        <w:t xml:space="preserve">Основной сценарий:</w:t>
      </w:r>
    </w:p>
    <w:p>
      <w:pPr>
        <w:pStyle w:val="ListParagraph"/>
        <w:numPr>
          <w:ilvl w:val="0"/>
          <w:numId w:val="6"/>
        </w:numPr>
        <w:spacing w:after="80" w:line="264"/>
      </w:pPr>
      <w:r>
        <w:t xml:space="preserve">В реестре наступает событие (например, приближается срок продления документа); событие публикуется в Kafka.</w:t>
      </w:r>
    </w:p>
    <w:p>
      <w:pPr>
        <w:pStyle w:val="ListParagraph"/>
        <w:numPr>
          <w:ilvl w:val="0"/>
          <w:numId w:val="6"/>
        </w:numPr>
        <w:spacing w:after="80" w:line="264"/>
      </w:pPr>
      <w:r>
        <w:t xml:space="preserve">Платформа сопоставляет событие с гражданином и подходящей услугой.</w:t>
      </w:r>
    </w:p>
    <w:p>
      <w:pPr>
        <w:pStyle w:val="ListParagraph"/>
        <w:numPr>
          <w:ilvl w:val="0"/>
          <w:numId w:val="6"/>
        </w:numPr>
        <w:spacing w:after="80" w:line="264"/>
      </w:pPr>
      <w:r>
        <w:t xml:space="preserve">Формируется проактивное уведомление с предзаполненным черновиком заявления.</w:t>
      </w:r>
    </w:p>
    <w:p>
      <w:pPr>
        <w:pStyle w:val="ListParagraph"/>
        <w:numPr>
          <w:ilvl w:val="0"/>
          <w:numId w:val="6"/>
        </w:numPr>
        <w:spacing w:after="80" w:line="264"/>
      </w:pPr>
      <w:r>
        <w:t xml:space="preserve">Гражданин подтверждает или корректирует предложение одним действием.</w:t>
      </w:r>
    </w:p>
    <w:p>
      <w:pPr>
        <w:pStyle w:val="ListParagraph"/>
        <w:numPr>
          <w:ilvl w:val="0"/>
          <w:numId w:val="6"/>
        </w:numPr>
        <w:spacing w:after="80" w:line="264"/>
      </w:pPr>
      <w:r>
        <w:t xml:space="preserve">Далее заявление обрабатывается по сценарию UC-A или UC-B в зависимости от услуги.</w:t>
      </w:r>
    </w:p>
    <w:p>
      <w:pPr>
        <w:spacing w:after="120" w:line="276"/>
      </w:pPr>
      <w:r>
        <w:rPr>
          <w:b/>
          <w:bCs/>
        </w:rPr>
        <w:t xml:space="preserve">Альтернативные потоки: </w:t>
      </w:r>
      <w:r>
        <w:t xml:space="preserve">гражданин отказался — предложение закрывается, повторное предложение по правилам услуги; согласие отозвано — проактивные уведомления не формируются.</w:t>
      </w:r>
    </w:p>
    <w:p>
      <w:pPr>
        <w:spacing w:after="120" w:line="276"/>
      </w:pPr>
      <w:r>
        <w:rPr>
          <w:b/>
          <w:bCs/>
        </w:rPr>
        <w:t xml:space="preserve">Результат: </w:t>
      </w:r>
      <w:r>
        <w:t xml:space="preserve">услуга оказана с минимальным усилием гражданина; реализован принцип проактивности (раздел 3.7).</w:t>
      </w:r>
    </w:p>
    <w:p>
      <w:pPr>
        <w:pStyle w:val="Heading1"/>
      </w:pPr>
      <w:r>
        <w:t xml:space="preserve">7А. Детальная проработка эталонных сценариев</w:t>
      </w:r>
    </w:p>
    <w:p>
      <w:pPr>
        <w:spacing w:after="120" w:line="276"/>
      </w:pPr>
      <w:r>
        <w:t xml:space="preserve">Настоящий раздел углубляет три эталонных сценария раздела 7.4 до уровня последовательностей взаимодействия, потоков данных и матриц ошибок. Эта детализация служит основанием для реализации процессов BPMN, проектирования API доменных сервисов и разработки сквозных (E2E) тестов. Сценарии описаны в виде пошаговых последовательностей с указанием участника, действия, направления вызова и значимых данных.</w:t>
      </w:r>
    </w:p>
    <w:p>
      <w:pPr>
        <w:pStyle w:val="Heading2"/>
      </w:pPr>
      <w:r>
        <w:t xml:space="preserve">7А.1. UC-A. Выдача справки — последовательность взаимодействия</w:t>
      </w:r>
    </w:p>
    <w:p>
      <w:pPr>
        <w:spacing w:after="120" w:line="276"/>
      </w:pPr>
      <w:r>
        <w:t xml:space="preserve">Сценарий полностью автоматической услуги без оплаты и без участия специалиста. Последовательность шагов с указанием участников и типа взаимодействия (синхронный вызов / событие):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700"/>
        <w:gridCol w:w="1100"/>
        <w:gridCol w:w="2160"/>
      </w:tblGrid>
      <w:tr>
        <w:trPr>
          <w:tblHeader/>
        </w:trPr>
        <w:tc>
          <w:tcPr>
            <w:tcW w:type="dxa" w:w="5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w:t>
            </w:r>
          </w:p>
        </w:tc>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Инициатор → Получатель</w:t>
            </w:r>
          </w:p>
        </w:tc>
        <w:tc>
          <w:tcPr>
            <w:tcW w:type="dxa" w:w="2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Действие</w:t>
            </w:r>
          </w:p>
        </w:tc>
        <w:tc>
          <w:tcPr>
            <w:tcW w:type="dxa" w:w="11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Тип</w:t>
            </w:r>
          </w:p>
        </w:tc>
        <w:tc>
          <w:tcPr>
            <w:tcW w:type="dxa" w:w="2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Данные</w:t>
            </w:r>
          </w:p>
        </w:tc>
      </w:tr>
      <w:tr>
        <w:tc>
          <w:tcPr>
            <w:tcW w:type="dxa" w:w="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Гражданин → Портал</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Выбор услуги, подтверждение запроса</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serviceId</w:t>
            </w:r>
          </w:p>
        </w:tc>
      </w:tr>
      <w:tr>
        <w:tc>
          <w:tcPr>
            <w:tcW w:type="dxa" w:w="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Портал → IAM</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Проверка токена и LoA</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JWT</w:t>
            </w:r>
          </w:p>
        </w:tc>
      </w:tr>
      <w:tr>
        <w:tc>
          <w:tcPr>
            <w:tcW w:type="dxa" w:w="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Портал → Профиль</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Проверка действующего согласия</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consent</w:t>
            </w:r>
          </w:p>
        </w:tc>
      </w:tr>
      <w:tr>
        <w:tc>
          <w:tcPr>
            <w:tcW w:type="dxa" w:w="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Портал → Заявления</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Создание заявления (статус «Подано»)</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applicationId</w:t>
            </w:r>
          </w:p>
        </w:tc>
      </w:tr>
      <w:tr>
        <w:tc>
          <w:tcPr>
            <w:tcW w:type="dxa" w:w="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 → шина</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Публикация ApplicationSubmitted</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event</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envelope</w:t>
            </w:r>
          </w:p>
        </w:tc>
      </w:tr>
      <w:tr>
        <w:tc>
          <w:tcPr>
            <w:tcW w:type="dxa" w:w="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 → Межвед.</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Запрос сведений из реестра</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sync/async</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requestId</w:t>
            </w:r>
          </w:p>
        </w:tc>
      </w:tr>
      <w:tr>
        <w:tc>
          <w:tcPr>
            <w:tcW w:type="dxa" w:w="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 → Smart Bridge</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Межведомственный запрос</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параметры</w:t>
            </w:r>
          </w:p>
        </w:tc>
      </w:tr>
      <w:tr>
        <w:tc>
          <w:tcPr>
            <w:tcW w:type="dxa" w:w="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8</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Smart Bridge → Межвед.</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Ответ со сведениями</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данные (ACL)</w:t>
            </w:r>
          </w:p>
        </w:tc>
      </w:tr>
      <w:tr>
        <w:tc>
          <w:tcPr>
            <w:tcW w:type="dxa" w:w="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9</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 → Документы</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Формирование справки (PDF)</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documentId</w:t>
            </w:r>
          </w:p>
        </w:tc>
      </w:tr>
      <w:tr>
        <w:tc>
          <w:tcPr>
            <w:tcW w:type="dxa" w:w="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10</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Документы → ЭЦП</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Подписание результата</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signature</w:t>
            </w:r>
          </w:p>
        </w:tc>
      </w:tr>
      <w:tr>
        <w:tc>
          <w:tcPr>
            <w:tcW w:type="dxa" w:w="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11</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ЭЦП → шина</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Публикация DocumentSigned</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event</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envelope</w:t>
            </w:r>
          </w:p>
        </w:tc>
      </w:tr>
      <w:tr>
        <w:tc>
          <w:tcPr>
            <w:tcW w:type="dxa" w:w="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12</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Уведомления → Гражданин</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Уведомление о готовности</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async</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push/sms</w:t>
            </w:r>
          </w:p>
        </w:tc>
      </w:tr>
      <w:tr>
        <w:tc>
          <w:tcPr>
            <w:tcW w:type="dxa" w:w="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13</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Все → Аудит</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Фиксация действий</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event</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audit</w:t>
            </w:r>
          </w:p>
        </w:tc>
      </w:tr>
    </w:tbl>
    <w:p>
      <w:pPr>
        <w:spacing w:after="160" w:before="60" w:line="240"/>
      </w:pPr>
      <w:r>
        <w:rPr>
          <w:i/>
          <w:iCs/>
          <w:color w:val="5A6B7B"/>
          <w:sz w:val="18"/>
          <w:szCs w:val="18"/>
        </w:rPr>
        <w:t xml:space="preserve">Таблица 7А.1 — Последовательность взаимодействия для UC-A.</w:t>
      </w:r>
    </w:p>
    <w:p>
      <w:pPr>
        <w:pStyle w:val="Heading4"/>
      </w:pPr>
      <w:r>
        <w:t xml:space="preserve">7А.1.1. Матрица ошибок UC-A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3060"/>
        <w:gridCol w:w="2000"/>
      </w:tblGrid>
      <w:tr>
        <w:trPr>
          <w:tblHeader/>
        </w:trPr>
        <w:tc>
          <w:tcPr>
            <w:tcW w:type="dxa" w:w="1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Точка отказа</w:t>
            </w:r>
          </w:p>
        </w:tc>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Ситуация</w:t>
            </w:r>
          </w:p>
        </w:tc>
        <w:tc>
          <w:tcPr>
            <w:tcW w:type="dxa" w:w="30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Реакция</w:t>
            </w:r>
          </w:p>
        </w:tc>
        <w:tc>
          <w:tcPr>
            <w:tcW w:type="dxa" w:w="2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Статус заявления</w:t>
            </w:r>
          </w:p>
        </w:tc>
      </w:tr>
      <w:tr>
        <w:tc>
          <w:tcPr>
            <w:tcW w:type="dxa" w:w="1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Шаг 3</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Нет согласия на обработку ПДн</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 с пояснением, предложение дать согласие</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t>
            </w:r>
          </w:p>
        </w:tc>
      </w:tr>
      <w:tr>
        <w:tc>
          <w:tcPr>
            <w:tcW w:type="dxa" w:w="1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Шаг 6–8</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Реестр недоступен</w:t>
            </w:r>
          </w:p>
        </w:tc>
        <w:tc>
          <w:tcPr>
            <w:tcW w:type="dxa" w:w="3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Circuit breaker, retry; деградация</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Запрошены сведения</w:t>
            </w:r>
          </w:p>
        </w:tc>
      </w:tr>
      <w:tr>
        <w:tc>
          <w:tcPr>
            <w:tcW w:type="dxa" w:w="1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Шаг 6–8</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Сведения не найдены</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Мотивированный отказ</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Отказано</w:t>
            </w:r>
          </w:p>
        </w:tc>
      </w:tr>
      <w:tr>
        <w:tc>
          <w:tcPr>
            <w:tcW w:type="dxa" w:w="1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Шаг 9</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Ошибка генерации PDF</w:t>
            </w:r>
          </w:p>
        </w:tc>
        <w:tc>
          <w:tcPr>
            <w:tcW w:type="dxa" w:w="3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Повтор; при неуспехе — алерт, DLQ</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 обработке</w:t>
            </w:r>
          </w:p>
        </w:tc>
      </w:tr>
      <w:tr>
        <w:tc>
          <w:tcPr>
            <w:tcW w:type="dxa" w:w="1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Шаг 10</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Сертификат отозван</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Алерт ИБ, ручной разбор</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 обработке</w:t>
            </w:r>
          </w:p>
        </w:tc>
      </w:tr>
    </w:tbl>
    <w:p>
      <w:pPr>
        <w:spacing w:after="160" w:before="60" w:line="240"/>
      </w:pPr>
      <w:r>
        <w:rPr>
          <w:i/>
          <w:iCs/>
          <w:color w:val="5A6B7B"/>
          <w:sz w:val="18"/>
          <w:szCs w:val="18"/>
        </w:rPr>
        <w:t xml:space="preserve">Таблица 7А.2 — Матрица ошибок и реакций для UC-A.</w:t>
      </w:r>
    </w:p>
    <w:p>
      <w:pPr>
        <w:pStyle w:val="Heading2"/>
      </w:pPr>
      <w:r>
        <w:t xml:space="preserve">7А.2. UC-B. Услуга с оплатой и решением специалиста</w:t>
      </w:r>
    </w:p>
    <w:p>
      <w:pPr>
        <w:spacing w:after="120" w:line="276"/>
      </w:pPr>
      <w:r>
        <w:t xml:space="preserve">Сценарий услуги, требующей оплаты пошлины и рассмотрения специалистом ведомства. Последовательность включает финансовые шаги с гарантией идемпотентности и компенсацией (Saga):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700"/>
        <w:gridCol w:w="1100"/>
        <w:gridCol w:w="2160"/>
      </w:tblGrid>
      <w:tr>
        <w:trPr>
          <w:tblHeader/>
        </w:trPr>
        <w:tc>
          <w:tcPr>
            <w:tcW w:type="dxa" w:w="5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w:t>
            </w:r>
          </w:p>
        </w:tc>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Инициатор → Получатель</w:t>
            </w:r>
          </w:p>
        </w:tc>
        <w:tc>
          <w:tcPr>
            <w:tcW w:type="dxa" w:w="2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Действие</w:t>
            </w:r>
          </w:p>
        </w:tc>
        <w:tc>
          <w:tcPr>
            <w:tcW w:type="dxa" w:w="11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Тип</w:t>
            </w:r>
          </w:p>
        </w:tc>
        <w:tc>
          <w:tcPr>
            <w:tcW w:type="dxa" w:w="2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Данные</w:t>
            </w:r>
          </w:p>
        </w:tc>
      </w:tr>
      <w:tr>
        <w:tc>
          <w:tcPr>
            <w:tcW w:type="dxa" w:w="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Заявитель → Портал</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Заполнение формы (автозаполнение)</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данные формы</w:t>
            </w:r>
          </w:p>
        </w:tc>
      </w:tr>
      <w:tr>
        <w:tc>
          <w:tcPr>
            <w:tcW w:type="dxa" w:w="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Портал → Заявления</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Подача заявления</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applicationId</w:t>
            </w:r>
          </w:p>
        </w:tc>
      </w:tr>
      <w:tr>
        <w:tc>
          <w:tcPr>
            <w:tcW w:type="dxa" w:w="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 → Правила (DMN)</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Расчёт размера пошлины</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amount</w:t>
            </w:r>
          </w:p>
        </w:tc>
      </w:tr>
      <w:tr>
        <w:tc>
          <w:tcPr>
            <w:tcW w:type="dxa" w:w="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 → Платежи</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Создание начисления</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chargeId</w:t>
            </w:r>
          </w:p>
        </w:tc>
      </w:tr>
      <w:tr>
        <w:tc>
          <w:tcPr>
            <w:tcW w:type="dxa" w:w="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Заявитель → Платежи</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Оплата (Idempotency-Key)</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paymentId</w:t>
            </w:r>
          </w:p>
        </w:tc>
      </w:tr>
      <w:tr>
        <w:tc>
          <w:tcPr>
            <w:tcW w:type="dxa" w:w="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Платежи → шина</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PaymentConfirmed</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event</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envelope</w:t>
            </w:r>
          </w:p>
        </w:tc>
      </w:tr>
      <w:tr>
        <w:tc>
          <w:tcPr>
            <w:tcW w:type="dxa" w:w="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 → Межвед.</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Проверка сведений</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данные</w:t>
            </w:r>
          </w:p>
        </w:tc>
      </w:tr>
      <w:tr>
        <w:tc>
          <w:tcPr>
            <w:tcW w:type="dxa" w:w="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8</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 → АРМ</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Постановка в очередь специалиста</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async</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task</w:t>
            </w:r>
          </w:p>
        </w:tc>
      </w:tr>
      <w:tr>
        <w:tc>
          <w:tcPr>
            <w:tcW w:type="dxa" w:w="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9</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Специалист → АРМ</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Рассмотрение, решение («четыре глаза»)</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decision</w:t>
            </w:r>
          </w:p>
        </w:tc>
      </w:tr>
      <w:tr>
        <w:tc>
          <w:tcPr>
            <w:tcW w:type="dxa" w:w="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10</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 → Документы → ЭЦП</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Формирование и подпись результата</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documentId</w:t>
            </w:r>
          </w:p>
        </w:tc>
      </w:tr>
      <w:tr>
        <w:tc>
          <w:tcPr>
            <w:tcW w:type="dxa" w:w="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11</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Уведомления → Заявитель</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Уведомление о результате</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async</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push/email</w:t>
            </w:r>
          </w:p>
        </w:tc>
      </w:tr>
    </w:tbl>
    <w:p>
      <w:pPr>
        <w:spacing w:after="160" w:before="60" w:line="240"/>
      </w:pPr>
      <w:r>
        <w:rPr>
          <w:i/>
          <w:iCs/>
          <w:color w:val="5A6B7B"/>
          <w:sz w:val="18"/>
          <w:szCs w:val="18"/>
        </w:rPr>
        <w:t xml:space="preserve">Таблица 7А.3 — Последовательность взаимодействия для UC-B.</w:t>
      </w:r>
    </w:p>
    <w:p>
      <w:pPr>
        <w:pStyle w:val="Heading4"/>
      </w:pPr>
      <w:r>
        <w:t xml:space="preserve">7А.2.1. Компенсация (Saga) в UC-B</w:t>
      </w:r>
    </w:p>
    <w:p>
      <w:pPr>
        <w:spacing w:after="120" w:line="276"/>
      </w:pPr>
      <w:r>
        <w:t xml:space="preserve">Если после успешной оплаты услуга завершается отказом и регламент предусматривает возврат, оркестратор инициирует компенсирующую транзакцию: сервис платежей выполняет возврат (RefundCompleted), статус заявления переводится в «Отказано» с указанием причины, заявитель уведомляется. Компенсация выполняется идемпотентно; повторный запуск не приводит к двойному возврату.</w:t>
      </w:r>
    </w:p>
    <w:p>
      <w:pPr>
        <w:pStyle w:val="Heading4"/>
      </w:pPr>
      <w:r>
        <w:t xml:space="preserve">7А.2.2. Матрица ошибок UC-B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3060"/>
        <w:gridCol w:w="2000"/>
      </w:tblGrid>
      <w:tr>
        <w:trPr>
          <w:tblHeader/>
        </w:trPr>
        <w:tc>
          <w:tcPr>
            <w:tcW w:type="dxa" w:w="1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Точка отказа</w:t>
            </w:r>
          </w:p>
        </w:tc>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Ситуация</w:t>
            </w:r>
          </w:p>
        </w:tc>
        <w:tc>
          <w:tcPr>
            <w:tcW w:type="dxa" w:w="30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Реакция</w:t>
            </w:r>
          </w:p>
        </w:tc>
        <w:tc>
          <w:tcPr>
            <w:tcW w:type="dxa" w:w="2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Статус</w:t>
            </w:r>
          </w:p>
        </w:tc>
      </w:tr>
      <w:tr>
        <w:tc>
          <w:tcPr>
            <w:tcW w:type="dxa" w:w="1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Шаг 5</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Оплата отклонена</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Повтор/иной способ; напоминание</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Ожидает оплаты</w:t>
            </w:r>
          </w:p>
        </w:tc>
      </w:tr>
      <w:tr>
        <w:tc>
          <w:tcPr>
            <w:tcW w:type="dxa" w:w="1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Шаг 5</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Оплата не поступила в срок</w:t>
            </w:r>
          </w:p>
        </w:tc>
        <w:tc>
          <w:tcPr>
            <w:tcW w:type="dxa" w:w="3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Автонапоминание → закрытие по таймеру</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Отозвано/закрыто</w:t>
            </w:r>
          </w:p>
        </w:tc>
      </w:tr>
      <w:tr>
        <w:tc>
          <w:tcPr>
            <w:tcW w:type="dxa" w:w="1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Шаг 9</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Нарушение SLA специалистом</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Эскалация руководителю</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 обработке (просрочено)</w:t>
            </w:r>
          </w:p>
        </w:tc>
      </w:tr>
      <w:tr>
        <w:tc>
          <w:tcPr>
            <w:tcW w:type="dxa" w:w="1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Шаг 9</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Возврат на уточнение</w:t>
            </w:r>
          </w:p>
        </w:tc>
        <w:tc>
          <w:tcPr>
            <w:tcW w:type="dxa" w:w="3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Запрос недостающих данных</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Требует уточнения</w:t>
            </w:r>
          </w:p>
        </w:tc>
      </w:tr>
      <w:tr>
        <w:tc>
          <w:tcPr>
            <w:tcW w:type="dxa" w:w="1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Шаг 9</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Отрицательное решение</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Мотивированный отказ; при необходимости возврат (Saga)</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Отказано</w:t>
            </w:r>
          </w:p>
        </w:tc>
      </w:tr>
    </w:tbl>
    <w:p>
      <w:pPr>
        <w:spacing w:after="160" w:before="60" w:line="240"/>
      </w:pPr>
      <w:r>
        <w:rPr>
          <w:i/>
          <w:iCs/>
          <w:color w:val="5A6B7B"/>
          <w:sz w:val="18"/>
          <w:szCs w:val="18"/>
        </w:rPr>
        <w:t xml:space="preserve">Таблица 7А.4 — Матрица ошибок и реакций для UC-B.</w:t>
      </w:r>
    </w:p>
    <w:p>
      <w:pPr>
        <w:pStyle w:val="Heading2"/>
      </w:pPr>
      <w:r>
        <w:t xml:space="preserve">7А.3. UC-C. Проактивная услуга</w:t>
      </w:r>
    </w:p>
    <w:p>
      <w:pPr>
        <w:spacing w:after="120" w:line="276"/>
      </w:pPr>
      <w:r>
        <w:t xml:space="preserve">Сценарий услуги, инициируемой событием в государственном реестре. Последовательность начинается не с обращения гражданина, а с события: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700"/>
        <w:gridCol w:w="1100"/>
        <w:gridCol w:w="2160"/>
      </w:tblGrid>
      <w:tr>
        <w:trPr>
          <w:tblHeader/>
        </w:trPr>
        <w:tc>
          <w:tcPr>
            <w:tcW w:type="dxa" w:w="5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w:t>
            </w:r>
          </w:p>
        </w:tc>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Инициатор → Получатель</w:t>
            </w:r>
          </w:p>
        </w:tc>
        <w:tc>
          <w:tcPr>
            <w:tcW w:type="dxa" w:w="2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Действие</w:t>
            </w:r>
          </w:p>
        </w:tc>
        <w:tc>
          <w:tcPr>
            <w:tcW w:type="dxa" w:w="11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Тип</w:t>
            </w:r>
          </w:p>
        </w:tc>
        <w:tc>
          <w:tcPr>
            <w:tcW w:type="dxa" w:w="2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Данные</w:t>
            </w:r>
          </w:p>
        </w:tc>
      </w:tr>
      <w:tr>
        <w:tc>
          <w:tcPr>
            <w:tcW w:type="dxa" w:w="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Реестр → шина</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Событие реестра (наступление условия)</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event</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envelope</w:t>
            </w:r>
          </w:p>
        </w:tc>
      </w:tr>
      <w:tr>
        <w:tc>
          <w:tcPr>
            <w:tcW w:type="dxa" w:w="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Платформа → Профиль</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Сопоставление с гражданином и согласием</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citizenId</w:t>
            </w:r>
          </w:p>
        </w:tc>
      </w:tr>
      <w:tr>
        <w:tc>
          <w:tcPr>
            <w:tcW w:type="dxa" w:w="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Платформа → Каталог</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Подбор подходящей услуги</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serviceId</w:t>
            </w:r>
          </w:p>
        </w:tc>
      </w:tr>
      <w:tr>
        <w:tc>
          <w:tcPr>
            <w:tcW w:type="dxa" w:w="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Платформа → Уведомления</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Проактивное предложение + черновик</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async</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draft</w:t>
            </w:r>
          </w:p>
        </w:tc>
      </w:tr>
      <w:tr>
        <w:tc>
          <w:tcPr>
            <w:tcW w:type="dxa" w:w="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Гражданин → Портал</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Подтверждение/корректировка</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sync</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данные</w:t>
            </w:r>
          </w:p>
        </w:tc>
      </w:tr>
      <w:tr>
        <w:tc>
          <w:tcPr>
            <w:tcW w:type="dxa" w:w="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Далее</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Обработка по UC-A или UC-B</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t>
            </w:r>
          </w:p>
        </w:tc>
      </w:tr>
    </w:tbl>
    <w:p>
      <w:pPr>
        <w:spacing w:after="160" w:before="60" w:line="240"/>
      </w:pPr>
      <w:r>
        <w:rPr>
          <w:i/>
          <w:iCs/>
          <w:color w:val="5A6B7B"/>
          <w:sz w:val="18"/>
          <w:szCs w:val="18"/>
        </w:rPr>
        <w:t xml:space="preserve">Таблица 7А.5 — Последовательность взаимодействия для UC-C.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Условие проактивности. </w:t>
            </w:r>
            <w:r>
              <w:rPr>
                <w:sz w:val="21"/>
                <w:szCs w:val="21"/>
              </w:rPr>
              <w:t xml:space="preserve">Проактивное предложение формируется только при действующем согласии гражданина на проактивное информирование. Отзыв согласия немедленно прекращает формирование таких предложений (событие ConsentRevoked).</w:t>
            </w:r>
          </w:p>
        </w:tc>
      </w:tr>
    </w:tbl>
    <w:p>
      <w:pPr>
        <w:pStyle w:val="Heading1"/>
      </w:pPr>
      <w:r>
        <w:t xml:space="preserve">7Б. Автоматизированное рабочее место специалиста (АРМ)</w:t>
      </w:r>
    </w:p>
    <w:p>
      <w:pPr>
        <w:spacing w:after="120" w:line="276"/>
      </w:pPr>
      <w:r>
        <w:t xml:space="preserve">Автоматизированное рабочее место (АРМ) — интерфейс специалиста ведомства для обработки поступивших заявлений. АРМ является ключевым каналом для шагов услуг, требующих участия человека (раздел 7.1, этап 7). Настоящий раздел детализирует функциональные требования к АРМ.</w:t>
      </w:r>
    </w:p>
    <w:p>
      <w:pPr>
        <w:pStyle w:val="Heading2"/>
      </w:pPr>
      <w:r>
        <w:t xml:space="preserve">7Б.1. Назначение и принципы</w:t>
      </w:r>
    </w:p>
    <w:p>
      <w:pPr>
        <w:spacing w:after="120" w:line="276"/>
      </w:pPr>
      <w:r>
        <w:t xml:space="preserve">АРМ предоставляет специалисту всё необходимое для рассмотрения заявления и принятия решения в едином интерфейсе, минимизируя переключения между системами. Принципы: вся информация по заявлению в одном месте; автоматическое получение сведений из реестров; контроль сроков; прозрачность решений и их обоснования.</w:t>
      </w:r>
    </w:p>
    <w:p>
      <w:pPr>
        <w:pStyle w:val="Heading2"/>
      </w:pPr>
      <w:r>
        <w:t xml:space="preserve">7Б.2. Функциональные требования</w:t>
      </w:r>
    </w:p>
    <w:p>
      <w:pPr>
        <w:pStyle w:val="ListParagraph"/>
        <w:numPr>
          <w:ilvl w:val="0"/>
          <w:numId w:val="2"/>
        </w:numPr>
        <w:spacing w:after="80" w:line="264"/>
      </w:pPr>
      <w:r>
        <w:rPr>
          <w:b/>
          <w:bCs/>
        </w:rPr>
        <w:t xml:space="preserve">Очередь заданий. </w:t>
      </w:r>
      <w:r>
        <w:t xml:space="preserve">Список назначенных заявлений с сортировкой по сроку (SLA) и приоритету; фильтрация по типу услуги и статусу.</w:t>
      </w:r>
    </w:p>
    <w:p>
      <w:pPr>
        <w:pStyle w:val="ListParagraph"/>
        <w:numPr>
          <w:ilvl w:val="0"/>
          <w:numId w:val="2"/>
        </w:numPr>
        <w:spacing w:after="80" w:line="264"/>
      </w:pPr>
      <w:r>
        <w:rPr>
          <w:b/>
          <w:bCs/>
        </w:rPr>
        <w:t xml:space="preserve">Карточка заявления. </w:t>
      </w:r>
      <w:r>
        <w:t xml:space="preserve">Полные данные заявления, приложенные документы, сведения, полученные по межведомственным запросам, история переходов.</w:t>
      </w:r>
    </w:p>
    <w:p>
      <w:pPr>
        <w:pStyle w:val="ListParagraph"/>
        <w:numPr>
          <w:ilvl w:val="0"/>
          <w:numId w:val="2"/>
        </w:numPr>
        <w:spacing w:after="80" w:line="264"/>
      </w:pPr>
      <w:r>
        <w:rPr>
          <w:b/>
          <w:bCs/>
        </w:rPr>
        <w:t xml:space="preserve">Запрос сведений. </w:t>
      </w:r>
      <w:r>
        <w:t xml:space="preserve">Инициирование дополнительных межведомственных запросов через Smart Bridge прямо из карточки.</w:t>
      </w:r>
    </w:p>
    <w:p>
      <w:pPr>
        <w:pStyle w:val="ListParagraph"/>
        <w:numPr>
          <w:ilvl w:val="0"/>
          <w:numId w:val="2"/>
        </w:numPr>
        <w:spacing w:after="80" w:line="264"/>
      </w:pPr>
      <w:r>
        <w:rPr>
          <w:b/>
          <w:bCs/>
        </w:rPr>
        <w:t xml:space="preserve">Возврат на уточнение. </w:t>
      </w:r>
      <w:r>
        <w:t xml:space="preserve">Возврат заявления заявителю с указанием недостающих данных (статус «Требует уточнения»).</w:t>
      </w:r>
    </w:p>
    <w:p>
      <w:pPr>
        <w:pStyle w:val="ListParagraph"/>
        <w:numPr>
          <w:ilvl w:val="0"/>
          <w:numId w:val="2"/>
        </w:numPr>
        <w:spacing w:after="80" w:line="264"/>
      </w:pPr>
      <w:r>
        <w:rPr>
          <w:b/>
          <w:bCs/>
        </w:rPr>
        <w:t xml:space="preserve">Принятие решения. </w:t>
      </w:r>
      <w:r>
        <w:t xml:space="preserve">Положительное/отрицательное решение с обязательным обоснованием; для критичных решений — подтверждение второго специалиста («четыре глаза»).</w:t>
      </w:r>
    </w:p>
    <w:p>
      <w:pPr>
        <w:pStyle w:val="ListParagraph"/>
        <w:numPr>
          <w:ilvl w:val="0"/>
          <w:numId w:val="2"/>
        </w:numPr>
        <w:spacing w:after="80" w:line="264"/>
      </w:pPr>
      <w:r>
        <w:rPr>
          <w:b/>
          <w:bCs/>
        </w:rPr>
        <w:t xml:space="preserve">Формирование результата. </w:t>
      </w:r>
      <w:r>
        <w:t xml:space="preserve">Генерация результирующего документа и его подписание ЭЦП.</w:t>
      </w:r>
    </w:p>
    <w:p>
      <w:pPr>
        <w:pStyle w:val="ListParagraph"/>
        <w:numPr>
          <w:ilvl w:val="0"/>
          <w:numId w:val="2"/>
        </w:numPr>
        <w:spacing w:after="80" w:line="264"/>
      </w:pPr>
      <w:r>
        <w:rPr>
          <w:b/>
          <w:bCs/>
        </w:rPr>
        <w:t xml:space="preserve">Контроль сроков. </w:t>
      </w:r>
      <w:r>
        <w:t xml:space="preserve">Индикация приближения и нарушения SLA; уведомления и эскалации.</w:t>
      </w:r>
    </w:p>
    <w:p>
      <w:pPr>
        <w:pStyle w:val="ListParagraph"/>
        <w:numPr>
          <w:ilvl w:val="0"/>
          <w:numId w:val="2"/>
        </w:numPr>
        <w:spacing w:after="80" w:line="264"/>
      </w:pPr>
      <w:r>
        <w:rPr>
          <w:b/>
          <w:bCs/>
        </w:rPr>
        <w:t xml:space="preserve">Массовые операции. </w:t>
      </w:r>
      <w:r>
        <w:t xml:space="preserve">Пакетная обработка однотипных заявлений, где это допустимо регламентом.</w:t>
      </w:r>
    </w:p>
    <w:p>
      <w:pPr>
        <w:pStyle w:val="Heading2"/>
      </w:pPr>
      <w:r>
        <w:t xml:space="preserve">7Б.3. Контроль сроков и эскалации в АРМ</w:t>
      </w:r>
    </w:p>
    <w:p>
      <w:pPr>
        <w:spacing w:after="120" w:line="276"/>
      </w:pPr>
      <w:r>
        <w:t xml:space="preserve">Каждое задание в АРМ снабжено индикатором срока на основе SLA-таймеров процесса (раздел 5А.2.2). По мере приближения к сроку задание визуально выделяется; при нарушении — формируется эскалация руководителю и пометка «просрочено». Метрики нарушений SLA доступны в бизнес-мониторинге (раздел 14) для контроля качества по ведомствам и специалистам.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Состояние срока</w:t>
            </w:r>
          </w:p>
        </w:tc>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Индикация</w:t>
            </w:r>
          </w:p>
        </w:tc>
        <w:tc>
          <w:tcPr>
            <w:tcW w:type="dxa" w:w="3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Действие системы</w:t>
            </w:r>
          </w:p>
        </w:tc>
      </w:tr>
      <w:tr>
        <w:tc>
          <w:tcPr>
            <w:tcW w:type="dxa" w:w="2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 пределах нормы</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Обычная</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Нет</w:t>
            </w:r>
          </w:p>
        </w:tc>
      </w:tr>
      <w:tr>
        <w:tc>
          <w:tcPr>
            <w:tcW w:type="dxa" w:w="2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Приближение</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Предупреждающая</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Напоминание исполнителю</w:t>
            </w:r>
          </w:p>
        </w:tc>
      </w:tr>
      <w:tr>
        <w:tc>
          <w:tcPr>
            <w:tcW w:type="dxa" w:w="2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Нарушение</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Критическая</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Эскалация руководителю, пометка</w:t>
            </w:r>
          </w:p>
        </w:tc>
      </w:tr>
    </w:tbl>
    <w:p>
      <w:pPr>
        <w:spacing w:after="160" w:before="60" w:line="240"/>
      </w:pPr>
      <w:r>
        <w:rPr>
          <w:i/>
          <w:iCs/>
          <w:color w:val="5A6B7B"/>
          <w:sz w:val="18"/>
          <w:szCs w:val="18"/>
        </w:rPr>
        <w:t xml:space="preserve">Таблица 7Б.1 — Индикация и реакция на сроки в АРМ.</w:t>
      </w:r>
    </w:p>
    <w:p>
      <w:pPr>
        <w:pStyle w:val="Heading2"/>
      </w:pPr>
      <w:r>
        <w:t xml:space="preserve">7Б.4. Доступ и безопасность АРМ</w:t>
      </w:r>
    </w:p>
    <w:p>
      <w:pPr>
        <w:spacing w:after="120" w:line="276"/>
      </w:pPr>
      <w:r>
        <w:t xml:space="preserve">Доступ специалиста к АРМ требует усиленной аутентификации (МФА) и ограничен ролью и атрибутами (ведомство, подразделение, тип услуги — раздел 5А.1.3). Специалист видит только заявления своего ведомства и назначенные ему. Все действия специалиста фиксируются в WORM-аудите (раздел 4Б.10) для подотчётности и расследования.</w:t>
      </w:r>
    </w:p>
    <w:p>
      <w:pPr>
        <w:pStyle w:val="Heading1"/>
      </w:pPr>
      <w:r>
        <w:t xml:space="preserve">7В. Кабинет администратора услуг (Low-Code)</w:t>
      </w:r>
    </w:p>
    <w:p>
      <w:pPr>
        <w:spacing w:after="120" w:line="276"/>
      </w:pPr>
      <w:r>
        <w:t xml:space="preserve">Кабинет администратора — интерфейс создания и сопровождения услуг средствами Low-Code (разделы 6, 6А). Обеспечивает целевой срок создания типовой услуги ≤ 10 дней без участия разработчиков. Настоящий раздел детализирует функциональные требования к кабинету.</w:t>
      </w:r>
    </w:p>
    <w:p>
      <w:pPr>
        <w:pStyle w:val="Heading2"/>
      </w:pPr>
      <w:r>
        <w:t xml:space="preserve">7В.1. Функциональные возможности</w:t>
      </w:r>
    </w:p>
    <w:p>
      <w:pPr>
        <w:pStyle w:val="ListParagraph"/>
        <w:numPr>
          <w:ilvl w:val="0"/>
          <w:numId w:val="2"/>
        </w:numPr>
        <w:spacing w:after="80" w:line="264"/>
      </w:pPr>
      <w:r>
        <w:rPr>
          <w:b/>
          <w:bCs/>
        </w:rPr>
        <w:t xml:space="preserve">Управление услугами. </w:t>
      </w:r>
      <w:r>
        <w:t xml:space="preserve">Создание, редактирование, версионирование и публикация услуг; управление жизненным циклом (черновик → согласование → публикация → вывод).</w:t>
      </w:r>
    </w:p>
    <w:p>
      <w:pPr>
        <w:pStyle w:val="ListParagraph"/>
        <w:numPr>
          <w:ilvl w:val="0"/>
          <w:numId w:val="2"/>
        </w:numPr>
        <w:spacing w:after="80" w:line="264"/>
      </w:pPr>
      <w:r>
        <w:rPr>
          <w:b/>
          <w:bCs/>
        </w:rPr>
        <w:t xml:space="preserve">Конструктор процессов. </w:t>
      </w:r>
      <w:r>
        <w:t xml:space="preserve">Визуальное моделирование процесса услуги (BPMN), привязка задач к формам и правилам.</w:t>
      </w:r>
    </w:p>
    <w:p>
      <w:pPr>
        <w:pStyle w:val="ListParagraph"/>
        <w:numPr>
          <w:ilvl w:val="0"/>
          <w:numId w:val="2"/>
        </w:numPr>
        <w:spacing w:after="80" w:line="264"/>
      </w:pPr>
      <w:r>
        <w:rPr>
          <w:b/>
          <w:bCs/>
        </w:rPr>
        <w:t xml:space="preserve">Конструктор форм. </w:t>
      </w:r>
      <w:r>
        <w:t xml:space="preserve">Создание форм (Form.io) с валидацией, условной логикой, автозаполнением и многоязычностью.</w:t>
      </w:r>
    </w:p>
    <w:p>
      <w:pPr>
        <w:pStyle w:val="ListParagraph"/>
        <w:numPr>
          <w:ilvl w:val="0"/>
          <w:numId w:val="2"/>
        </w:numPr>
        <w:spacing w:after="80" w:line="264"/>
      </w:pPr>
      <w:r>
        <w:rPr>
          <w:b/>
          <w:bCs/>
        </w:rPr>
        <w:t xml:space="preserve">Конструктор правил. </w:t>
      </w:r>
      <w:r>
        <w:t xml:space="preserve">Таблицы решений (DMN) для расчётов и проверок.</w:t>
      </w:r>
    </w:p>
    <w:p>
      <w:pPr>
        <w:pStyle w:val="ListParagraph"/>
        <w:numPr>
          <w:ilvl w:val="0"/>
          <w:numId w:val="2"/>
        </w:numPr>
        <w:spacing w:after="80" w:line="264"/>
      </w:pPr>
      <w:r>
        <w:rPr>
          <w:b/>
          <w:bCs/>
        </w:rPr>
        <w:t xml:space="preserve">Маршруты и сроки. </w:t>
      </w:r>
      <w:r>
        <w:t xml:space="preserve">Назначение ролей-исполнителей, сроков (SLA), правил эскалации.</w:t>
      </w:r>
    </w:p>
    <w:p>
      <w:pPr>
        <w:pStyle w:val="ListParagraph"/>
        <w:numPr>
          <w:ilvl w:val="0"/>
          <w:numId w:val="2"/>
        </w:numPr>
        <w:spacing w:after="80" w:line="264"/>
      </w:pPr>
      <w:r>
        <w:rPr>
          <w:b/>
          <w:bCs/>
        </w:rPr>
        <w:t xml:space="preserve">Шаблоны. </w:t>
      </w:r>
      <w:r>
        <w:t xml:space="preserve">Шаблоны уведомлений и результирующих документов с подстановкой данных.</w:t>
      </w:r>
    </w:p>
    <w:p>
      <w:pPr>
        <w:pStyle w:val="ListParagraph"/>
        <w:numPr>
          <w:ilvl w:val="0"/>
          <w:numId w:val="2"/>
        </w:numPr>
        <w:spacing w:after="80" w:line="264"/>
      </w:pPr>
      <w:r>
        <w:rPr>
          <w:b/>
          <w:bCs/>
        </w:rPr>
        <w:t xml:space="preserve">Песочница. </w:t>
      </w:r>
      <w:r>
        <w:t xml:space="preserve">Проверка услуги в тестовой среде до публикации (эталонные сценарии).</w:t>
      </w:r>
    </w:p>
    <w:p>
      <w:pPr>
        <w:pStyle w:val="ListParagraph"/>
        <w:numPr>
          <w:ilvl w:val="0"/>
          <w:numId w:val="2"/>
        </w:numPr>
        <w:spacing w:after="80" w:line="264"/>
      </w:pPr>
      <w:r>
        <w:rPr>
          <w:b/>
          <w:bCs/>
        </w:rPr>
        <w:t xml:space="preserve">Управление выкаткой. </w:t>
      </w:r>
      <w:r>
        <w:t xml:space="preserve">Поэтапная публикация через feature flags (canary), быстрый откат.</w:t>
      </w:r>
    </w:p>
    <w:p>
      <w:pPr>
        <w:pStyle w:val="Heading2"/>
      </w:pPr>
      <w:r>
        <w:t xml:space="preserve">7В.2. Разграничение прав</w:t>
      </w:r>
    </w:p>
    <w:p>
      <w:pPr>
        <w:spacing w:after="120" w:line="276"/>
      </w:pPr>
      <w:r>
        <w:t xml:space="preserve">Права в кабинете разграничены: создание и редактирование, согласование, публикация — разные полномочия (раздел 6.2). Это реализует разделение обязанностей: автор не публикует собственные изменения без согласования. Доступ ограничен назначенными услугами/ведомством (раздел 5А.1.3).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Полномочие</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Редактор</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Создание и изменение черновиков услуг.</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Согласующий</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Проверка и согласование изменений.</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Публикатор</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Публикация согласованных версий.</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Наблюдатель</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Просмотр без изменения.</w:t>
            </w:r>
          </w:p>
        </w:tc>
      </w:tr>
    </w:tbl>
    <w:p>
      <w:pPr>
        <w:spacing w:after="160" w:before="60" w:line="240"/>
      </w:pPr>
      <w:r>
        <w:rPr>
          <w:i/>
          <w:iCs/>
          <w:color w:val="5A6B7B"/>
          <w:sz w:val="18"/>
          <w:szCs w:val="18"/>
        </w:rPr>
        <w:t xml:space="preserve">Таблица 7В.1 — Полномочия в кабинете администратора.</w:t>
      </w:r>
    </w:p>
    <w:p>
      <w:pPr>
        <w:pStyle w:val="Heading2"/>
      </w:pPr>
      <w:r>
        <w:t xml:space="preserve">7В.3. Контроль качества услуги перед публикацией</w:t>
      </w:r>
    </w:p>
    <w:p>
      <w:pPr>
        <w:spacing w:after="120" w:line="276"/>
      </w:pPr>
      <w:r>
        <w:t xml:space="preserve">Перед публикацией услуга проходит обязательную валидацию (раздел 6.2): полнота и связность процесса, валидность формы и правил, наличие мультиязычных полей, настроенные маршруты и шаблоны. Услуга проверяется по эталонным сценариям (раздел 7.4) в песочнице. Чек-лист готовности услуги приведён в Приложении К.2. Публикация невозможна при невыполнении обязательных условий.</w:t>
      </w:r>
    </w:p>
    <w:p>
      <w:pPr>
        <w:pStyle w:val="Heading1"/>
      </w:pPr>
      <w:r>
        <w:t xml:space="preserve">8. Управление моделью данных (SSOT)</w:t>
      </w:r>
    </w:p>
    <w:p>
      <w:pPr>
        <w:spacing w:after="120" w:line="276"/>
      </w:pPr>
      <w:r>
        <w:t xml:space="preserve">Целостность и непротиворечивость данных Платформы обеспечивается принципом единого источника истины (SSOT): у каждой сущности данных есть единственный сервис-владелец, отвечающий за её создание, изменение и публикацию.</w:t>
      </w:r>
    </w:p>
    <w:p>
      <w:pPr>
        <w:pStyle w:val="ListParagraph"/>
        <w:numPr>
          <w:ilvl w:val="0"/>
          <w:numId w:val="2"/>
        </w:numPr>
        <w:spacing w:after="80" w:line="264"/>
      </w:pPr>
      <w:r>
        <w:rPr>
          <w:b/>
          <w:bCs/>
        </w:rPr>
        <w:t xml:space="preserve">Единственный владелец на сущность. </w:t>
      </w:r>
      <w:r>
        <w:t xml:space="preserve">Другие сервисы получают данные через контрактные интерфейсы и события, не дублируя источник.</w:t>
      </w:r>
    </w:p>
    <w:p>
      <w:pPr>
        <w:pStyle w:val="ListParagraph"/>
        <w:numPr>
          <w:ilvl w:val="0"/>
          <w:numId w:val="2"/>
        </w:numPr>
        <w:spacing w:after="80" w:line="264"/>
      </w:pPr>
      <w:r>
        <w:rPr>
          <w:b/>
          <w:bCs/>
        </w:rPr>
        <w:t xml:space="preserve">Реестр схем (Apicurio / Schema Registry). </w:t>
      </w:r>
      <w:r>
        <w:t xml:space="preserve">Контракты данных описываются в OpenAPI 3.1 (синхронные REST) и AsyncAPI + Avro (события) и хранятся централизованно с версионированием; для событий обязательны явные событийные контракты (Event Contracts) и проверка обратной совместимости при регистрации новой версии схемы.</w:t>
      </w:r>
    </w:p>
    <w:p>
      <w:pPr>
        <w:pStyle w:val="ListParagraph"/>
        <w:numPr>
          <w:ilvl w:val="0"/>
          <w:numId w:val="2"/>
        </w:numPr>
        <w:spacing w:after="80" w:line="264"/>
      </w:pPr>
      <w:r>
        <w:rPr>
          <w:b/>
          <w:bCs/>
        </w:rPr>
        <w:t xml:space="preserve">Контрактное тестирование (Pact). </w:t>
      </w:r>
      <w:r>
        <w:t xml:space="preserve">Совместимость потребителей и поставщиков проверяется автоматически (consumer-driven contract testing).</w:t>
      </w:r>
    </w:p>
    <w:p>
      <w:pPr>
        <w:pStyle w:val="ListParagraph"/>
        <w:numPr>
          <w:ilvl w:val="0"/>
          <w:numId w:val="2"/>
        </w:numPr>
        <w:spacing w:after="80" w:line="264"/>
      </w:pPr>
      <w:r>
        <w:rPr>
          <w:b/>
          <w:bCs/>
        </w:rPr>
        <w:t xml:space="preserve">Централизованная НСИ/MDM. </w:t>
      </w:r>
      <w:r>
        <w:t xml:space="preserve">Классификаторы и справочники ведутся в едином сервисе и синхронизируются между подсистемами.</w:t>
      </w:r>
    </w:p>
    <w:p>
      <w:pPr>
        <w:pStyle w:val="ListParagraph"/>
        <w:numPr>
          <w:ilvl w:val="0"/>
          <w:numId w:val="2"/>
        </w:numPr>
        <w:spacing w:after="80" w:line="264"/>
      </w:pPr>
      <w:r>
        <w:rPr>
          <w:b/>
          <w:bCs/>
        </w:rPr>
        <w:t xml:space="preserve">Эволюция схем. </w:t>
      </w:r>
      <w:r>
        <w:t xml:space="preserve">Допускаются только расширяющие изменения; параллельная поддержка версий схемы — не менее 6 месяцев.</w:t>
      </w:r>
    </w:p>
    <w:p>
      <w:pPr>
        <w:pStyle w:val="Heading1"/>
      </w:pPr>
      <w:r>
        <w:t xml:space="preserve">8А. Управление мастер-данными и НСИ</w:t>
      </w:r>
    </w:p>
    <w:p>
      <w:pPr>
        <w:spacing w:after="120" w:line="276"/>
      </w:pPr>
      <w:r>
        <w:t xml:space="preserve">Настоящий раздел детализирует требования раздела 8 (SSOT) в части управления мастер-данными (MDM) и нормативно-справочной информацией (НСИ). Цель — обеспечить единство, актуальность и непротиворечивость справочных и мастер-данных по всей Платформе.</w:t>
      </w:r>
    </w:p>
    <w:p>
      <w:pPr>
        <w:pStyle w:val="Heading2"/>
      </w:pPr>
      <w:r>
        <w:t xml:space="preserve">8А.1. Принципы управления данными</w:t>
      </w:r>
    </w:p>
    <w:p>
      <w:pPr>
        <w:pStyle w:val="ListParagraph"/>
        <w:numPr>
          <w:ilvl w:val="0"/>
          <w:numId w:val="2"/>
        </w:numPr>
        <w:spacing w:after="80" w:line="264"/>
      </w:pPr>
      <w:r>
        <w:rPr>
          <w:b/>
          <w:bCs/>
        </w:rPr>
        <w:t xml:space="preserve">Единый владелец. </w:t>
      </w:r>
      <w:r>
        <w:t xml:space="preserve">Каждый справочник и каждая мастер-сущность имеют единственного владельца (раздел 5Б.1).</w:t>
      </w:r>
    </w:p>
    <w:p>
      <w:pPr>
        <w:pStyle w:val="ListParagraph"/>
        <w:numPr>
          <w:ilvl w:val="0"/>
          <w:numId w:val="2"/>
        </w:numPr>
        <w:spacing w:after="80" w:line="264"/>
      </w:pPr>
      <w:r>
        <w:rPr>
          <w:b/>
          <w:bCs/>
        </w:rPr>
        <w:t xml:space="preserve">Версионирование. </w:t>
      </w:r>
      <w:r>
        <w:t xml:space="preserve">Изменения справочников версионируются; опубликованная версия неизменяема.</w:t>
      </w:r>
    </w:p>
    <w:p>
      <w:pPr>
        <w:pStyle w:val="ListParagraph"/>
        <w:numPr>
          <w:ilvl w:val="0"/>
          <w:numId w:val="2"/>
        </w:numPr>
        <w:spacing w:after="80" w:line="264"/>
      </w:pPr>
      <w:r>
        <w:rPr>
          <w:b/>
          <w:bCs/>
        </w:rPr>
        <w:t xml:space="preserve">Период действия. </w:t>
      </w:r>
      <w:r>
        <w:t xml:space="preserve">Элементы справочников имеют период действия; недействующие не предлагаются в формах.</w:t>
      </w:r>
    </w:p>
    <w:p>
      <w:pPr>
        <w:pStyle w:val="ListParagraph"/>
        <w:numPr>
          <w:ilvl w:val="0"/>
          <w:numId w:val="2"/>
        </w:numPr>
        <w:spacing w:after="80" w:line="264"/>
      </w:pPr>
      <w:r>
        <w:rPr>
          <w:b/>
          <w:bCs/>
        </w:rPr>
        <w:t xml:space="preserve">Распространение через контракт. </w:t>
      </w:r>
      <w:r>
        <w:t xml:space="preserve">Потребители получают справочники по контракту и через события об изменениях.</w:t>
      </w:r>
    </w:p>
    <w:p>
      <w:pPr>
        <w:pStyle w:val="ListParagraph"/>
        <w:numPr>
          <w:ilvl w:val="0"/>
          <w:numId w:val="2"/>
        </w:numPr>
        <w:spacing w:after="80" w:line="264"/>
      </w:pPr>
      <w:r>
        <w:rPr>
          <w:b/>
          <w:bCs/>
        </w:rPr>
        <w:t xml:space="preserve">Качество данных. </w:t>
      </w:r>
      <w:r>
        <w:t xml:space="preserve">Контроль полноты, форматов и ссылочной целостности при изменении.</w:t>
      </w:r>
    </w:p>
    <w:p>
      <w:pPr>
        <w:pStyle w:val="Heading2"/>
      </w:pPr>
      <w:r>
        <w:t xml:space="preserve">8А.2. Состав НСИ</w:t>
      </w:r>
    </w:p>
    <w:p>
      <w:pPr>
        <w:spacing w:after="120" w:line="276"/>
      </w:pPr>
      <w:r>
        <w:t xml:space="preserve">К нормативно-справочной информации относятся классификаторы и справочники, используемые многими услугами. Точный состав ведётся в сервисе НСИ; примеры категорий: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Категория справочника</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Примеры</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Территориальные</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Регионы, районы, населённые пункты.</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Организационные</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Ведомства, подразделения.</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Классификаторы услуг</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Категории, жизненные ситуации.</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Документные</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Виды документов, типы результатов.</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Финансовые</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Виды пошлин, валюты.</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Статусные</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Статусы заявлений, причины отказов.</w:t>
            </w:r>
          </w:p>
        </w:tc>
      </w:tr>
    </w:tbl>
    <w:p>
      <w:pPr>
        <w:spacing w:after="160" w:before="60" w:line="240"/>
      </w:pPr>
      <w:r>
        <w:rPr>
          <w:i/>
          <w:iCs/>
          <w:color w:val="5A6B7B"/>
          <w:sz w:val="18"/>
          <w:szCs w:val="18"/>
        </w:rPr>
        <w:t xml:space="preserve">Таблица 8А.1 — Категории нормативно-справочной информации.</w:t>
      </w:r>
    </w:p>
    <w:p>
      <w:pPr>
        <w:pStyle w:val="Heading2"/>
      </w:pPr>
      <w:r>
        <w:t xml:space="preserve">8А.3. Жизненный цикл справочника</w:t>
      </w:r>
    </w:p>
    <w:p>
      <w:pPr>
        <w:pStyle w:val="ListParagraph"/>
        <w:numPr>
          <w:ilvl w:val="0"/>
          <w:numId w:val="7"/>
        </w:numPr>
        <w:spacing w:after="80" w:line="264"/>
      </w:pPr>
      <w:r>
        <w:t xml:space="preserve">Создание/изменение черновика справочника владельцем.</w:t>
      </w:r>
    </w:p>
    <w:p>
      <w:pPr>
        <w:pStyle w:val="ListParagraph"/>
        <w:numPr>
          <w:ilvl w:val="0"/>
          <w:numId w:val="7"/>
        </w:numPr>
        <w:spacing w:after="80" w:line="264"/>
      </w:pPr>
      <w:r>
        <w:t xml:space="preserve">Проверка качества (полнота, форматы, ссылочная целостность).</w:t>
      </w:r>
    </w:p>
    <w:p>
      <w:pPr>
        <w:pStyle w:val="ListParagraph"/>
        <w:numPr>
          <w:ilvl w:val="0"/>
          <w:numId w:val="7"/>
        </w:numPr>
        <w:spacing w:after="80" w:line="264"/>
      </w:pPr>
      <w:r>
        <w:t xml:space="preserve">Согласование и публикация новой версии.</w:t>
      </w:r>
    </w:p>
    <w:p>
      <w:pPr>
        <w:pStyle w:val="ListParagraph"/>
        <w:numPr>
          <w:ilvl w:val="0"/>
          <w:numId w:val="7"/>
        </w:numPr>
        <w:spacing w:after="80" w:line="264"/>
      </w:pPr>
      <w:r>
        <w:t xml:space="preserve">Публикация события ReferenceUpdated; инвалидация кэшей потребителей.</w:t>
      </w:r>
    </w:p>
    <w:p>
      <w:pPr>
        <w:pStyle w:val="ListParagraph"/>
        <w:numPr>
          <w:ilvl w:val="0"/>
          <w:numId w:val="7"/>
        </w:numPr>
        <w:spacing w:after="80" w:line="264"/>
      </w:pPr>
      <w:r>
        <w:t xml:space="preserve">Параллельная доступность версий на переходный период.</w:t>
      </w:r>
    </w:p>
    <w:p>
      <w:pPr>
        <w:pStyle w:val="Heading2"/>
      </w:pPr>
      <w:r>
        <w:t xml:space="preserve">8А.4. Синхронизация и согласованность</w:t>
      </w:r>
    </w:p>
    <w:p>
      <w:pPr>
        <w:spacing w:after="120" w:line="276"/>
      </w:pPr>
      <w:r>
        <w:t xml:space="preserve">Справочники кэшируются потребителями для производительности (раздел 4А.5) и обновляются по событию об изменении. Периодические сверки (через планировщик с распределённой блокировкой ShedLock) контролируют согласованность кэшей с источником. Изменения справочников выполняются без простоя потребителей за счёт версионирования и обратной совместимости.</w:t>
      </w:r>
    </w:p>
    <w:p>
      <w:pPr>
        <w:pStyle w:val="Heading2"/>
      </w:pPr>
      <w:r>
        <w:t xml:space="preserve">8А.5. Связь с государственными реестрами</w:t>
      </w:r>
    </w:p>
    <w:p>
      <w:pPr>
        <w:spacing w:after="120" w:line="276"/>
      </w:pPr>
      <w:r>
        <w:t xml:space="preserve">Мастер-данные о гражданах и организациях являются собственностью государственных реестров и используются через Smart Bridge (принцип Once-Only). Платформа не дублирует первичные сведения реестров, а обращается к ним по мере необходимости и кэширует ответы в ограниченных пределах (раздел 13А). Это исключает рассинхронизацию между Платформой и источниками истины на уровне государства.</w:t>
      </w:r>
    </w:p>
    <w:p>
      <w:pPr>
        <w:pStyle w:val="Heading1"/>
      </w:pPr>
      <w:r>
        <w:t xml:space="preserve">9. Автоматизация процессов (BPM)</w:t>
      </w:r>
    </w:p>
    <w:p>
      <w:pPr>
        <w:spacing w:after="120" w:line="276"/>
      </w:pPr>
      <w:r>
        <w:t xml:space="preserve">Сценарии услуг автоматизируются с помощью BPM-движка (Camunda 7 / альтернативное open-source решение). Процесс каждой услуги описывается в нотации BPMN и исполняется движком напрямую.</w:t>
      </w:r>
    </w:p>
    <w:p>
      <w:pPr>
        <w:pStyle w:val="ListParagraph"/>
        <w:numPr>
          <w:ilvl w:val="0"/>
          <w:numId w:val="2"/>
        </w:numPr>
        <w:spacing w:after="80" w:line="264"/>
      </w:pPr>
      <w:r>
        <w:rPr>
          <w:b/>
          <w:bCs/>
        </w:rPr>
        <w:t xml:space="preserve">Процесс на BPMN. </w:t>
      </w:r>
      <w:r>
        <w:t xml:space="preserve">Каждая услуга — исполняемая модель BPMN; автоматические шаги реализуются вызовами сервисов и запросами через Smart Bridge.</w:t>
      </w:r>
    </w:p>
    <w:p>
      <w:pPr>
        <w:pStyle w:val="ListParagraph"/>
        <w:numPr>
          <w:ilvl w:val="0"/>
          <w:numId w:val="2"/>
        </w:numPr>
        <w:spacing w:after="80" w:line="264"/>
      </w:pPr>
      <w:r>
        <w:rPr>
          <w:b/>
          <w:bCs/>
        </w:rPr>
        <w:t xml:space="preserve">Надёжность критических операций. </w:t>
      </w:r>
      <w:r>
        <w:t xml:space="preserve">Шаблон Saga в сочетании с ACID-транзакциями PostgreSQL, уникальными ключами идемпотентности и outbox/inbox обеспечивает согласованность распределённых операций; Redis применяется только как вспомогательный кэш/lock.</w:t>
      </w:r>
    </w:p>
    <w:p>
      <w:pPr>
        <w:pStyle w:val="ListParagraph"/>
        <w:numPr>
          <w:ilvl w:val="0"/>
          <w:numId w:val="2"/>
        </w:numPr>
        <w:spacing w:after="80" w:line="264"/>
      </w:pPr>
      <w:r>
        <w:rPr>
          <w:b/>
          <w:bCs/>
        </w:rPr>
        <w:t xml:space="preserve">Контроль сроков. </w:t>
      </w:r>
      <w:r>
        <w:t xml:space="preserve">SLA-таймеры контролируют длительность шагов; при нарушении срока выполняется эскалация ответственному лицу.</w:t>
      </w:r>
    </w:p>
    <w:p>
      <w:pPr>
        <w:pStyle w:val="ListParagraph"/>
        <w:numPr>
          <w:ilvl w:val="0"/>
          <w:numId w:val="2"/>
        </w:numPr>
        <w:spacing w:after="80" w:line="264"/>
      </w:pPr>
      <w:r>
        <w:rPr>
          <w:b/>
          <w:bCs/>
        </w:rPr>
        <w:t xml:space="preserve">Проактивность. </w:t>
      </w:r>
      <w:r>
        <w:t xml:space="preserve">Процессы могут запускаться по событиям в государственных реестрах (см. сценарий UC-C).</w:t>
      </w:r>
    </w:p>
    <w:p>
      <w:pPr>
        <w:pStyle w:val="Heading1"/>
      </w:pPr>
      <w:r>
        <w:t xml:space="preserve">9А. Модель исполнения процессов</w:t>
      </w:r>
    </w:p>
    <w:p>
      <w:pPr>
        <w:spacing w:after="120" w:line="276"/>
      </w:pPr>
      <w:r>
        <w:t xml:space="preserve">Настоящий раздел детализирует исполнение процессов (разделы 9, 5А.2): модель воркеров сервисных задач, назначение пользовательских задач, обработку инцидентов процесса и масштабирование. Применяется BPM-движок (Camunda 7 / альтернативное open-source решение).</w:t>
      </w:r>
    </w:p>
    <w:p>
      <w:pPr>
        <w:pStyle w:val="Heading2"/>
      </w:pPr>
      <w:r>
        <w:t xml:space="preserve">9А.1. Воркеры сервисных задач</w:t>
      </w:r>
    </w:p>
    <w:p>
      <w:pPr>
        <w:spacing w:after="120" w:line="276"/>
      </w:pPr>
      <w:r>
        <w:t xml:space="preserve">Автоматические шаги процесса (service tasks) выполняются воркерами — компонентами доменных сервисов, которые подписываются на задачи определённого типа, забирают их, выполняют и возвращают результат движку. Воркеры реализуют бизнес-логику шага и взаимодействуют с другими сервисами и Smart Bridge. Модель обеспечивает слабую связанность: движок не знает деталей реализации шага, а сервис не зависит от внутреннего устройства движка.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Воркер сервисной задачи (тип "interop-request"):</w:t>
            </w:r>
          </w:p>
          <w:p>
            <w:pPr>
              <w:spacing w:after="0" w:line="240"/>
            </w:pPr>
            <w:r>
              <w:rPr>
                <w:rFonts w:ascii="Courier New" w:cs="Courier New" w:eastAsia="Courier New" w:hAnsi="Courier New"/>
                <w:color w:val="24292E"/>
                <w:sz w:val="17"/>
                <w:szCs w:val="17"/>
              </w:rPr>
              <w:t xml:space="preserve">  1. подписка на задачи типа "interop-request"</w:t>
            </w:r>
          </w:p>
          <w:p>
            <w:pPr>
              <w:spacing w:after="0" w:line="240"/>
            </w:pPr>
            <w:r>
              <w:rPr>
                <w:rFonts w:ascii="Courier New" w:cs="Courier New" w:eastAsia="Courier New" w:hAnsi="Courier New"/>
                <w:color w:val="24292E"/>
                <w:sz w:val="17"/>
                <w:szCs w:val="17"/>
              </w:rPr>
              <w:t xml:space="preserve">  2. получение задачи с переменными процесса (applicationId, dataType)</w:t>
            </w:r>
          </w:p>
          <w:p>
            <w:pPr>
              <w:spacing w:after="0" w:line="240"/>
            </w:pPr>
            <w:r>
              <w:rPr>
                <w:rFonts w:ascii="Courier New" w:cs="Courier New" w:eastAsia="Courier New" w:hAnsi="Courier New"/>
                <w:color w:val="24292E"/>
                <w:sz w:val="17"/>
                <w:szCs w:val="17"/>
              </w:rPr>
              <w:t xml:space="preserve">  3. выполнение: вызов interop-service → Smart Bridge</w:t>
            </w:r>
          </w:p>
          <w:p>
            <w:pPr>
              <w:spacing w:after="0" w:line="240"/>
            </w:pPr>
            <w:r>
              <w:rPr>
                <w:rFonts w:ascii="Courier New" w:cs="Courier New" w:eastAsia="Courier New" w:hAnsi="Courier New"/>
                <w:color w:val="24292E"/>
                <w:sz w:val="17"/>
                <w:szCs w:val="17"/>
              </w:rPr>
              <w:t xml:space="preserve">  4. при успехе: complete(task, { result }) → процесс продолжается</w:t>
            </w:r>
          </w:p>
          <w:p>
            <w:pPr>
              <w:spacing w:after="0" w:line="240"/>
            </w:pPr>
            <w:r>
              <w:rPr>
                <w:rFonts w:ascii="Courier New" w:cs="Courier New" w:eastAsia="Courier New" w:hAnsi="Courier New"/>
                <w:color w:val="24292E"/>
                <w:sz w:val="17"/>
                <w:szCs w:val="17"/>
              </w:rPr>
              <w:t xml:space="preserve">  5. при ошибке: fail(task, retries-1, errorMsg) → повтор/инцидент</w:t>
            </w:r>
          </w:p>
          <w:p>
            <w:pPr>
              <w:spacing w:after="0" w:line="240"/>
            </w:pPr>
            <w:r>
              <w:rPr>
                <w:rFonts w:ascii="Courier New" w:cs="Courier New" w:eastAsia="Courier New" w:hAnsi="Courier New"/>
                <w:color w:val="24292E"/>
                <w:sz w:val="17"/>
                <w:szCs w:val="17"/>
              </w:rPr>
              <w:t xml:space="preserve">  идемпотентность по ключу задачи; тайм-аут выполнения</w:t>
            </w:r>
          </w:p>
        </w:tc>
      </w:tr>
    </w:tbl>
    <w:p>
      <w:pPr>
        <w:spacing w:after="160" w:before="60" w:line="240"/>
      </w:pPr>
      <w:r>
        <w:rPr>
          <w:i/>
          <w:iCs/>
          <w:color w:val="5A6B7B"/>
          <w:sz w:val="18"/>
          <w:szCs w:val="18"/>
        </w:rPr>
        <w:t xml:space="preserve">Листинг 9А.1 — Модель воркера сервисной задачи.</w:t>
      </w:r>
    </w:p>
    <w:p>
      <w:pPr>
        <w:pStyle w:val="Heading2"/>
      </w:pPr>
      <w:r>
        <w:t xml:space="preserve">9А.2. Назначение пользовательских задач</w:t>
      </w:r>
    </w:p>
    <w:p>
      <w:pPr>
        <w:spacing w:after="120" w:line="276"/>
      </w:pPr>
      <w:r>
        <w:t xml:space="preserve">Пользовательские задачи (user tasks) назначаются исполнителям по роли и атрибутам (ведомство, подразделение, тип услуги). Задача попадает в очередь АРМ соответствующих специалистов (раздел 7Б). Применяются стратегии назначения: на группу (любой свободный специалист берёт задачу) или на конкретного исполнителя. Незавершённые в срок задачи эскалируются (SLA-таймеры).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Стратегия назначения</w:t>
            </w:r>
          </w:p>
        </w:tc>
        <w:tc>
          <w:tcPr>
            <w:tcW w:type="dxa" w:w="35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w:t>
            </w:r>
          </w:p>
        </w:tc>
        <w:tc>
          <w:tcPr>
            <w:tcW w:type="dxa" w:w="30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Применение</w:t>
            </w:r>
          </w:p>
        </w:tc>
      </w:tr>
      <w:tr>
        <w:tc>
          <w:tcPr>
            <w:tcW w:type="dxa" w:w="2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 группу (claim)</w:t>
            </w:r>
          </w:p>
        </w:tc>
        <w:tc>
          <w:tcPr>
            <w:tcW w:type="dxa" w:w="3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Задача доступна группе, берётся в работу</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Типовые услуги, балансировка</w:t>
            </w:r>
          </w:p>
        </w:tc>
      </w:tr>
      <w:tr>
        <w:tc>
          <w:tcPr>
            <w:tcW w:type="dxa" w:w="2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 исполнителя</w:t>
            </w:r>
          </w:p>
        </w:tc>
        <w:tc>
          <w:tcPr>
            <w:tcW w:type="dxa" w:w="3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Задача назначена конкретному лицу</w:t>
            </w:r>
          </w:p>
        </w:tc>
        <w:tc>
          <w:tcPr>
            <w:tcW w:type="dxa" w:w="3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Специализированные решения</w:t>
            </w:r>
          </w:p>
        </w:tc>
      </w:tr>
      <w:tr>
        <w:tc>
          <w:tcPr>
            <w:tcW w:type="dxa" w:w="2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Автоматическая</w:t>
            </w:r>
          </w:p>
        </w:tc>
        <w:tc>
          <w:tcPr>
            <w:tcW w:type="dxa" w:w="3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Решение правилом DMN без человека</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Полностью автоматические услуги</w:t>
            </w:r>
          </w:p>
        </w:tc>
      </w:tr>
    </w:tbl>
    <w:p>
      <w:pPr>
        <w:spacing w:after="160" w:before="60" w:line="240"/>
      </w:pPr>
      <w:r>
        <w:rPr>
          <w:i/>
          <w:iCs/>
          <w:color w:val="5A6B7B"/>
          <w:sz w:val="18"/>
          <w:szCs w:val="18"/>
        </w:rPr>
        <w:t xml:space="preserve">Таблица 9А.1 — Стратегии назначения пользовательских задач.</w:t>
      </w:r>
    </w:p>
    <w:p>
      <w:pPr>
        <w:pStyle w:val="Heading2"/>
      </w:pPr>
      <w:r>
        <w:t xml:space="preserve">9А.3. Обработка инцидентов процесса</w:t>
      </w:r>
    </w:p>
    <w:p>
      <w:pPr>
        <w:spacing w:after="120" w:line="276"/>
      </w:pPr>
      <w:r>
        <w:t xml:space="preserve">При неустранимой ошибке шага (исчерпаны повторы) в движке формируется инцидент процесса: экземпляр приостанавливается на проблемном шаге, фиксируется причина, формируется алерт. Оператор анализирует инцидент через панель управления процессами и после устранения причины возобновляет выполнение. Инциденты процессов отслеживаются метриками и не приводят к потере состояния заявления.</w:t>
      </w:r>
    </w:p>
    <w:p>
      <w:pPr>
        <w:pStyle w:val="Heading2"/>
      </w:pPr>
      <w:r>
        <w:t xml:space="preserve">9А.4. Масштабирование и надёжность движка</w:t>
      </w:r>
    </w:p>
    <w:p>
      <w:pPr>
        <w:spacing w:after="120" w:line="276"/>
      </w:pPr>
      <w:r>
        <w:t xml:space="preserve">Движок (Zeebe) масштабируется горизонтально и реплицирует состояние процессов (Raft) для отказоустойчивости. Воркеры масштабируются независимо от движка по нагрузке (HPA). Состояние процессов сохраняется и переживает перезапуск компонентов; репликация между ЦОД обеспечивает непрерывность при отказе ЦОД (раздел 12.4).</w:t>
      </w:r>
    </w:p>
    <w:p>
      <w:pPr>
        <w:pStyle w:val="Heading1"/>
      </w:pPr>
      <w:r>
        <w:t xml:space="preserve">10. Предотвращение ошибок</w:t>
      </w:r>
    </w:p>
    <w:p>
      <w:pPr>
        <w:spacing w:after="120" w:line="276"/>
      </w:pPr>
      <w:r>
        <w:t xml:space="preserve">Качество данных и решений обеспечивается многоуровневой системой проверок: ошибка, не отловленная на одном уровне, перехватывается на следующем. Это поддерживает целевой показатель «доля отклонений из-за ошибок ≤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Уровень проверки</w:t>
            </w:r>
          </w:p>
        </w:tc>
        <w:tc>
          <w:tcPr>
            <w:tcW w:type="dxa" w:w="64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Что проверяется</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Форма (Form.io)</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Маски ввода, обязательность полей, подсказки, форматы — на стороне заявителя.</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Доменный сервис</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Бизнес-правила предметной области перед изменением состояния.</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Smart Bridge</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Сверка введённых данных со сведениями государственных реестров.</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СУБД (PostgreSQL)</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Ограничения целостности (ключи, уникальность, проверки) на уровне хранения.</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Интеграция</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Соответствие сообщений зарегистрированной схеме (Apicurio).</w:t>
            </w:r>
          </w:p>
        </w:tc>
      </w:tr>
    </w:tbl>
    <w:p>
      <w:pPr>
        <w:spacing w:after="120" w:line="276"/>
      </w:pPr>
      <w:r>
        <w:t xml:space="preserve">Дополнительные меры снижения ошибок:</w:t>
      </w:r>
    </w:p>
    <w:p>
      <w:pPr>
        <w:pStyle w:val="ListParagraph"/>
        <w:numPr>
          <w:ilvl w:val="0"/>
          <w:numId w:val="2"/>
        </w:numPr>
        <w:spacing w:after="80" w:line="264"/>
      </w:pPr>
      <w:r>
        <w:rPr>
          <w:b/>
          <w:bCs/>
        </w:rPr>
        <w:t xml:space="preserve">Once-Only </w:t>
      </w:r>
      <w:r>
        <w:t xml:space="preserve">— исключение ручного повторного ввода уже известных данных.</w:t>
      </w:r>
    </w:p>
    <w:p>
      <w:pPr>
        <w:pStyle w:val="ListParagraph"/>
        <w:numPr>
          <w:ilvl w:val="0"/>
          <w:numId w:val="2"/>
        </w:numPr>
        <w:spacing w:after="80" w:line="264"/>
      </w:pPr>
      <w:r>
        <w:rPr>
          <w:b/>
          <w:bCs/>
        </w:rPr>
        <w:t xml:space="preserve">DMN </w:t>
      </w:r>
      <w:r>
        <w:t xml:space="preserve">— формализация правил и расчётов вместо разрозненной логики в коде.</w:t>
      </w:r>
    </w:p>
    <w:p>
      <w:pPr>
        <w:pStyle w:val="ListParagraph"/>
        <w:numPr>
          <w:ilvl w:val="0"/>
          <w:numId w:val="2"/>
        </w:numPr>
        <w:spacing w:after="80" w:line="264"/>
      </w:pPr>
      <w:r>
        <w:rPr>
          <w:b/>
          <w:bCs/>
        </w:rPr>
        <w:t xml:space="preserve">Идемпотентность на уровне PostgreSQL </w:t>
      </w:r>
      <w:r>
        <w:t xml:space="preserve">(unique constraint по idempotency_key/external_payment_id, статусная модель, outbox) — предотвращение двойного исполнения критических операций, например двойного списания. Redis — только вспомогательный кэш/lock.</w:t>
      </w:r>
    </w:p>
    <w:p>
      <w:pPr>
        <w:pStyle w:val="ListParagraph"/>
        <w:numPr>
          <w:ilvl w:val="0"/>
          <w:numId w:val="2"/>
        </w:numPr>
        <w:spacing w:after="80" w:line="264"/>
      </w:pPr>
      <w:r>
        <w:rPr>
          <w:b/>
          <w:bCs/>
        </w:rPr>
        <w:t xml:space="preserve">«Четыре глаза» </w:t>
      </w:r>
      <w:r>
        <w:t xml:space="preserve">— обязательное второе подтверждение для критичных решений.</w:t>
      </w:r>
    </w:p>
    <w:p>
      <w:pPr>
        <w:pStyle w:val="ListParagraph"/>
        <w:numPr>
          <w:ilvl w:val="0"/>
          <w:numId w:val="2"/>
        </w:numPr>
        <w:spacing w:after="80" w:line="264"/>
      </w:pPr>
      <w:r>
        <w:rPr>
          <w:b/>
          <w:bCs/>
        </w:rPr>
        <w:t xml:space="preserve">WORM-аудит </w:t>
      </w:r>
      <w:r>
        <w:t xml:space="preserve">— неизменяемая фиксация действий для расследования инцидентов.</w:t>
      </w:r>
    </w:p>
    <w:p>
      <w:pPr>
        <w:pStyle w:val="ListParagraph"/>
        <w:numPr>
          <w:ilvl w:val="0"/>
          <w:numId w:val="2"/>
        </w:numPr>
        <w:spacing w:after="80" w:line="264"/>
      </w:pPr>
      <w:r>
        <w:rPr>
          <w:b/>
          <w:bCs/>
        </w:rPr>
        <w:t xml:space="preserve">ArgoCD + Unleash </w:t>
      </w:r>
      <w:r>
        <w:t xml:space="preserve">— контролируемая выкатка изменений с возможностью быстрого отката.</w:t>
      </w:r>
    </w:p>
    <w:p>
      <w:pPr>
        <w:pStyle w:val="Heading1"/>
      </w:pPr>
      <w:r>
        <w:t xml:space="preserve">11. Информационная безопасность</w:t>
      </w:r>
    </w:p>
    <w:p>
      <w:pPr>
        <w:spacing w:after="120" w:line="276"/>
      </w:pPr>
      <w:r>
        <w:t xml:space="preserve">Информационная безопасность является сквозным требованием и закладывается на этапе проектирования (Secure by Design). Защита строится на принципах нулевого доверия (Zero Trust), эшелонированной обороны (Defense in Depth) и минимальных привилегий.</w:t>
      </w:r>
    </w:p>
    <w:p>
      <w:pPr>
        <w:pStyle w:val="Heading2"/>
      </w:pPr>
      <w:r>
        <w:t xml:space="preserve">11.1. Идентификация, аутентификация, авторизация</w:t>
      </w:r>
    </w:p>
    <w:p>
      <w:pPr>
        <w:pStyle w:val="ListParagraph"/>
        <w:numPr>
          <w:ilvl w:val="0"/>
          <w:numId w:val="2"/>
        </w:numPr>
        <w:spacing w:after="80" w:line="264"/>
      </w:pPr>
      <w:r>
        <w:rPr>
          <w:b/>
          <w:bCs/>
        </w:rPr>
        <w:t xml:space="preserve">Идентификация через eID </w:t>
      </w:r>
      <w:r>
        <w:t xml:space="preserve">и единый вход (SSO) на базе Keycloak.</w:t>
      </w:r>
    </w:p>
    <w:p>
      <w:pPr>
        <w:pStyle w:val="ListParagraph"/>
        <w:numPr>
          <w:ilvl w:val="0"/>
          <w:numId w:val="2"/>
        </w:numPr>
        <w:spacing w:after="80" w:line="264"/>
      </w:pPr>
      <w:r>
        <w:rPr>
          <w:b/>
          <w:bCs/>
        </w:rPr>
        <w:t xml:space="preserve">Многофакторная аутентификация (МФА) </w:t>
      </w:r>
      <w:r>
        <w:t xml:space="preserve">для доступа к чувствительным операциям и АРМ специалистов.</w:t>
      </w:r>
    </w:p>
    <w:p>
      <w:pPr>
        <w:pStyle w:val="ListParagraph"/>
        <w:numPr>
          <w:ilvl w:val="0"/>
          <w:numId w:val="2"/>
        </w:numPr>
        <w:spacing w:after="80" w:line="264"/>
      </w:pPr>
      <w:r>
        <w:rPr>
          <w:b/>
          <w:bCs/>
        </w:rPr>
        <w:t xml:space="preserve">Управление доступом </w:t>
      </w:r>
      <w:r>
        <w:t xml:space="preserve">по ролям (RBAC) и атрибутам (ABAC); привилегированный доступ контролируется средствами PAM.</w:t>
      </w:r>
    </w:p>
    <w:p>
      <w:pPr>
        <w:pStyle w:val="Heading2"/>
      </w:pPr>
      <w:r>
        <w:t xml:space="preserve">11.2. Защита данных и каналов</w:t>
      </w:r>
    </w:p>
    <w:p>
      <w:pPr>
        <w:pStyle w:val="ListParagraph"/>
        <w:numPr>
          <w:ilvl w:val="0"/>
          <w:numId w:val="2"/>
        </w:numPr>
        <w:spacing w:after="80" w:line="264"/>
      </w:pPr>
      <w:r>
        <w:rPr>
          <w:b/>
          <w:bCs/>
        </w:rPr>
        <w:t xml:space="preserve">Шифрование в передаче. </w:t>
      </w:r>
      <w:r>
        <w:t xml:space="preserve">TLS на внешнем периметре (Kong Ingress) и взаимный mTLS внутри service mesh.</w:t>
      </w:r>
    </w:p>
    <w:p>
      <w:pPr>
        <w:pStyle w:val="ListParagraph"/>
        <w:numPr>
          <w:ilvl w:val="0"/>
          <w:numId w:val="2"/>
        </w:numPr>
        <w:spacing w:after="80" w:line="264"/>
      </w:pPr>
      <w:r>
        <w:rPr>
          <w:b/>
          <w:bCs/>
        </w:rPr>
        <w:t xml:space="preserve">Шифрование при хранении. </w:t>
      </w:r>
      <w:r>
        <w:t xml:space="preserve">Шифрование данных в БД и объектном хранилище; ключи хранятся в аппаратном модуле (HSM).</w:t>
      </w:r>
    </w:p>
    <w:p>
      <w:pPr>
        <w:pStyle w:val="ListParagraph"/>
        <w:numPr>
          <w:ilvl w:val="0"/>
          <w:numId w:val="2"/>
        </w:numPr>
        <w:spacing w:after="80" w:line="264"/>
      </w:pPr>
      <w:r>
        <w:rPr>
          <w:b/>
          <w:bCs/>
        </w:rPr>
        <w:t xml:space="preserve">Защита персональных данных </w:t>
      </w:r>
      <w:r>
        <w:t xml:space="preserve">и суверенитет данных: хранение и обработка ПДн только на территории РТ.</w:t>
      </w:r>
    </w:p>
    <w:p>
      <w:pPr>
        <w:pStyle w:val="ListParagraph"/>
        <w:numPr>
          <w:ilvl w:val="0"/>
          <w:numId w:val="2"/>
        </w:numPr>
        <w:spacing w:after="80" w:line="264"/>
      </w:pPr>
      <w:r>
        <w:rPr>
          <w:b/>
          <w:bCs/>
        </w:rPr>
        <w:t xml:space="preserve">Шифрованные резервные копии </w:t>
      </w:r>
      <w:r>
        <w:t xml:space="preserve">(pgBackRest) с контролем доступа к ним.</w:t>
      </w:r>
    </w:p>
    <w:p>
      <w:pPr>
        <w:pStyle w:val="Heading2"/>
      </w:pPr>
      <w:r>
        <w:t xml:space="preserve">11.3. Защита периметра и приложений</w:t>
      </w:r>
    </w:p>
    <w:p>
      <w:pPr>
        <w:pStyle w:val="ListParagraph"/>
        <w:numPr>
          <w:ilvl w:val="0"/>
          <w:numId w:val="2"/>
        </w:numPr>
        <w:spacing w:after="80" w:line="264"/>
      </w:pPr>
      <w:r>
        <w:rPr>
          <w:b/>
          <w:bCs/>
        </w:rPr>
        <w:t xml:space="preserve">WAF и защита от DDoS </w:t>
      </w:r>
      <w:r>
        <w:t xml:space="preserve">на уровне инфраструктуры ЦОД.</w:t>
      </w:r>
    </w:p>
    <w:p>
      <w:pPr>
        <w:pStyle w:val="ListParagraph"/>
        <w:numPr>
          <w:ilvl w:val="0"/>
          <w:numId w:val="2"/>
        </w:numPr>
        <w:spacing w:after="80" w:line="264"/>
      </w:pPr>
      <w:r>
        <w:rPr>
          <w:b/>
          <w:bCs/>
        </w:rPr>
        <w:t xml:space="preserve">Соответствие OWASP API Security Top 10 </w:t>
      </w:r>
      <w:r>
        <w:t xml:space="preserve">для всех публикуемых интерфейсов.</w:t>
      </w:r>
    </w:p>
    <w:p>
      <w:pPr>
        <w:pStyle w:val="ListParagraph"/>
        <w:numPr>
          <w:ilvl w:val="0"/>
          <w:numId w:val="2"/>
        </w:numPr>
        <w:spacing w:after="80" w:line="264"/>
      </w:pPr>
      <w:r>
        <w:rPr>
          <w:b/>
          <w:bCs/>
        </w:rPr>
        <w:t xml:space="preserve">Безопасный жизненный цикл разработки (Secure SDLC): </w:t>
      </w:r>
      <w:r>
        <w:t xml:space="preserve">статический (SAST) и динамический (DAST) анализ, анализ состава ПО (SCA), формирование SBOM.</w:t>
      </w:r>
    </w:p>
    <w:p>
      <w:pPr>
        <w:pStyle w:val="ListParagraph"/>
        <w:numPr>
          <w:ilvl w:val="0"/>
          <w:numId w:val="2"/>
        </w:numPr>
        <w:spacing w:after="80" w:line="264"/>
      </w:pPr>
      <w:r>
        <w:rPr>
          <w:b/>
          <w:bCs/>
        </w:rPr>
        <w:t xml:space="preserve">Сканирование образов </w:t>
      </w:r>
      <w:r>
        <w:t xml:space="preserve">на уязвимости в реестре Harbor перед развёртыванием.</w:t>
      </w:r>
    </w:p>
    <w:p>
      <w:pPr>
        <w:pStyle w:val="Heading2"/>
      </w:pPr>
      <w:r>
        <w:t xml:space="preserve">11.4. Мониторинг безопасности и реагирование</w:t>
      </w:r>
    </w:p>
    <w:p>
      <w:pPr>
        <w:pStyle w:val="ListParagraph"/>
        <w:numPr>
          <w:ilvl w:val="0"/>
          <w:numId w:val="2"/>
        </w:numPr>
        <w:spacing w:after="80" w:line="264"/>
      </w:pPr>
      <w:r>
        <w:rPr>
          <w:b/>
          <w:bCs/>
        </w:rPr>
        <w:t xml:space="preserve">SIEM/SOC </w:t>
      </w:r>
      <w:r>
        <w:t xml:space="preserve">— централизованный сбор и корреляция событий безопасности, круглосуточный мониторинг.</w:t>
      </w:r>
    </w:p>
    <w:p>
      <w:pPr>
        <w:pStyle w:val="ListParagraph"/>
        <w:numPr>
          <w:ilvl w:val="0"/>
          <w:numId w:val="2"/>
        </w:numPr>
        <w:spacing w:after="80" w:line="264"/>
      </w:pPr>
      <w:r>
        <w:rPr>
          <w:b/>
          <w:bCs/>
        </w:rPr>
        <w:t xml:space="preserve">Регулярные пентесты </w:t>
      </w:r>
      <w:r>
        <w:t xml:space="preserve">и программа ответственного раскрытия уязвимостей (responsible disclosure).</w:t>
      </w:r>
    </w:p>
    <w:p>
      <w:pPr>
        <w:pStyle w:val="ListParagraph"/>
        <w:numPr>
          <w:ilvl w:val="0"/>
          <w:numId w:val="2"/>
        </w:numPr>
        <w:spacing w:after="80" w:line="264"/>
      </w:pPr>
      <w:r>
        <w:rPr>
          <w:b/>
          <w:bCs/>
        </w:rPr>
        <w:t xml:space="preserve">WORM-аудит </w:t>
      </w:r>
      <w:r>
        <w:t xml:space="preserve">— неизменяемый журнал значимых действий для расследований.</w:t>
      </w:r>
    </w:p>
    <w:p>
      <w:pPr>
        <w:pStyle w:val="ListParagraph"/>
        <w:numPr>
          <w:ilvl w:val="0"/>
          <w:numId w:val="2"/>
        </w:numPr>
        <w:spacing w:after="80" w:line="264"/>
      </w:pPr>
      <w:r>
        <w:rPr>
          <w:b/>
          <w:bCs/>
        </w:rPr>
        <w:t xml:space="preserve">Планы непрерывности и восстановления </w:t>
      </w:r>
      <w:r>
        <w:t xml:space="preserve">(BCP/DRP), регулярные DR-учения (раздел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Принцип Zero Trust. </w:t>
            </w:r>
            <w:r>
              <w:rPr>
                <w:sz w:val="21"/>
                <w:szCs w:val="21"/>
              </w:rPr>
              <w:t xml:space="preserve">Ни один запрос не считается доверенным по умолчанию — даже внутри периметра. Каждый вызов аутентифицируется и авторизуется, внутренний трафик защищён mTLS.</w:t>
            </w:r>
          </w:p>
        </w:tc>
      </w:tr>
    </w:tbl>
    <w:p>
      <w:pPr>
        <w:pStyle w:val="Heading1"/>
      </w:pPr>
      <w:r>
        <w:t xml:space="preserve">11А. Информационная безопасность: детальная проработка</w:t>
      </w:r>
    </w:p>
    <w:p>
      <w:pPr>
        <w:spacing w:after="120" w:line="276"/>
      </w:pPr>
      <w:r>
        <w:t xml:space="preserve">Настоящий раздел детализирует требования раздела 11: модель угроз, каталог защитных мер по доменам, криптографические требования, классификацию данных, защиту персональных данных, безопасную разработку и реагирование на инциденты. Раздел является основанием для разработки модели угроз и частной политики безопасности на этапе проектирования.</w:t>
      </w:r>
    </w:p>
    <w:p>
      <w:pPr>
        <w:pStyle w:val="Heading2"/>
      </w:pPr>
      <w:r>
        <w:t xml:space="preserve">11А.1. Принципы и модель «нулевого доверия»</w:t>
      </w:r>
    </w:p>
    <w:p>
      <w:pPr>
        <w:spacing w:after="120" w:line="276"/>
      </w:pPr>
      <w:r>
        <w:t xml:space="preserve">Безопасность строится на принципах: минимальные привилегии (доступ только к необходимому), эшелонированная оборона (несколько независимых рубежей), нулевое доверие (ни один запрос не доверенный по умолчанию), безопасность по умолчанию и по проекту, разделение обязанностей. В модели нулевого доверия каждый запрос аутентифицируется и авторизуется независимо от источника; внутренний трафик защищён взаимным mTLS; сегментация сети ограничивает горизонтальное распространение.</w:t>
      </w:r>
    </w:p>
    <w:p>
      <w:pPr>
        <w:pStyle w:val="Heading2"/>
      </w:pPr>
      <w:r>
        <w:t xml:space="preserve">11А.2. Модель угроз (STRIDE)</w:t>
      </w:r>
    </w:p>
    <w:p>
      <w:pPr>
        <w:spacing w:after="120" w:line="276"/>
      </w:pPr>
      <w:r>
        <w:t xml:space="preserve">Угрозы классифицируются по методологии STRIDE. Для каждой категории определены типовые угрозы и меры противодействия; детальная модель угроз разрабатывается по каждому сервису на этапе проектирования.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Категория (STRIDE)</w:t>
            </w:r>
          </w:p>
        </w:tc>
        <w:tc>
          <w:tcPr>
            <w:tcW w:type="dxa" w:w="3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Пример угрозы</w:t>
            </w:r>
          </w:p>
        </w:tc>
        <w:tc>
          <w:tcPr>
            <w:tcW w:type="dxa" w:w="3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Меры противодействия</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Spoofing (подмена)</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Выдача себя за другого пользователя</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eID, МФА, проверка JWT, mTLS</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Tampering (искажение)</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Изменение данных в передаче/хранении</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TLS/mTLS, шифрование, контрольные суммы</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Repudiation (отрицание)</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Отрицание совершённого действия</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WORM-аудит, ЭЦП, штампы времени</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Information Disclosure</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Утечка персональных данных</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Шифрование, RLS, минимизация, маскирование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Denial of Service</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 в обслуживании (DDoS)</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WAF, anti-DDoS, rate limiting, автоскейл</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Elevation of Privilege</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Повышение привилегий</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RBAC/ABAC, минимальные права, PAM</w:t>
            </w:r>
          </w:p>
        </w:tc>
      </w:tr>
    </w:tbl>
    <w:p>
      <w:pPr>
        <w:spacing w:after="160" w:before="60" w:line="240"/>
      </w:pPr>
      <w:r>
        <w:rPr>
          <w:i/>
          <w:iCs/>
          <w:color w:val="5A6B7B"/>
          <w:sz w:val="18"/>
          <w:szCs w:val="18"/>
        </w:rPr>
        <w:t xml:space="preserve">Таблица 11А.1 — Угрозы по STRIDE и меры противодействия.</w:t>
      </w:r>
    </w:p>
    <w:p>
      <w:pPr>
        <w:pStyle w:val="Heading2"/>
      </w:pPr>
      <w:r>
        <w:t xml:space="preserve">11А.3. Каталог защитных мер по доменам</w:t>
      </w:r>
    </w:p>
    <w:p>
      <w:pPr>
        <w:spacing w:after="120" w:line="276"/>
      </w:pPr>
      <w:r>
        <w:t xml:space="preserve">Защитные меры структурированы по доменам безопасности. Перечень является обязательным минимумом; конкретная реализация уточняется в политике безопасности.</w:t>
      </w:r>
    </w:p>
    <w:p>
      <w:pPr>
        <w:pStyle w:val="Heading4"/>
      </w:pPr>
      <w:r>
        <w:t xml:space="preserve">11А.3.1. Управление доступом</w:t>
      </w:r>
    </w:p>
    <w:p>
      <w:pPr>
        <w:pStyle w:val="ListParagraph"/>
        <w:numPr>
          <w:ilvl w:val="0"/>
          <w:numId w:val="2"/>
        </w:numPr>
        <w:spacing w:after="80" w:line="264"/>
      </w:pPr>
      <w:r>
        <w:t xml:space="preserve">идентификация через eID; единый вход (SSO) на Keycloak;</w:t>
      </w:r>
    </w:p>
    <w:p>
      <w:pPr>
        <w:pStyle w:val="ListParagraph"/>
        <w:numPr>
          <w:ilvl w:val="0"/>
          <w:numId w:val="2"/>
        </w:numPr>
        <w:spacing w:after="80" w:line="264"/>
      </w:pPr>
      <w:r>
        <w:t xml:space="preserve">многофакторная аутентификация для чувствительных операций и АРМ специалистов;</w:t>
      </w:r>
    </w:p>
    <w:p>
      <w:pPr>
        <w:pStyle w:val="ListParagraph"/>
        <w:numPr>
          <w:ilvl w:val="0"/>
          <w:numId w:val="2"/>
        </w:numPr>
        <w:spacing w:after="80" w:line="264"/>
      </w:pPr>
      <w:r>
        <w:t xml:space="preserve">RBAC + ABAC; централизованные версионируемые правила доступа;</w:t>
      </w:r>
    </w:p>
    <w:p>
      <w:pPr>
        <w:pStyle w:val="ListParagraph"/>
        <w:numPr>
          <w:ilvl w:val="0"/>
          <w:numId w:val="2"/>
        </w:numPr>
        <w:spacing w:after="80" w:line="264"/>
      </w:pPr>
      <w:r>
        <w:t xml:space="preserve">управление привилегированным доступом (PAM): сессии под запись, доступ по запросу, ограниченный по времени;</w:t>
      </w:r>
    </w:p>
    <w:p>
      <w:pPr>
        <w:pStyle w:val="ListParagraph"/>
        <w:numPr>
          <w:ilvl w:val="0"/>
          <w:numId w:val="2"/>
        </w:numPr>
        <w:spacing w:after="80" w:line="264"/>
      </w:pPr>
      <w:r>
        <w:t xml:space="preserve">регулярный пересмотр прав (recertification) и автоматическое отзыв при изменении роли.</w:t>
      </w:r>
    </w:p>
    <w:p>
      <w:pPr>
        <w:pStyle w:val="Heading4"/>
      </w:pPr>
      <w:r>
        <w:t xml:space="preserve">11А.3.2. Защита сети и периметра</w:t>
      </w:r>
    </w:p>
    <w:p>
      <w:pPr>
        <w:pStyle w:val="ListParagraph"/>
        <w:numPr>
          <w:ilvl w:val="0"/>
          <w:numId w:val="2"/>
        </w:numPr>
        <w:spacing w:after="80" w:line="264"/>
      </w:pPr>
      <w:r>
        <w:t xml:space="preserve">сегментация сети; сетевые политики Kubernetes (по умолчанию запрет);</w:t>
      </w:r>
    </w:p>
    <w:p>
      <w:pPr>
        <w:pStyle w:val="ListParagraph"/>
        <w:numPr>
          <w:ilvl w:val="0"/>
          <w:numId w:val="2"/>
        </w:numPr>
        <w:spacing w:after="80" w:line="264"/>
      </w:pPr>
      <w:r>
        <w:t xml:space="preserve">WAF и защита от DDoS на периметре ЦОД;</w:t>
      </w:r>
    </w:p>
    <w:p>
      <w:pPr>
        <w:pStyle w:val="ListParagraph"/>
        <w:numPr>
          <w:ilvl w:val="0"/>
          <w:numId w:val="2"/>
        </w:numPr>
        <w:spacing w:after="80" w:line="264"/>
      </w:pPr>
      <w:r>
        <w:t xml:space="preserve">взаимный mTLS внутри service mesh; терминация TLS на периметре;</w:t>
      </w:r>
    </w:p>
    <w:p>
      <w:pPr>
        <w:pStyle w:val="ListParagraph"/>
        <w:numPr>
          <w:ilvl w:val="0"/>
          <w:numId w:val="2"/>
        </w:numPr>
        <w:spacing w:after="80" w:line="264"/>
      </w:pPr>
      <w:r>
        <w:t xml:space="preserve">ограничение исходящих соединений сервисов (egress) белым списком.</w:t>
      </w:r>
    </w:p>
    <w:p>
      <w:pPr>
        <w:pStyle w:val="Heading4"/>
      </w:pPr>
      <w:r>
        <w:t xml:space="preserve">11А.3.3. Защита приложений</w:t>
      </w:r>
    </w:p>
    <w:p>
      <w:pPr>
        <w:pStyle w:val="ListParagraph"/>
        <w:numPr>
          <w:ilvl w:val="0"/>
          <w:numId w:val="2"/>
        </w:numPr>
        <w:spacing w:after="80" w:line="264"/>
      </w:pPr>
      <w:r>
        <w:t xml:space="preserve">соответствие OWASP ASVS и OWASP API Security Top 10;</w:t>
      </w:r>
    </w:p>
    <w:p>
      <w:pPr>
        <w:pStyle w:val="ListParagraph"/>
        <w:numPr>
          <w:ilvl w:val="0"/>
          <w:numId w:val="2"/>
        </w:numPr>
        <w:spacing w:after="80" w:line="264"/>
      </w:pPr>
      <w:r>
        <w:t xml:space="preserve">валидация и санитизация входных данных на сервере;</w:t>
      </w:r>
    </w:p>
    <w:p>
      <w:pPr>
        <w:pStyle w:val="ListParagraph"/>
        <w:numPr>
          <w:ilvl w:val="0"/>
          <w:numId w:val="2"/>
        </w:numPr>
        <w:spacing w:after="80" w:line="264"/>
      </w:pPr>
      <w:r>
        <w:t xml:space="preserve">защита от инъекций (параметризованные запросы), XSS (экранирование), CSRF (токены/SameSite);</w:t>
      </w:r>
    </w:p>
    <w:p>
      <w:pPr>
        <w:pStyle w:val="ListParagraph"/>
        <w:numPr>
          <w:ilvl w:val="0"/>
          <w:numId w:val="2"/>
        </w:numPr>
        <w:spacing w:after="80" w:line="264"/>
      </w:pPr>
      <w:r>
        <w:t xml:space="preserve">безопасное управление секретами (OpenBao); запрет секретов в коде и образах.</w:t>
      </w:r>
    </w:p>
    <w:p>
      <w:pPr>
        <w:pStyle w:val="Heading4"/>
      </w:pPr>
      <w:r>
        <w:t xml:space="preserve">11А.3.4. Защита данных</w:t>
      </w:r>
    </w:p>
    <w:p>
      <w:pPr>
        <w:pStyle w:val="ListParagraph"/>
        <w:numPr>
          <w:ilvl w:val="0"/>
          <w:numId w:val="2"/>
        </w:numPr>
        <w:spacing w:after="80" w:line="264"/>
      </w:pPr>
      <w:r>
        <w:t xml:space="preserve">шифрование при передаче и хранении; ключи в HSM;</w:t>
      </w:r>
    </w:p>
    <w:p>
      <w:pPr>
        <w:pStyle w:val="ListParagraph"/>
        <w:numPr>
          <w:ilvl w:val="0"/>
          <w:numId w:val="2"/>
        </w:numPr>
        <w:spacing w:after="80" w:line="264"/>
      </w:pPr>
      <w:r>
        <w:t xml:space="preserve">классификация данных и применение мер по классу (п. 11А.5);</w:t>
      </w:r>
    </w:p>
    <w:p>
      <w:pPr>
        <w:pStyle w:val="ListParagraph"/>
        <w:numPr>
          <w:ilvl w:val="0"/>
          <w:numId w:val="2"/>
        </w:numPr>
        <w:spacing w:after="80" w:line="264"/>
      </w:pPr>
      <w:r>
        <w:t xml:space="preserve">минимизация и обезличивание; маскирование в нерабочих средах;</w:t>
      </w:r>
    </w:p>
    <w:p>
      <w:pPr>
        <w:pStyle w:val="ListParagraph"/>
        <w:numPr>
          <w:ilvl w:val="0"/>
          <w:numId w:val="2"/>
        </w:numPr>
        <w:spacing w:after="80" w:line="264"/>
      </w:pPr>
      <w:r>
        <w:t xml:space="preserve">контроль и журналирование доступа к ПДн.</w:t>
      </w:r>
    </w:p>
    <w:p>
      <w:pPr>
        <w:pStyle w:val="Heading2"/>
      </w:pPr>
      <w:r>
        <w:t xml:space="preserve">11А.4. Криптографические требования</w:t>
      </w:r>
    </w:p>
    <w:p>
      <w:pPr>
        <w:spacing w:after="120" w:line="276"/>
      </w:pPr>
      <w:r>
        <w:t xml:space="preserve">Применяются современные криптографические алгоритмы и протоколы; использование устаревших и скомпрометированных алгоритмов запрещено. Конкретный перечень алгоритмов согласуется с требованиями регуляторов РТ. Управление ключами централизовано; закрытые ключи ЭЦП хранятся в HSM и неэкспортируемы. Предусмотрена ротация ключей и процедуры их компрометации.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c>
          <w:tcPr>
            <w:tcW w:type="dxa" w:w="64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Транспорт</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TLS не ниже 1.2 (предпочт. 1.3); mTLS внутри mesh</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Хранение</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Шифрование БД и объектного хранилища; ключи в HSM</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Чувствительные поля</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Дополнительное шифрование на уровне приложения</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Подпись документов</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ЭЦП по законодательству РТ; ключи в HSM</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Управление ключами</w:t>
            </w:r>
          </w:p>
        </w:tc>
        <w:tc>
          <w:tcPr>
            <w:tcW w:type="dxa" w:w="6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Централизованное; ротация; реакция на компрометацию</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Хеширование паролей/секретов</w:t>
            </w:r>
          </w:p>
        </w:tc>
        <w:tc>
          <w:tcPr>
            <w:tcW w:type="dxa" w:w="6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Стойкие алгоритмы с солью (через IAM)</w:t>
            </w:r>
          </w:p>
        </w:tc>
      </w:tr>
    </w:tbl>
    <w:p>
      <w:pPr>
        <w:spacing w:after="160" w:before="60" w:line="240"/>
      </w:pPr>
      <w:r>
        <w:rPr>
          <w:i/>
          <w:iCs/>
          <w:color w:val="5A6B7B"/>
          <w:sz w:val="18"/>
          <w:szCs w:val="18"/>
        </w:rPr>
        <w:t xml:space="preserve">Таблица 11А.2 — Криптографические требования.</w:t>
      </w:r>
    </w:p>
    <w:p>
      <w:pPr>
        <w:pStyle w:val="Heading2"/>
      </w:pPr>
      <w:r>
        <w:t xml:space="preserve">11А.5. Классификация данных</w:t>
      </w:r>
    </w:p>
    <w:p>
      <w:pPr>
        <w:spacing w:after="120" w:line="276"/>
      </w:pPr>
      <w:r>
        <w:t xml:space="preserve">Все данные классифицируются по уровню чувствительности; класс определяет применяемые меры защиты, правила хранения и доступа. Классификация выполняется при проектировании каждого сервиса и фиксируется в реестре данных.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Класс</w:t>
            </w:r>
          </w:p>
        </w:tc>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Примеры данных</w:t>
            </w:r>
          </w:p>
        </w:tc>
        <w:tc>
          <w:tcPr>
            <w:tcW w:type="dxa" w:w="3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Меры защиты</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Публичные</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Каталог услуг, регламенты</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Целостность, доступность</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Внутренние</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Технические логи, метрики</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Контроль доступа</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Конфиденциальные (ПДн)</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Профиль, заявления, документы</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Шифрование, RLS, аудит, согласия</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Особо чувствительные</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Отдельные категории ПДн</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Усиленное шифрование, строгий доступ</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Критические</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Ключи, секреты</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HSM/OpenBao, минимальный доступ</w:t>
            </w:r>
          </w:p>
        </w:tc>
      </w:tr>
    </w:tbl>
    <w:p>
      <w:pPr>
        <w:spacing w:after="160" w:before="60" w:line="240"/>
      </w:pPr>
      <w:r>
        <w:rPr>
          <w:i/>
          <w:iCs/>
          <w:color w:val="5A6B7B"/>
          <w:sz w:val="18"/>
          <w:szCs w:val="18"/>
        </w:rPr>
        <w:t xml:space="preserve">Таблица 11А.3 — Классификация данных и меры защиты.</w:t>
      </w:r>
    </w:p>
    <w:p>
      <w:pPr>
        <w:pStyle w:val="Heading2"/>
      </w:pPr>
      <w:r>
        <w:t xml:space="preserve">11А.6. Защита персональных данных и приватность</w:t>
      </w:r>
    </w:p>
    <w:p>
      <w:pPr>
        <w:spacing w:after="120" w:line="276"/>
      </w:pPr>
      <w:r>
        <w:t xml:space="preserve">Обработка ПДн соответствует Закону РТ № 1537 «О защите персональных данных». Реализуются принципы приватности по проекту и по умолчанию: минимизация сбора, ограничение цели, ограничение хранения, прозрачность. Гражданин управляет согласиями и может их отозвать; реализуются права субъекта данных в объёме, предусмотренном законодательством. Все ПДн хранятся и обрабатываются на территории РТ (суверенитет данных).</w:t>
      </w:r>
    </w:p>
    <w:p>
      <w:pPr>
        <w:pStyle w:val="ListParagraph"/>
        <w:numPr>
          <w:ilvl w:val="0"/>
          <w:numId w:val="2"/>
        </w:numPr>
        <w:spacing w:after="80" w:line="264"/>
      </w:pPr>
      <w:r>
        <w:rPr>
          <w:b/>
          <w:bCs/>
        </w:rPr>
        <w:t xml:space="preserve">Минимизация. </w:t>
      </w:r>
      <w:r>
        <w:t xml:space="preserve">Собираются только данные, необходимые для оказания услуги; принцип Once-Only снижает повторный сбор.</w:t>
      </w:r>
    </w:p>
    <w:p>
      <w:pPr>
        <w:pStyle w:val="ListParagraph"/>
        <w:numPr>
          <w:ilvl w:val="0"/>
          <w:numId w:val="2"/>
        </w:numPr>
        <w:spacing w:after="80" w:line="264"/>
      </w:pPr>
      <w:r>
        <w:rPr>
          <w:b/>
          <w:bCs/>
        </w:rPr>
        <w:t xml:space="preserve">Ограничение цели. </w:t>
      </w:r>
      <w:r>
        <w:t xml:space="preserve">Данные используются только для заявленной цели; иная обработка требует отдельного согласия/основания.</w:t>
      </w:r>
    </w:p>
    <w:p>
      <w:pPr>
        <w:pStyle w:val="ListParagraph"/>
        <w:numPr>
          <w:ilvl w:val="0"/>
          <w:numId w:val="2"/>
        </w:numPr>
        <w:spacing w:after="80" w:line="264"/>
      </w:pPr>
      <w:r>
        <w:rPr>
          <w:b/>
          <w:bCs/>
        </w:rPr>
        <w:t xml:space="preserve">Управление согласиями. </w:t>
      </w:r>
      <w:r>
        <w:t xml:space="preserve">Выдача, просмотр и отзыв согласий; история; немедленное действие отзыва.</w:t>
      </w:r>
    </w:p>
    <w:p>
      <w:pPr>
        <w:pStyle w:val="ListParagraph"/>
        <w:numPr>
          <w:ilvl w:val="0"/>
          <w:numId w:val="2"/>
        </w:numPr>
        <w:spacing w:after="80" w:line="264"/>
      </w:pPr>
      <w:r>
        <w:rPr>
          <w:b/>
          <w:bCs/>
        </w:rPr>
        <w:t xml:space="preserve">Прозрачность. </w:t>
      </w:r>
      <w:r>
        <w:t xml:space="preserve">Понятные уведомления о том, какие данные и зачем обрабатываются.</w:t>
      </w:r>
    </w:p>
    <w:p>
      <w:pPr>
        <w:pStyle w:val="Heading2"/>
      </w:pPr>
      <w:r>
        <w:t xml:space="preserve">11А.6А. Резидентность данных и внешние каналы</w:t>
      </w:r>
    </w:p>
    <w:p>
      <w:pPr>
        <w:spacing w:after="120" w:line="276"/>
      </w:pPr>
      <w:r>
        <w:t xml:space="preserve">Принцип суверенитета данных (раздел 1.5) реализуется на уровне архитектуры так, чтобы исключить любое противоречие между требованием хранения ПДн на территории РТ и использованием отдельных внешних каналов доставки. Настоящий подраздел является единым источником правил резидентности и однозначно определяет статус каждого внешнего канала.</w:t>
      </w:r>
    </w:p>
    <w:p>
      <w:pPr>
        <w:pStyle w:val="ListParagraph"/>
        <w:numPr>
          <w:ilvl w:val="0"/>
          <w:numId w:val="2"/>
        </w:numPr>
        <w:spacing w:after="80" w:line="264"/>
      </w:pPr>
      <w:r>
        <w:rPr>
          <w:b/>
          <w:bCs/>
        </w:rPr>
        <w:t xml:space="preserve">Хранение и обработка. </w:t>
      </w:r>
      <w:r>
        <w:t xml:space="preserve">Все персональные данные, документы, журналы и аналитические наборы хранятся и обрабатываются исключительно в ЦОД на территории РТ. Вычислительные компоненты (Kubernetes, доменные сервисы, PostgreSQL, Kafka, Redis, OpenSearch, объектное хранилище, Keycloak, Gotenberg, BPM, MCP-серверы) размещаются в этих ЦОД и не выносятся за пределы страны.</w:t>
      </w:r>
    </w:p>
    <w:p>
      <w:pPr>
        <w:spacing w:after="120" w:line="276"/>
      </w:pPr>
      <w:r>
        <w:t xml:space="preserve">Внешние каналы доставки и их статус относительно резидентности: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Канал</w:t>
            </w:r>
          </w:p>
        </w:tc>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Статус</w:t>
            </w:r>
          </w:p>
        </w:tc>
        <w:tc>
          <w:tcPr>
            <w:tcW w:type="dxa" w:w="4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Правило резидентности</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Push (FCM/APNs)</w:t>
            </w:r>
          </w:p>
        </w:tc>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Доставка через инфраструктуру Google/Apple</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 push-сообщении НЕ передаются ПДн: только нейтральный триггер («у вас обновление»). Содержание загружается в приложении после аутентификации, из ЦОД в РТ.</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SMS</w:t>
            </w:r>
          </w:p>
        </w:tc>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Доставка через телеком-агрегатора</w:t>
            </w:r>
          </w:p>
        </w:tc>
        <w:tc>
          <w:tcPr>
            <w:tcW w:type="dxa" w:w="4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Предпочтителен оператор в РТ (Tcell). В тексте SMS НЕ передаются ПДн: только нейтральное уведомление; чувствительное содержание — в личном кабинете.</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E-mail (SMTP)</w:t>
            </w:r>
          </w:p>
        </w:tc>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SMTP-relay в РТ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Relay размещён на территории РТ. В письме минимизируются персональные данные; для чувствительного содержания — переход в личный кабинет.</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Платёжные провайдеры (PSP)</w:t>
            </w:r>
          </w:p>
        </w:tc>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Внешние по своей природе</w:t>
            </w:r>
          </w:p>
        </w:tc>
        <w:tc>
          <w:tcPr>
            <w:tcW w:type="dxa" w:w="4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Допустимо в рамках отдельного правового основания (платёж). Данные карты не проходят через Платформу (redirect-модель); передаётся минимум, необходимый для проведения платежа.</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CDN / пограничный кэш</w:t>
            </w:r>
          </w:p>
        </w:tc>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Только публичный контент</w:t>
            </w:r>
          </w:p>
        </w:tc>
        <w:tc>
          <w:tcPr>
            <w:tcW w:type="dxa" w:w="4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Кэшируется ИСКЛЮЧИТЕЛЬНО публичный неперсональный контент (каталог услуг, регламенты). ПДн через CDN не проходят.</w:t>
            </w:r>
          </w:p>
        </w:tc>
      </w:tr>
    </w:tbl>
    <w:p>
      <w:pPr>
        <w:spacing w:after="160" w:before="60" w:line="240"/>
      </w:pPr>
      <w:r>
        <w:rPr>
          <w:i/>
          <w:iCs/>
          <w:color w:val="5A6B7B"/>
          <w:sz w:val="18"/>
          <w:szCs w:val="18"/>
        </w:rPr>
        <w:t xml:space="preserve">Таблица 11А.6А — Внешние каналы доставки и правила резидентности данных.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Гарантия отсутствия противоречия. </w:t>
            </w:r>
            <w:r>
              <w:rPr>
                <w:sz w:val="21"/>
                <w:szCs w:val="21"/>
              </w:rPr>
              <w:t xml:space="preserve">Ни один внешний канал не выносит персональные данные за пределы РТ. Каналы push/SMS/e-mail используются только для нейтрального оповещения; персональные данные и содержание услуг остаются в Платформе и доступны исключительно после аутентификации. Платёжные провайдеры задействуются на отдельном правовом основании и не получают данные сверх необходимого для платежа.</w:t>
            </w:r>
          </w:p>
        </w:tc>
      </w:tr>
    </w:tbl>
    <w:p>
      <w:pPr>
        <w:pStyle w:val="Heading2"/>
      </w:pPr>
      <w:r>
        <w:t xml:space="preserve">11А.7. Безопасная разработка (Secure SDLC)</w:t>
      </w:r>
    </w:p>
    <w:p>
      <w:pPr>
        <w:spacing w:after="120" w:line="276"/>
      </w:pPr>
      <w:r>
        <w:t xml:space="preserve">Безопасность встроена в жизненный цикл разработки. На каждом этапе применяются автоматизированные проверки; релиз с критическими уязвимостями блокируется конвейером.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Этап</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Контроль безопасности</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Проектирование</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Моделирование угроз (STRIDE), требования безопасности</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Разработка</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Стандарты безопасного кода, ревью, защита секретов</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Сборка</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SAST (статический анализ), SCA (анализ зависимостей), SBOM</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Образы</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Сканирование образов (Harbor), подпись образов</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Тестирование</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DAST (динамический анализ), тесты безопасности</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Развёртывание</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Проверка конфигурации, политики допуска (admission)</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Эксплуатация</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Сканирование уязвимостей, мониторинг (SIEM), пентесты</w:t>
            </w:r>
          </w:p>
        </w:tc>
      </w:tr>
    </w:tbl>
    <w:p>
      <w:pPr>
        <w:spacing w:after="160" w:before="60" w:line="240"/>
      </w:pPr>
      <w:r>
        <w:rPr>
          <w:i/>
          <w:iCs/>
          <w:color w:val="5A6B7B"/>
          <w:sz w:val="18"/>
          <w:szCs w:val="18"/>
        </w:rPr>
        <w:t xml:space="preserve">Таблица 11А.4 — Контроли безопасности по этапам SDLC.</w:t>
      </w:r>
    </w:p>
    <w:p>
      <w:pPr>
        <w:pStyle w:val="Heading2"/>
      </w:pPr>
      <w:r>
        <w:t xml:space="preserve">11А.8. Мониторинг безопасности и реагирование на инциденты</w:t>
      </w:r>
    </w:p>
    <w:p>
      <w:pPr>
        <w:spacing w:after="120" w:line="276"/>
      </w:pPr>
      <w:r>
        <w:t xml:space="preserve">Централизованный сбор и корреляция событий безопасности выполняются в SIEM; круглосуточный мониторинг обеспечивает SOC. Определён процесс реагирования на инциденты (обнаружение → классификация → локализация → устранение → восстановление → разбор). Категории инцидентов, время реакции и эскалация фиксируются в регламенте реагирования. Регулярно проводятся учения и тестирование на проникновение; действует программа ответственного раскрытия уязвимостей.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Категория инцидента</w:t>
            </w:r>
          </w:p>
        </w:tc>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Время реакции (цель)</w:t>
            </w:r>
          </w:p>
        </w:tc>
        <w:tc>
          <w:tcPr>
            <w:tcW w:type="dxa" w:w="3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Эскалация</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Критический (утечка ПДн, компрометация)</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15 мин</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Руководство, регулятор (по закону)</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Высокий (недоступность, активная атака)</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30 мин</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Руководство ИБ и эксплуатации</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Средний (подозрительная активность)</w:t>
            </w:r>
          </w:p>
        </w:tc>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2 ч</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Дежурная смена SOC</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Низкий (единичные срабатывания)</w:t>
            </w:r>
          </w:p>
        </w:tc>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1 день</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Очередь разбора</w:t>
            </w:r>
          </w:p>
        </w:tc>
      </w:tr>
    </w:tbl>
    <w:p>
      <w:pPr>
        <w:spacing w:after="160" w:before="60" w:line="240"/>
      </w:pPr>
      <w:r>
        <w:rPr>
          <w:i/>
          <w:iCs/>
          <w:color w:val="5A6B7B"/>
          <w:sz w:val="18"/>
          <w:szCs w:val="18"/>
        </w:rPr>
        <w:t xml:space="preserve">Таблица 11А.5 — Категории инцидентов и время реакции.</w:t>
      </w:r>
    </w:p>
    <w:p>
      <w:pPr>
        <w:pStyle w:val="Heading1"/>
      </w:pPr>
      <w:r>
        <w:t xml:space="preserve">11Г. Управление уязвимостями и соответствием</w:t>
      </w:r>
    </w:p>
    <w:p>
      <w:pPr>
        <w:spacing w:after="120" w:line="276"/>
      </w:pPr>
      <w:r>
        <w:t xml:space="preserve">Настоящий раздел детализирует процесс управления уязвимостями (дополняет разделы 11, 11А). Цель — своевременно выявлять и устранять уязвимости на всех уровнях: код, зависимости, образы, инфраструктура.</w:t>
      </w:r>
    </w:p>
    <w:p>
      <w:pPr>
        <w:pStyle w:val="Heading2"/>
      </w:pPr>
      <w:r>
        <w:t xml:space="preserve">11Г.1. Жизненный цикл управления уязвимостями</w:t>
      </w:r>
    </w:p>
    <w:p>
      <w:pPr>
        <w:pStyle w:val="ListParagraph"/>
        <w:numPr>
          <w:ilvl w:val="0"/>
          <w:numId w:val="7"/>
        </w:numPr>
        <w:spacing w:after="80" w:line="264"/>
      </w:pPr>
      <w:r>
        <w:t xml:space="preserve">Выявление: SAST, SCA, DAST, сканирование образов и инфраструктуры, пентесты, программа ответственного раскрытия.</w:t>
      </w:r>
    </w:p>
    <w:p>
      <w:pPr>
        <w:pStyle w:val="ListParagraph"/>
        <w:numPr>
          <w:ilvl w:val="0"/>
          <w:numId w:val="7"/>
        </w:numPr>
        <w:spacing w:after="80" w:line="264"/>
      </w:pPr>
      <w:r>
        <w:t xml:space="preserve">Оценка: классификация по серьёзности и применимости к Платформе.</w:t>
      </w:r>
    </w:p>
    <w:p>
      <w:pPr>
        <w:pStyle w:val="ListParagraph"/>
        <w:numPr>
          <w:ilvl w:val="0"/>
          <w:numId w:val="7"/>
        </w:numPr>
        <w:spacing w:after="80" w:line="264"/>
      </w:pPr>
      <w:r>
        <w:t xml:space="preserve">Приоритизация: с учётом серьёзности, эксплуатируемости и контекста.</w:t>
      </w:r>
    </w:p>
    <w:p>
      <w:pPr>
        <w:pStyle w:val="ListParagraph"/>
        <w:numPr>
          <w:ilvl w:val="0"/>
          <w:numId w:val="7"/>
        </w:numPr>
        <w:spacing w:after="80" w:line="264"/>
      </w:pPr>
      <w:r>
        <w:t xml:space="preserve">Устранение: исправление, обновление, компенсирующие меры; целевые сроки по серьёзности.</w:t>
      </w:r>
    </w:p>
    <w:p>
      <w:pPr>
        <w:pStyle w:val="ListParagraph"/>
        <w:numPr>
          <w:ilvl w:val="0"/>
          <w:numId w:val="7"/>
        </w:numPr>
        <w:spacing w:after="80" w:line="264"/>
      </w:pPr>
      <w:r>
        <w:t xml:space="preserve">Проверка: подтверждение устранения повторным сканированием/тестом.</w:t>
      </w:r>
    </w:p>
    <w:p>
      <w:pPr>
        <w:pStyle w:val="ListParagraph"/>
        <w:numPr>
          <w:ilvl w:val="0"/>
          <w:numId w:val="7"/>
        </w:numPr>
        <w:spacing w:after="80" w:line="264"/>
      </w:pPr>
      <w:r>
        <w:t xml:space="preserve">Учёт: фиксация в реестре, метрики времени устранения.</w:t>
      </w:r>
    </w:p>
    <w:p>
      <w:pPr>
        <w:pStyle w:val="Heading2"/>
      </w:pPr>
      <w:r>
        <w:t xml:space="preserve">11Г.2. Целевые сроки устранения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Серьёзность</w:t>
            </w:r>
          </w:p>
        </w:tc>
        <w:tc>
          <w:tcPr>
            <w:tcW w:type="dxa" w:w="4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Целевой срок устранения</w:t>
            </w:r>
          </w:p>
        </w:tc>
        <w:tc>
          <w:tcPr>
            <w:tcW w:type="dxa" w:w="2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Блокирует релиз</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Критическая</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Немедленно / экстренный релиз</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Высокая</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 ближайшем релизе (дни)</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Средняя</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Плановый порядок (недели)</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Нет</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Низкая</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возможности</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Нет</w:t>
            </w:r>
          </w:p>
        </w:tc>
      </w:tr>
    </w:tbl>
    <w:p>
      <w:pPr>
        <w:spacing w:after="160" w:before="60" w:line="240"/>
      </w:pPr>
      <w:r>
        <w:rPr>
          <w:i/>
          <w:iCs/>
          <w:color w:val="5A6B7B"/>
          <w:sz w:val="18"/>
          <w:szCs w:val="18"/>
        </w:rPr>
        <w:t xml:space="preserve">Таблица 11Г.1 — Целевые сроки устранения уязвимостей.</w:t>
      </w:r>
    </w:p>
    <w:p>
      <w:pPr>
        <w:pStyle w:val="Heading2"/>
      </w:pPr>
      <w:r>
        <w:t xml:space="preserve">11Г.3. Состав ПО (SBOM) и зависимости</w:t>
      </w:r>
    </w:p>
    <w:p>
      <w:pPr>
        <w:spacing w:after="120" w:line="276"/>
      </w:pPr>
      <w:r>
        <w:t xml:space="preserve">Для каждого сервиса формируется спецификация состава ПО (SBOM), позволяющая быстро определить подверженность вновь обнаруженным уязвимостям в зависимостях. Зависимости регулярно обновляются; запрещено использование компонентов с известными неустранёнными критическими уязвимостями. Образы подписываются и проверяются при допуске в кластер (admission control).</w:t>
      </w:r>
    </w:p>
    <w:p>
      <w:pPr>
        <w:pStyle w:val="Heading2"/>
      </w:pPr>
      <w:r>
        <w:t xml:space="preserve">11Г.4. Аудит соответствия</w:t>
      </w:r>
    </w:p>
    <w:p>
      <w:pPr>
        <w:spacing w:after="120" w:line="276"/>
      </w:pPr>
      <w:r>
        <w:t xml:space="preserve">Соответствие требованиям безопасности и нормативам (раздел 1.5, Приложение Ч) подтверждается регулярными аудитами: внутренними (самооценка по чек-листам) и внешними (независимая оценка, пентесты). Результаты аудитов фиксируются, недостатки устраняются по плану. Соответствие является обязательным условием эксплуатации государственной информационной системы.</w:t>
      </w:r>
    </w:p>
    <w:p>
      <w:pPr>
        <w:pStyle w:val="Heading1"/>
      </w:pPr>
      <w:r>
        <w:t xml:space="preserve">12. Нефункциональные требования</w:t>
      </w:r>
    </w:p>
    <w:p>
      <w:pPr>
        <w:spacing w:after="120" w:line="276"/>
      </w:pPr>
      <w:r>
        <w:t xml:space="preserve">Нефункциональные требования (НФТ) определяют качественные характеристики Системы: производительность, доступность, отказоустойчивость и масштабируемость. Все значения являются обязательными и проверяются нагрузочными и отказоустойчивыми испытаниями (раздел 18).</w:t>
      </w:r>
    </w:p>
    <w:p>
      <w:pPr>
        <w:pStyle w:val="Heading2"/>
      </w:pPr>
      <w:r>
        <w:t xml:space="preserve">12.1. Производительность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300"/>
        <w:gridCol w:w="3360"/>
      </w:tblGrid>
      <w:tr>
        <w:trPr>
          <w:tblHeader/>
        </w:trPr>
        <w:tc>
          <w:tcPr>
            <w:tcW w:type="dxa" w:w="3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Показатель</w:t>
            </w:r>
          </w:p>
        </w:tc>
        <w:tc>
          <w:tcPr>
            <w:tcW w:type="dxa" w:w="23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Значение</w:t>
            </w:r>
          </w:p>
        </w:tc>
        <w:tc>
          <w:tcPr>
            <w:tcW w:type="dxa" w:w="3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Примечание</w:t>
            </w:r>
          </w:p>
        </w:tc>
      </w:tr>
      <w:tr>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Зарегистрированные пользователи</w:t>
            </w:r>
          </w:p>
        </w:tc>
        <w:tc>
          <w:tcPr>
            <w:tcW w:type="dxa" w:w="2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 млн</w:t>
            </w:r>
          </w:p>
        </w:tc>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Проектный горизонт</w:t>
            </w:r>
          </w:p>
        </w:tc>
      </w:tr>
      <w:tr>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Одновременные пользователи</w:t>
            </w:r>
          </w:p>
        </w:tc>
        <w:tc>
          <w:tcPr>
            <w:tcW w:type="dxa" w:w="2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50 000</w:t>
            </w:r>
          </w:p>
        </w:tc>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Пиковая нагрузка штатного режима</w:t>
            </w:r>
          </w:p>
        </w:tc>
      </w:tr>
      <w:tr>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Пропускная способность API</w:t>
            </w:r>
          </w:p>
        </w:tc>
        <w:tc>
          <w:tcPr>
            <w:tcW w:type="dxa" w:w="2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3 000 rps</w:t>
            </w:r>
          </w:p>
        </w:tc>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 горизонтальным масштабированием</w:t>
            </w:r>
          </w:p>
        </w:tc>
      </w:tr>
      <w:tr>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Пиковый коэффициент</w:t>
            </w:r>
          </w:p>
        </w:tc>
        <w:tc>
          <w:tcPr>
            <w:tcW w:type="dxa" w:w="2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×8–10</w:t>
            </w:r>
          </w:p>
        </w:tc>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Периоды дедлайнов (например, отчётность)</w:t>
            </w:r>
          </w:p>
        </w:tc>
      </w:tr>
      <w:tr>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отклика веб (P95)</w:t>
            </w:r>
          </w:p>
        </w:tc>
        <w:tc>
          <w:tcPr>
            <w:tcW w:type="dxa" w:w="2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1,5 с</w:t>
            </w:r>
          </w:p>
        </w:tc>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 штатной нагрузке</w:t>
            </w:r>
          </w:p>
        </w:tc>
      </w:tr>
      <w:tr>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отклика API (P95)</w:t>
            </w:r>
          </w:p>
        </w:tc>
        <w:tc>
          <w:tcPr>
            <w:tcW w:type="dxa" w:w="2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500 мс</w:t>
            </w:r>
          </w:p>
        </w:tc>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 Kong Gateway</w:t>
            </w:r>
          </w:p>
        </w:tc>
      </w:tr>
    </w:tbl>
    <w:p>
      <w:pPr>
        <w:pStyle w:val="Heading2"/>
      </w:pPr>
      <w:r>
        <w:t xml:space="preserve">12.2. Доступность, восстановление, масштабирование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Параметр</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 (Uptime)</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bCs/>
                <w:color w:val="1A1A1A"/>
                <w:sz w:val="20"/>
                <w:szCs w:val="20"/>
              </w:rPr>
              <w:t xml:space="preserve">≥ 99,95 % в год</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RTO (время восстановления)</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1 час</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RPO (допустимая потеря данных)</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5 мин (pgBackRest PITR)</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Резервирование</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Отсутствие единой точки отказа; георезервирование (2 ЦОД)</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Масштабирование</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Автоматическое (Kubernetes HPA)</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Развёртывание</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ArgoCD + Unleash (canary-выкатка)</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Интерфейсы</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BFF web/mobile; мобильный приоритет</w:t>
            </w:r>
          </w:p>
        </w:tc>
      </w:tr>
    </w:tbl>
    <w:p>
      <w:pPr>
        <w:pStyle w:val="Heading2"/>
      </w:pPr>
      <w:r>
        <w:t xml:space="preserve">12.3. Планирование ёмкости (Capacity Planning)</w:t>
      </w:r>
    </w:p>
    <w:p>
      <w:pPr>
        <w:spacing w:after="120" w:line="276"/>
      </w:pPr>
      <w:r>
        <w:t xml:space="preserve">Расчёт ресурсов выполнен для штатного режима (50 000 одновременных пользователей, 3 000 rps) и пикового режима (×10, т.е. 30 000 rps). Все значения минимальны; фактический размер уточняется по итогам нагрузочного тестирования на этапе 2. Значения приведены на один ЦОД.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3660"/>
      </w:tblGrid>
      <w:tr>
        <w:trPr>
          <w:tblHeader/>
        </w:trPr>
        <w:tc>
          <w:tcPr>
            <w:tcW w:type="dxa" w:w="2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Компонент</w:t>
            </w:r>
          </w:p>
        </w:tc>
        <w:tc>
          <w:tcPr>
            <w:tcW w:type="dxa" w:w="15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Штатный</w:t>
            </w:r>
          </w:p>
        </w:tc>
        <w:tc>
          <w:tcPr>
            <w:tcW w:type="dxa" w:w="15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Пик (×10)</w:t>
            </w:r>
          </w:p>
        </w:tc>
        <w:tc>
          <w:tcPr>
            <w:tcW w:type="dxa" w:w="36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Конфигурация / примечание</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Kubernetes worker nodes</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12 нод</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30 нод</w:t>
            </w:r>
          </w:p>
        </w:tc>
        <w:tc>
          <w:tcPr>
            <w:tcW w:type="dxa" w:w="3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8 vCPU / 32 GB; HPA</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K8s control plane</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 ноды</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 ноды</w:t>
            </w:r>
          </w:p>
        </w:tc>
        <w:tc>
          <w:tcPr>
            <w:tcW w:type="dxa" w:w="3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 vCPU / 16 GB; etcd на SSD</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PostgreSQL (коммерч.)</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 ноды</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 нод</w:t>
            </w:r>
          </w:p>
        </w:tc>
        <w:tc>
          <w:tcPr>
            <w:tcW w:type="dxa" w:w="3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16 vCPU / 64 GB; NVMe; streaming replication</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Apache Kafka</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 брокера</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 брокеров</w:t>
            </w:r>
          </w:p>
        </w:tc>
        <w:tc>
          <w:tcPr>
            <w:tcW w:type="dxa" w:w="3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8 vCPU / 32 GB; KRaft; RF=3; NVMe</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Redis (кэш)</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 (Sentinel)</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 (Cluster)</w:t>
            </w:r>
          </w:p>
        </w:tc>
        <w:tc>
          <w:tcPr>
            <w:tcW w:type="dxa" w:w="3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 vCPU / 16 GB; кэш и краткоживущие технические локи</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OpenSearch</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 ноды</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 нод</w:t>
            </w:r>
          </w:p>
        </w:tc>
        <w:tc>
          <w:tcPr>
            <w:tcW w:type="dxa" w:w="3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8 vCPU / 32 GB; логи 90 дн., метрики 365 дн.</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Keycloak (IAM)</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 реплики</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 реплики</w:t>
            </w:r>
          </w:p>
        </w:tc>
        <w:tc>
          <w:tcPr>
            <w:tcW w:type="dxa" w:w="3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 vCPU / 16 GB; Infinispan cluster</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S3/Ceph</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10 TB</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50 TB</w:t>
            </w:r>
          </w:p>
        </w:tc>
        <w:tc>
          <w:tcPr>
            <w:tcW w:type="dxa" w:w="3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Документы, бэкапы, WAL; репликация между ЦОД</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BPM-движок (Camunda 7 / альт.)</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w:t>
            </w:r>
          </w:p>
        </w:tc>
        <w:tc>
          <w:tcPr>
            <w:tcW w:type="dxa" w:w="3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 vCPU / 16 GB; HA-кластер</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Итого минимум (штатный режим): </w:t>
            </w:r>
            <w:r>
              <w:rPr>
                <w:sz w:val="21"/>
                <w:szCs w:val="21"/>
              </w:rPr>
              <w:t xml:space="preserve">~192 vCPU / ~768 GB RAM / ~10 TB SSD + 10 TB Ceph на каждый ЦОД. Пиковые нагрузки покрываются Kubernetes HPA и горизонтальным масштабированием. Точные значения уточняются по итогам нагрузочного тестирования (этап 2).</w:t>
            </w:r>
          </w:p>
        </w:tc>
      </w:tr>
    </w:tbl>
    <w:p>
      <w:pPr>
        <w:pStyle w:val="Heading2"/>
      </w:pPr>
      <w:r>
        <w:t xml:space="preserve">12.4. Георезервирование (2 ЦОД, Active-Passive для критичных операций)</w:t>
      </w:r>
    </w:p>
    <w:p>
      <w:pPr>
        <w:spacing w:after="120" w:line="276"/>
      </w:pPr>
      <w:r>
        <w:t xml:space="preserve">Система развёртывается в двух географически разнесённых ЦОД. Для критичных операций записи (платежи, статусы заявлений, юридически значимые данные) применяется модель Active-Passive: запись выполняется в основной ЦОД (Primary), резервный ЦОД (Standby) синхронизируется и принимает запись при отказе основного. Чтение и приём пользовательского трафика возможны в обоих ЦОД одновременно (балансировка read-нагрузки). Каждый ЦОД содержит полный набор компонентов и способен обслуживать 100 % трафика самостоятельно; при отказе одного ЦОД весь трафик переключается на второй без потери доступности.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Параметр</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Модель</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Active-Passive (write): запись в Primary, чтение в обоих ЦОД</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Количество ЦОД</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 (ЦОД-1 и ЦОД-2), г. Душанбе, расстояние ≥ 10 км</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Уровень ЦОД</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 ниже Tier III</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Канал между ЦОД</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Выделенный ≥ 10 Gbps, латентность ≤ 2 мс, резервный маршрут</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Балансировка трафика</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GSLB на уровне DNS; распределение 50/50; health-check, автопереключение ≤ 30 с</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PostgreSQL</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Primary/Standby между ЦОД; потоковая репликация; синхронная для критичных схем (платежи, заявления); контролируемый failover; без multi-master</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Kafka</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MirrorMaker 2 / Cluster Linking между ЦОД; топики RF=3 внутри ЦОД</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Redis</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Независимые Sentinel-кластеры в каждом ЦОД; кэш локальный</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Keycloak</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Infinispan cross-DC репликация сессий; общая БД через Primary/Standby PostgreSQL</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S3/Ceph</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RGW multisite репликация между ЦОД; единое пространство имён</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Kubernetes</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Независимые кластеры; ArgoCD деплоит в оба параллельно</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Failover RTO</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30 с (DNS failover для чтения/трафика); ≤ 5 мин (промоут Standby→Primary для записи)</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RPO межсайтовый</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5 мин (асинхронные схемы); 0 (синхронные: платежи, заявления)</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DR-учения</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Плановые переключения не реже 1 раза в квартал; результаты в runbook</w:t>
            </w:r>
          </w:p>
        </w:tc>
      </w:tr>
    </w:tbl>
    <w:p>
      <w:pPr>
        <w:spacing w:after="120" w:line="276"/>
      </w:pPr>
      <w:r>
        <w:t xml:space="preserve">Деплой выполняется через ArgoCD ApplicationSet одновременно в оба кластера. Миграции БД (Liquibase/Flyway) применяются последовательно — сначала ЦОД-1, затем ЦОД-2 — с проверкой совместимости.</w:t>
      </w:r>
    </w:p>
    <w:p>
      <w:pPr>
        <w:pStyle w:val="Heading1"/>
      </w:pPr>
      <w:r>
        <w:t xml:space="preserve">12А. Инфраструктура и эксплуатация (DevOps)</w:t>
      </w:r>
    </w:p>
    <w:p>
      <w:pPr>
        <w:spacing w:after="120" w:line="276"/>
      </w:pPr>
      <w:r>
        <w:t xml:space="preserve">Настоящий раздел детализирует инфраструктурные решения, развёртывание в Kubernetes, конвейеры поставки (CI/CD), управление инфраструктурой как кодом (IaC) и подход GitOps. Раздел дополняет требования к ёмкости и георезервированию (разделы 12.3–12.4).</w:t>
      </w:r>
    </w:p>
    <w:p>
      <w:pPr>
        <w:pStyle w:val="Heading2"/>
      </w:pPr>
      <w:r>
        <w:t xml:space="preserve">12А.1. Контейнеризация и оркестрация</w:t>
      </w:r>
    </w:p>
    <w:p>
      <w:pPr>
        <w:spacing w:after="120" w:line="276"/>
      </w:pPr>
      <w:r>
        <w:t xml:space="preserve">Все компоненты поставляются как контейнерные образы и выполняются в Kubernetes. Образы собираются из минимальных базовых образов, не содержат секретов, подписываются и сканируются на уязвимости (Harbor). Применяются принципы неизменяемой инфраструктуры: обновление выполняется заменой образа, а не модификацией работающего контейнера.</w:t>
      </w:r>
    </w:p>
    <w:p>
      <w:pPr>
        <w:pStyle w:val="Heading4"/>
      </w:pPr>
      <w:r>
        <w:t xml:space="preserve">12А.1.1. Организация кластера</w:t>
      </w:r>
    </w:p>
    <w:p>
      <w:pPr>
        <w:pStyle w:val="ListParagraph"/>
        <w:numPr>
          <w:ilvl w:val="0"/>
          <w:numId w:val="2"/>
        </w:numPr>
        <w:spacing w:after="80" w:line="264"/>
      </w:pPr>
      <w:r>
        <w:rPr>
          <w:b/>
          <w:bCs/>
        </w:rPr>
        <w:t xml:space="preserve">Пространства имён (namespaces) </w:t>
      </w:r>
      <w:r>
        <w:t xml:space="preserve">— изоляция по средам и доменам; квоты ресурсов на namespace.</w:t>
      </w:r>
    </w:p>
    <w:p>
      <w:pPr>
        <w:pStyle w:val="ListParagraph"/>
        <w:numPr>
          <w:ilvl w:val="0"/>
          <w:numId w:val="2"/>
        </w:numPr>
        <w:spacing w:after="80" w:line="264"/>
      </w:pPr>
      <w:r>
        <w:rPr>
          <w:b/>
          <w:bCs/>
        </w:rPr>
        <w:t xml:space="preserve">Запросы и лимиты ресурсов </w:t>
      </w:r>
      <w:r>
        <w:t xml:space="preserve">— для каждого пода заданы requests/limits CPU и памяти; обязательны для планирования и автоскейла.</w:t>
      </w:r>
    </w:p>
    <w:p>
      <w:pPr>
        <w:pStyle w:val="ListParagraph"/>
        <w:numPr>
          <w:ilvl w:val="0"/>
          <w:numId w:val="2"/>
        </w:numPr>
        <w:spacing w:after="80" w:line="264"/>
      </w:pPr>
      <w:r>
        <w:rPr>
          <w:b/>
          <w:bCs/>
        </w:rPr>
        <w:t xml:space="preserve">Проверки готовности/живучести </w:t>
      </w:r>
      <w:r>
        <w:t xml:space="preserve">— liveness/readiness/startup probes у каждого сервиса.</w:t>
      </w:r>
    </w:p>
    <w:p>
      <w:pPr>
        <w:pStyle w:val="ListParagraph"/>
        <w:numPr>
          <w:ilvl w:val="0"/>
          <w:numId w:val="2"/>
        </w:numPr>
        <w:spacing w:after="80" w:line="264"/>
      </w:pPr>
      <w:r>
        <w:rPr>
          <w:b/>
          <w:bCs/>
        </w:rPr>
        <w:t xml:space="preserve">Бюджеты прерываний (PDB) </w:t>
      </w:r>
      <w:r>
        <w:t xml:space="preserve">— гарантируют минимальное число доступных реплик при обслуживании узлов.</w:t>
      </w:r>
    </w:p>
    <w:p>
      <w:pPr>
        <w:pStyle w:val="ListParagraph"/>
        <w:numPr>
          <w:ilvl w:val="0"/>
          <w:numId w:val="2"/>
        </w:numPr>
        <w:spacing w:after="80" w:line="264"/>
      </w:pPr>
      <w:r>
        <w:rPr>
          <w:b/>
          <w:bCs/>
        </w:rPr>
        <w:t xml:space="preserve">Анти-аффинити </w:t>
      </w:r>
      <w:r>
        <w:t xml:space="preserve">— реплики сервиса распределяются по разным узлам и зонам.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Сервис (минимум для прод-нагрузки):</w:t>
            </w:r>
          </w:p>
          <w:p>
            <w:pPr>
              <w:spacing w:after="0" w:line="240"/>
            </w:pPr>
            <w:r>
              <w:rPr>
                <w:rFonts w:ascii="Courier New" w:cs="Courier New" w:eastAsia="Courier New" w:hAnsi="Courier New"/>
                <w:color w:val="24292E"/>
                <w:sz w:val="17"/>
                <w:szCs w:val="17"/>
              </w:rPr>
              <w:t xml:space="preserve">  replicas: 3 (HPA 3..12 по CPU 70% и RPS)</w:t>
            </w:r>
          </w:p>
          <w:p>
            <w:pPr>
              <w:spacing w:after="0" w:line="240"/>
            </w:pPr>
            <w:r>
              <w:rPr>
                <w:rFonts w:ascii="Courier New" w:cs="Courier New" w:eastAsia="Courier New" w:hAnsi="Courier New"/>
                <w:color w:val="24292E"/>
                <w:sz w:val="17"/>
                <w:szCs w:val="17"/>
              </w:rPr>
              <w:t xml:space="preserve">  resources: requests {cpu: 250m, mem: 512Mi}, limits {cpu: 1, mem: 1Gi}</w:t>
            </w:r>
          </w:p>
          <w:p>
            <w:pPr>
              <w:spacing w:after="0" w:line="240"/>
            </w:pPr>
            <w:r>
              <w:rPr>
                <w:rFonts w:ascii="Courier New" w:cs="Courier New" w:eastAsia="Courier New" w:hAnsi="Courier New"/>
                <w:color w:val="24292E"/>
                <w:sz w:val="17"/>
                <w:szCs w:val="17"/>
              </w:rPr>
              <w:t xml:space="preserve">  probes: startup, liveness (/health), readiness (/ready)</w:t>
            </w:r>
          </w:p>
          <w:p>
            <w:pPr>
              <w:spacing w:after="0" w:line="240"/>
            </w:pPr>
            <w:r>
              <w:rPr>
                <w:rFonts w:ascii="Courier New" w:cs="Courier New" w:eastAsia="Courier New" w:hAnsi="Courier New"/>
                <w:color w:val="24292E"/>
                <w:sz w:val="17"/>
                <w:szCs w:val="17"/>
              </w:rPr>
              <w:t xml:space="preserve">  podDisruptionBudget: minAvailable: 2</w:t>
            </w:r>
          </w:p>
          <w:p>
            <w:pPr>
              <w:spacing w:after="0" w:line="240"/>
            </w:pPr>
            <w:r>
              <w:rPr>
                <w:rFonts w:ascii="Courier New" w:cs="Courier New" w:eastAsia="Courier New" w:hAnsi="Courier New"/>
                <w:color w:val="24292E"/>
                <w:sz w:val="17"/>
                <w:szCs w:val="17"/>
              </w:rPr>
              <w:t xml:space="preserve">  topologySpreadConstraints: по зонам/узлам</w:t>
            </w:r>
          </w:p>
        </w:tc>
      </w:tr>
    </w:tbl>
    <w:p>
      <w:pPr>
        <w:spacing w:after="160" w:before="60" w:line="240"/>
      </w:pPr>
      <w:r>
        <w:rPr>
          <w:i/>
          <w:iCs/>
          <w:color w:val="5A6B7B"/>
          <w:sz w:val="18"/>
          <w:szCs w:val="18"/>
        </w:rPr>
        <w:t xml:space="preserve">Листинг 12А.1 — Базовая конфигурация развёртывания сервиса.</w:t>
      </w:r>
    </w:p>
    <w:p>
      <w:pPr>
        <w:pStyle w:val="Heading2"/>
      </w:pPr>
      <w:r>
        <w:t xml:space="preserve">12А.2. Автомасштабирование</w:t>
      </w:r>
    </w:p>
    <w:p>
      <w:pPr>
        <w:spacing w:after="120" w:line="276"/>
      </w:pPr>
      <w:r>
        <w:t xml:space="preserve">Применяется горизонтальное автомасштабирование подов (HPA) по утилизации CPU и пользовательским метрикам (RPS, длина очереди). Для пиковых нагрузок (раздел 12.3) предусмотрено автомасштабирование узлов кластера. Масштабирование без сохранения состояния возможно благодаря stateless-дизайну сервисов (раздел 4.1). Компоненты с состоянием (БД, Kafka) масштабируются по отдельным процедурам с учётом репликации.</w:t>
      </w:r>
    </w:p>
    <w:p>
      <w:pPr>
        <w:pStyle w:val="Heading2"/>
      </w:pPr>
      <w:r>
        <w:t xml:space="preserve">12А.3. Управление конфигурацией и секретами</w:t>
      </w:r>
    </w:p>
    <w:p>
      <w:pPr>
        <w:pStyle w:val="ListParagraph"/>
        <w:numPr>
          <w:ilvl w:val="0"/>
          <w:numId w:val="2"/>
        </w:numPr>
        <w:spacing w:after="80" w:line="264"/>
      </w:pPr>
      <w:r>
        <w:rPr>
          <w:b/>
          <w:bCs/>
        </w:rPr>
        <w:t xml:space="preserve">Конфигурация </w:t>
      </w:r>
      <w:r>
        <w:t xml:space="preserve">— через ConfigMap/переменные среды; разделение по средам; запрет «зашитых» значений в коде.</w:t>
      </w:r>
    </w:p>
    <w:p>
      <w:pPr>
        <w:pStyle w:val="ListParagraph"/>
        <w:numPr>
          <w:ilvl w:val="0"/>
          <w:numId w:val="2"/>
        </w:numPr>
        <w:spacing w:after="80" w:line="264"/>
      </w:pPr>
      <w:r>
        <w:rPr>
          <w:b/>
          <w:bCs/>
        </w:rPr>
        <w:t xml:space="preserve">Секреты </w:t>
      </w:r>
      <w:r>
        <w:t xml:space="preserve">— в OpenBao; доставка в поды через защищённый механизм; запрет секретов в образах и репозиториях.</w:t>
      </w:r>
    </w:p>
    <w:p>
      <w:pPr>
        <w:pStyle w:val="ListParagraph"/>
        <w:numPr>
          <w:ilvl w:val="0"/>
          <w:numId w:val="2"/>
        </w:numPr>
        <w:spacing w:after="80" w:line="264"/>
      </w:pPr>
      <w:r>
        <w:rPr>
          <w:b/>
          <w:bCs/>
        </w:rPr>
        <w:t xml:space="preserve">Признаки функциональности (feature flags) </w:t>
      </w:r>
      <w:r>
        <w:t xml:space="preserve">— Unleash; управление выкаткой и быстрый откат без передеплоя.</w:t>
      </w:r>
    </w:p>
    <w:p>
      <w:pPr>
        <w:pStyle w:val="Heading2"/>
      </w:pPr>
      <w:r>
        <w:t xml:space="preserve">12А.4. Конвейеры CI/CD</w:t>
      </w:r>
    </w:p>
    <w:p>
      <w:pPr>
        <w:spacing w:after="120" w:line="276"/>
      </w:pPr>
      <w:r>
        <w:t xml:space="preserve">Поставка автоматизирована сквозным конвейером от коммита до продакшена. Конвейер включает сборку, автоматические тесты всех уровней, проверки безопасности и контрактов, сборку и сканирование образа, развёртывание через GitOps. Применяется trunk-based разработка с короткоживущими ветками; в основную ветку попадает только проверенный код.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Стадия конвейера</w:t>
            </w:r>
          </w:p>
        </w:tc>
        <w:tc>
          <w:tcPr>
            <w:tcW w:type="dxa" w:w="3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Содержание</w:t>
            </w:r>
          </w:p>
        </w:tc>
        <w:tc>
          <w:tcPr>
            <w:tcW w:type="dxa" w:w="30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Критерий прохождения</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Сборка</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Компиляция, модульные тесты</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Все тесты зелёные; покрытие ≥ порога</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Анализ кода</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SAST, SCA, линтеры, SBOM</w:t>
            </w:r>
          </w:p>
        </w:tc>
        <w:tc>
          <w:tcPr>
            <w:tcW w:type="dxa" w:w="3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Нет критических уязвимостей</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Контракты</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Pact, проверка схем (Apicurio)</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Совместимость подтверждена</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Интеграционные тесты</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Testcontainers</w:t>
            </w:r>
          </w:p>
        </w:tc>
        <w:tc>
          <w:tcPr>
            <w:tcW w:type="dxa" w:w="3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Все сценарии пройдены</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Образ</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Сборка, сканирование (Harbor), подпись</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Нет критических CVE; образ подписан</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Развёртывание (stage)</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GitOps (ArgoCD) в тестовую среду</w:t>
            </w:r>
          </w:p>
        </w:tc>
        <w:tc>
          <w:tcPr>
            <w:tcW w:type="dxa" w:w="3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Здоровье после деплоя</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Приёмочные/нагруз. тесты</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E2E, k6 (по расписанию)</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SLO достигнуты</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Продакшен</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GitOps, canary через Unleash</w:t>
            </w:r>
          </w:p>
        </w:tc>
        <w:tc>
          <w:tcPr>
            <w:tcW w:type="dxa" w:w="3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Метрики стабильны; иначе откат</w:t>
            </w:r>
          </w:p>
        </w:tc>
      </w:tr>
    </w:tbl>
    <w:p>
      <w:pPr>
        <w:spacing w:after="160" w:before="60" w:line="240"/>
      </w:pPr>
      <w:r>
        <w:rPr>
          <w:i/>
          <w:iCs/>
          <w:color w:val="5A6B7B"/>
          <w:sz w:val="18"/>
          <w:szCs w:val="18"/>
        </w:rPr>
        <w:t xml:space="preserve">Таблица 12А.1 — Стадии конвейера CI/CD и критерии прохождения.</w:t>
      </w:r>
    </w:p>
    <w:p>
      <w:pPr>
        <w:pStyle w:val="Heading2"/>
      </w:pPr>
      <w:r>
        <w:t xml:space="preserve">12А.5. GitOps и инфраструктура как код</w:t>
      </w:r>
    </w:p>
    <w:p>
      <w:pPr>
        <w:spacing w:after="120" w:line="276"/>
      </w:pPr>
      <w:r>
        <w:t xml:space="preserve">Желаемое состояние кластеров и приложений описывается декларативно в Git и применяется ArgoCD (GitOps): репозиторий — единый источник истины, любые изменения проходят через ревью и историю. Инфраструктура (сети, кластеры, хранилища) описывается как код (OpenTofu). Откат выполняется возвратом к предыдущему состоянию в Git. Развёртывание в два ЦОД выполняется одновременно (ApplicationSet) с последовательным применением миграций БД.</w:t>
      </w:r>
    </w:p>
    <w:p>
      <w:pPr>
        <w:pStyle w:val="Heading2"/>
      </w:pPr>
      <w:r>
        <w:t xml:space="preserve">12А.6. Стратегии развёртывания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Стратегия</w:t>
            </w:r>
          </w:p>
        </w:tc>
        <w:tc>
          <w:tcPr>
            <w:tcW w:type="dxa" w:w="4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w:t>
            </w:r>
          </w:p>
        </w:tc>
        <w:tc>
          <w:tcPr>
            <w:tcW w:type="dxa" w:w="2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Применение</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Rolling update</w:t>
            </w:r>
          </w:p>
        </w:tc>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Поэтапная замена реплик</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Большинство сервисов</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Canary</w:t>
            </w:r>
          </w:p>
        </w:tc>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Доля трафика на новую версию (Unleash)</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Рисковые изменения</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Blue-Green</w:t>
            </w:r>
          </w:p>
        </w:tc>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Переключение между двумя средами</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Критичные релизы</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Feature flag</w:t>
            </w:r>
          </w:p>
        </w:tc>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Включение функции без передеплоя</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Постепенный вывод функций</w:t>
            </w:r>
          </w:p>
        </w:tc>
      </w:tr>
    </w:tbl>
    <w:p>
      <w:pPr>
        <w:spacing w:after="160" w:before="60" w:line="240"/>
      </w:pPr>
      <w:r>
        <w:rPr>
          <w:i/>
          <w:iCs/>
          <w:color w:val="5A6B7B"/>
          <w:sz w:val="18"/>
          <w:szCs w:val="18"/>
        </w:rPr>
        <w:t xml:space="preserve">Таблица 12А.2 — Стратегии развёртывания.</w:t>
      </w:r>
    </w:p>
    <w:p>
      <w:pPr>
        <w:pStyle w:val="Heading2"/>
      </w:pPr>
      <w:r>
        <w:t xml:space="preserve">12А.7. Среды</w:t>
      </w:r>
    </w:p>
    <w:p>
      <w:pPr>
        <w:spacing w:after="120" w:line="276"/>
      </w:pPr>
      <w:r>
        <w:t xml:space="preserve">Определены изолированные среды с продвижением артефакта по конвейеру. Один и тот же образ проходит все среды без пересборки; различается только конфигурация. В нерабочих средах персональные данные маскируются или синтезируются.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Среда</w:t>
            </w:r>
          </w:p>
        </w:tc>
        <w:tc>
          <w:tcPr>
            <w:tcW w:type="dxa" w:w="4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c>
          <w:tcPr>
            <w:tcW w:type="dxa" w:w="3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Данные</w:t>
            </w:r>
          </w:p>
        </w:tc>
      </w:tr>
      <w:tr>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DEV</w:t>
            </w:r>
          </w:p>
        </w:tc>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Разработка, быстрые проверки</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Синтетические</w:t>
            </w:r>
          </w:p>
        </w:tc>
      </w:tr>
      <w:tr>
        <w:tc>
          <w:tcPr>
            <w:tcW w:type="dxa" w:w="1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TEST</w:t>
            </w:r>
          </w:p>
        </w:tc>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Автотесты, интеграция</w:t>
            </w:r>
          </w:p>
        </w:tc>
        <w:tc>
          <w:tcPr>
            <w:tcW w:type="dxa" w:w="3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Синтетические</w:t>
            </w:r>
          </w:p>
        </w:tc>
      </w:tr>
      <w:tr>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STAGE</w:t>
            </w:r>
          </w:p>
        </w:tc>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Предпрод, нагрузочные/приёмочные</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Маскированные</w:t>
            </w:r>
          </w:p>
        </w:tc>
      </w:tr>
      <w:tr>
        <w:tc>
          <w:tcPr>
            <w:tcW w:type="dxa" w:w="1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PROD</w:t>
            </w:r>
          </w:p>
        </w:tc>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Промышленная эксплуатация (2 ЦОД)</w:t>
            </w:r>
          </w:p>
        </w:tc>
        <w:tc>
          <w:tcPr>
            <w:tcW w:type="dxa" w:w="3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Реальные (защищённые)</w:t>
            </w:r>
          </w:p>
        </w:tc>
      </w:tr>
    </w:tbl>
    <w:p>
      <w:pPr>
        <w:spacing w:after="160" w:before="60" w:line="240"/>
      </w:pPr>
      <w:r>
        <w:rPr>
          <w:i/>
          <w:iCs/>
          <w:color w:val="5A6B7B"/>
          <w:sz w:val="18"/>
          <w:szCs w:val="18"/>
        </w:rPr>
        <w:t xml:space="preserve">Таблица 12А.3 — Среды и обращение с данными.</w:t>
      </w:r>
    </w:p>
    <w:p>
      <w:pPr>
        <w:pStyle w:val="Heading2"/>
      </w:pPr>
      <w:r>
        <w:t xml:space="preserve">12А.8. Резервное копирование и восстановление</w:t>
      </w:r>
    </w:p>
    <w:p>
      <w:pPr>
        <w:spacing w:after="120" w:line="276"/>
      </w:pPr>
      <w:r>
        <w:t xml:space="preserve">Резервное копирование PostgreSQL выполняется pgBackRest: непрерывная архивация WAL и периодические полные/инкрементальные копии в объектное хранилище, реплицируемое между ЦОД. Поддерживается восстановление на момент времени (PITR) с целевым RPO ≤ 5 мин. Объектное хранилище документов реплицируется между ЦОД. Резервные копии шифруются, их целостность регулярно проверяется тестовым восстановлением.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Регулярная проверка восстановления. </w:t>
            </w:r>
            <w:r>
              <w:rPr>
                <w:sz w:val="21"/>
                <w:szCs w:val="21"/>
              </w:rPr>
              <w:t xml:space="preserve">Резервная копия считается действительной только если регулярно подтверждается успешным тестовым восстановлением. Непроверенные копии не дают гарантии восстановления.</w:t>
            </w:r>
          </w:p>
        </w:tc>
      </w:tr>
    </w:tbl>
    <w:p>
      <w:pPr>
        <w:pStyle w:val="Heading1"/>
      </w:pPr>
      <w:r>
        <w:t xml:space="preserve">12В. Методика планирования ёмкости</w:t>
      </w:r>
    </w:p>
    <w:p>
      <w:pPr>
        <w:spacing w:after="120" w:line="276"/>
      </w:pPr>
      <w:r>
        <w:t xml:space="preserve">Настоящий раздел раскрывает методику расчёта ресурсов (раздел 12.3): исходные данные, допущения и порядок расчёта. Методика обеспечивает прозрачность и воспроизводимость оценок и уточняется по результатам нагрузочного тестирования (этап 2).</w:t>
      </w:r>
    </w:p>
    <w:p>
      <w:pPr>
        <w:pStyle w:val="Heading2"/>
      </w:pPr>
      <w:r>
        <w:t xml:space="preserve">12В.1. Исходные данные и допущения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Параметр</w:t>
            </w:r>
          </w:p>
        </w:tc>
        <w:tc>
          <w:tcPr>
            <w:tcW w:type="dxa" w:w="2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Значение</w:t>
            </w:r>
          </w:p>
        </w:tc>
        <w:tc>
          <w:tcPr>
            <w:tcW w:type="dxa" w:w="3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Источник/допущение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Зарегистрированные пользователи</w:t>
            </w:r>
          </w:p>
        </w:tc>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 млн</w:t>
            </w:r>
          </w:p>
        </w:tc>
        <w:tc>
          <w:tcPr>
            <w:tcW w:type="dxa" w:w="3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Проектный горизонт</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Доля активных в день</w:t>
            </w:r>
          </w:p>
        </w:tc>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~10 %</w:t>
            </w:r>
          </w:p>
        </w:tc>
        <w:tc>
          <w:tcPr>
            <w:tcW w:type="dxa" w:w="3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Допущение (уточняется)</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Одновременные в пик</w:t>
            </w:r>
          </w:p>
        </w:tc>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50 000</w:t>
            </w:r>
          </w:p>
        </w:tc>
        <w:tc>
          <w:tcPr>
            <w:tcW w:type="dxa" w:w="3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Требование 12.1</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Среднее число запросов на сессию</w:t>
            </w:r>
          </w:p>
        </w:tc>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~30</w:t>
            </w:r>
          </w:p>
        </w:tc>
        <w:tc>
          <w:tcPr>
            <w:tcW w:type="dxa" w:w="3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Допущение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Целевая загрузка узла</w:t>
            </w:r>
          </w:p>
        </w:tc>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70 % CPU</w:t>
            </w:r>
          </w:p>
        </w:tc>
        <w:tc>
          <w:tcPr>
            <w:tcW w:type="dxa" w:w="3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Запас для всплесков</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Пиковый коэффициент</w:t>
            </w:r>
          </w:p>
        </w:tc>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×8–10</w:t>
            </w:r>
          </w:p>
        </w:tc>
        <w:tc>
          <w:tcPr>
            <w:tcW w:type="dxa" w:w="3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Дедлайны/отчётность</w:t>
            </w:r>
          </w:p>
        </w:tc>
      </w:tr>
    </w:tbl>
    <w:p>
      <w:pPr>
        <w:spacing w:after="160" w:before="60" w:line="240"/>
      </w:pPr>
      <w:r>
        <w:rPr>
          <w:i/>
          <w:iCs/>
          <w:color w:val="5A6B7B"/>
          <w:sz w:val="18"/>
          <w:szCs w:val="18"/>
        </w:rPr>
        <w:t xml:space="preserve">Таблица 12В.1 — Исходные данные и допущения для расчёта ёмкости.</w:t>
      </w:r>
    </w:p>
    <w:p>
      <w:pPr>
        <w:pStyle w:val="Heading2"/>
      </w:pPr>
      <w:r>
        <w:t xml:space="preserve">12В.2. Порядок расчёта</w:t>
      </w:r>
    </w:p>
    <w:p>
      <w:pPr>
        <w:pStyle w:val="ListParagraph"/>
        <w:numPr>
          <w:ilvl w:val="0"/>
          <w:numId w:val="7"/>
        </w:numPr>
        <w:spacing w:after="80" w:line="264"/>
      </w:pPr>
      <w:r>
        <w:t xml:space="preserve">Оценка пиковой нагрузки в запросах в секунду (rps) исходя из числа одновременных пользователей и интенсивности сессии.</w:t>
      </w:r>
    </w:p>
    <w:p>
      <w:pPr>
        <w:pStyle w:val="ListParagraph"/>
        <w:numPr>
          <w:ilvl w:val="0"/>
          <w:numId w:val="7"/>
        </w:numPr>
        <w:spacing w:after="80" w:line="264"/>
      </w:pPr>
      <w:r>
        <w:t xml:space="preserve">Распределение нагрузки по сервисам на основании доли вызовов каждого сервиса в типовых сценариях (раздел 7).</w:t>
      </w:r>
    </w:p>
    <w:p>
      <w:pPr>
        <w:pStyle w:val="ListParagraph"/>
        <w:numPr>
          <w:ilvl w:val="0"/>
          <w:numId w:val="7"/>
        </w:numPr>
        <w:spacing w:after="80" w:line="264"/>
      </w:pPr>
      <w:r>
        <w:t xml:space="preserve">Расчёт требуемого числа экземпляров каждого сервиса исходя из его производительности (rps на экземпляр) и целевой загрузки ≤ 70 %.</w:t>
      </w:r>
    </w:p>
    <w:p>
      <w:pPr>
        <w:pStyle w:val="ListParagraph"/>
        <w:numPr>
          <w:ilvl w:val="0"/>
          <w:numId w:val="7"/>
        </w:numPr>
        <w:spacing w:after="80" w:line="264"/>
      </w:pPr>
      <w:r>
        <w:t xml:space="preserve">Расчёт ресурсов данных (СУБД, Kafka, Redis, хранилище) по объёму и интенсивности операций.</w:t>
      </w:r>
    </w:p>
    <w:p>
      <w:pPr>
        <w:pStyle w:val="ListParagraph"/>
        <w:numPr>
          <w:ilvl w:val="0"/>
          <w:numId w:val="7"/>
        </w:numPr>
        <w:spacing w:after="80" w:line="264"/>
      </w:pPr>
      <w:r>
        <w:t xml:space="preserve">Добавление запаса под пиковый коэффициент через автомасштабирование (HPA, узлы).</w:t>
      </w:r>
    </w:p>
    <w:p>
      <w:pPr>
        <w:pStyle w:val="ListParagraph"/>
        <w:numPr>
          <w:ilvl w:val="0"/>
          <w:numId w:val="7"/>
        </w:numPr>
        <w:spacing w:after="80" w:line="264"/>
      </w:pPr>
      <w:r>
        <w:t xml:space="preserve">Резервирование для модели Active-Passive: Standby-ЦОД должен иметь ёмкость для приёма 100 % критичных write-path и согласованного восстановления в пределах RTO.</w:t>
      </w:r>
    </w:p>
    <w:p>
      <w:pPr>
        <w:pStyle w:val="ListParagraph"/>
        <w:numPr>
          <w:ilvl w:val="0"/>
          <w:numId w:val="7"/>
        </w:numPr>
        <w:spacing w:after="80" w:line="264"/>
      </w:pPr>
      <w:r>
        <w:t xml:space="preserve">Уточнение по результатам нагрузочного тестирования и корректировка профилей автоскейла.</w:t>
      </w:r>
    </w:p>
    <w:p>
      <w:pPr>
        <w:pStyle w:val="Heading2"/>
      </w:pPr>
      <w:r>
        <w:t xml:space="preserve">12В.3. Принцип расчёта на отказ ЦОД</w:t>
      </w:r>
    </w:p>
    <w:p>
      <w:pPr>
        <w:spacing w:after="120" w:line="276"/>
      </w:pPr>
      <w:r>
        <w:t xml:space="preserve">Поскольку применяется модель Active-Passive для критичных write-path с двумя ЦОД (раздел 12.4), при отказе основного ЦОД весь трафик принимает резервный. Поэтому каждый ЦОД проектируется с запасом, достаточным для обслуживания 100 % пиковой нагрузки самостоятельно. В штатном режиме оба ЦОД работают с нагрузкой около 50 % от своей ёмкости, что также создаёт запас для всплесков.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Следствие. </w:t>
            </w:r>
            <w:r>
              <w:rPr>
                <w:sz w:val="21"/>
                <w:szCs w:val="21"/>
              </w:rPr>
              <w:t xml:space="preserve">Суммарная установленная мощность двух ЦОД составляет порядка 200 % пиковой потребности. Это осознанный компромисс между стоимостью и отказоустойчивостью национальной системы; альтернатива (Active-Passive) дешевле, но даёт худшие RTO и риск простоя резервного контура.</w:t>
            </w:r>
          </w:p>
        </w:tc>
      </w:tr>
    </w:tbl>
    <w:p>
      <w:pPr>
        <w:pStyle w:val="Heading2"/>
      </w:pPr>
      <w:r>
        <w:t xml:space="preserve">12В.4. Мониторинг ёмкости и планирование роста</w:t>
      </w:r>
    </w:p>
    <w:p>
      <w:pPr>
        <w:spacing w:after="120" w:line="276"/>
      </w:pPr>
      <w:r>
        <w:t xml:space="preserve">Фактическая утилизация ресурсов отслеживается метриками (раздел 14А). При устойчивом приближении к порогам инициируется расширение. Планирование роста выполняется регулярно на основании трендов нагрузки и планов подключения ведомств и услуг (разделы 13, 16). Это исключает как дефицит ресурсов, так и избыточные расходы.</w:t>
      </w:r>
    </w:p>
    <w:p>
      <w:pPr>
        <w:pStyle w:val="Heading1"/>
      </w:pPr>
      <w:r>
        <w:t xml:space="preserve">12Г. Инженерия производительности</w:t>
      </w:r>
    </w:p>
    <w:p>
      <w:pPr>
        <w:spacing w:after="120" w:line="276"/>
      </w:pPr>
      <w:r>
        <w:t xml:space="preserve">Настоящий раздел определяет инженерные практики достижения целевых показателей производительности (раздел 12.1): стратегию кэширования, оптимизацию доступа к данным, асинхронную обработку и управление ресурсами. Практики обязательны при проектировании и контролируются нагрузочным тестированием (раздел 20А).</w:t>
      </w:r>
    </w:p>
    <w:p>
      <w:pPr>
        <w:pStyle w:val="Heading2"/>
      </w:pPr>
      <w:r>
        <w:t xml:space="preserve">12Г.1. Стратегия снижения задержек</w:t>
      </w:r>
    </w:p>
    <w:p>
      <w:pPr>
        <w:pStyle w:val="ListParagraph"/>
        <w:numPr>
          <w:ilvl w:val="0"/>
          <w:numId w:val="2"/>
        </w:numPr>
        <w:spacing w:after="80" w:line="264"/>
      </w:pPr>
      <w:r>
        <w:rPr>
          <w:b/>
          <w:bCs/>
        </w:rPr>
        <w:t xml:space="preserve">Кэширование на нескольких уровнях </w:t>
      </w:r>
      <w:r>
        <w:t xml:space="preserve">(раздел 4А.5) — снижает обращения к источникам и задержку чтения.</w:t>
      </w:r>
    </w:p>
    <w:p>
      <w:pPr>
        <w:pStyle w:val="ListParagraph"/>
        <w:numPr>
          <w:ilvl w:val="0"/>
          <w:numId w:val="2"/>
        </w:numPr>
        <w:spacing w:after="80" w:line="264"/>
      </w:pPr>
      <w:r>
        <w:rPr>
          <w:b/>
          <w:bCs/>
        </w:rPr>
        <w:t xml:space="preserve">Агрегация в BFF </w:t>
      </w:r>
      <w:r>
        <w:t xml:space="preserve">— сокращает число обращений клиента, объединяя данные нескольких сервисов.</w:t>
      </w:r>
    </w:p>
    <w:p>
      <w:pPr>
        <w:pStyle w:val="ListParagraph"/>
        <w:numPr>
          <w:ilvl w:val="0"/>
          <w:numId w:val="2"/>
        </w:numPr>
        <w:spacing w:after="80" w:line="264"/>
      </w:pPr>
      <w:r>
        <w:rPr>
          <w:b/>
          <w:bCs/>
        </w:rPr>
        <w:t xml:space="preserve">Асинхронность </w:t>
      </w:r>
      <w:r>
        <w:t xml:space="preserve">— длительные операции (генерация документов, межведомственные запросы) выполняются вне основного пути ответа.</w:t>
      </w:r>
    </w:p>
    <w:p>
      <w:pPr>
        <w:pStyle w:val="ListParagraph"/>
        <w:numPr>
          <w:ilvl w:val="0"/>
          <w:numId w:val="2"/>
        </w:numPr>
        <w:spacing w:after="80" w:line="264"/>
      </w:pPr>
      <w:r>
        <w:rPr>
          <w:b/>
          <w:bCs/>
        </w:rPr>
        <w:t xml:space="preserve">Параллелизм </w:t>
      </w:r>
      <w:r>
        <w:t xml:space="preserve">— независимые вызовы выполняются параллельно, а не последовательно.</w:t>
      </w:r>
    </w:p>
    <w:p>
      <w:pPr>
        <w:pStyle w:val="ListParagraph"/>
        <w:numPr>
          <w:ilvl w:val="0"/>
          <w:numId w:val="2"/>
        </w:numPr>
        <w:spacing w:after="80" w:line="264"/>
      </w:pPr>
      <w:r>
        <w:rPr>
          <w:b/>
          <w:bCs/>
        </w:rPr>
        <w:t xml:space="preserve">Пагинация и проекции </w:t>
      </w:r>
      <w:r>
        <w:t xml:space="preserve">— передаются только необходимые данные; крупные коллекции страницируются (раздел 5В.3).</w:t>
      </w:r>
    </w:p>
    <w:p>
      <w:pPr>
        <w:pStyle w:val="Heading2"/>
      </w:pPr>
      <w:r>
        <w:t xml:space="preserve">12Г.2. Оптимизация доступа к данным</w:t>
      </w:r>
    </w:p>
    <w:p>
      <w:pPr>
        <w:pStyle w:val="ListParagraph"/>
        <w:numPr>
          <w:ilvl w:val="0"/>
          <w:numId w:val="2"/>
        </w:numPr>
        <w:spacing w:after="80" w:line="264"/>
      </w:pPr>
      <w:r>
        <w:rPr>
          <w:b/>
          <w:bCs/>
        </w:rPr>
        <w:t xml:space="preserve">Индексы </w:t>
      </w:r>
      <w:r>
        <w:t xml:space="preserve">под фактические запросы; контроль планов выполнения; избегание полного сканирования на больших таблицах.</w:t>
      </w:r>
    </w:p>
    <w:p>
      <w:pPr>
        <w:pStyle w:val="ListParagraph"/>
        <w:numPr>
          <w:ilvl w:val="0"/>
          <w:numId w:val="2"/>
        </w:numPr>
        <w:spacing w:after="80" w:line="264"/>
      </w:pPr>
      <w:r>
        <w:rPr>
          <w:b/>
          <w:bCs/>
        </w:rPr>
        <w:t xml:space="preserve">Пулы соединений </w:t>
      </w:r>
      <w:r>
        <w:t xml:space="preserve">к БД с разумными лимитами; предотвращение исчерпания соединений.</w:t>
      </w:r>
    </w:p>
    <w:p>
      <w:pPr>
        <w:pStyle w:val="ListParagraph"/>
        <w:numPr>
          <w:ilvl w:val="0"/>
          <w:numId w:val="2"/>
        </w:numPr>
        <w:spacing w:after="80" w:line="264"/>
      </w:pPr>
      <w:r>
        <w:rPr>
          <w:b/>
          <w:bCs/>
        </w:rPr>
        <w:t xml:space="preserve">Избегание N+1 </w:t>
      </w:r>
      <w:r>
        <w:t xml:space="preserve">запросов; пакетная выборка связанных данных.</w:t>
      </w:r>
    </w:p>
    <w:p>
      <w:pPr>
        <w:pStyle w:val="ListParagraph"/>
        <w:numPr>
          <w:ilvl w:val="0"/>
          <w:numId w:val="2"/>
        </w:numPr>
        <w:spacing w:after="80" w:line="264"/>
      </w:pPr>
      <w:r>
        <w:rPr>
          <w:b/>
          <w:bCs/>
        </w:rPr>
        <w:t xml:space="preserve">Реплики для чтения </w:t>
      </w:r>
      <w:r>
        <w:t xml:space="preserve">при необходимости — вынос тяжёлых запросов чтения на реплики.</w:t>
      </w:r>
    </w:p>
    <w:p>
      <w:pPr>
        <w:pStyle w:val="ListParagraph"/>
        <w:numPr>
          <w:ilvl w:val="0"/>
          <w:numId w:val="2"/>
        </w:numPr>
        <w:spacing w:after="80" w:line="264"/>
      </w:pPr>
      <w:r>
        <w:rPr>
          <w:b/>
          <w:bCs/>
        </w:rPr>
        <w:t xml:space="preserve">Архивирование </w:t>
      </w:r>
      <w:r>
        <w:t xml:space="preserve">исторических данных — удержание «горячих» таблиц компактными.</w:t>
      </w:r>
    </w:p>
    <w:p>
      <w:pPr>
        <w:pStyle w:val="Heading2"/>
      </w:pPr>
      <w:r>
        <w:t xml:space="preserve">12Г.3. Асинхронная обработка</w:t>
      </w:r>
    </w:p>
    <w:p>
      <w:pPr>
        <w:spacing w:after="120" w:line="276"/>
      </w:pPr>
      <w:r>
        <w:t xml:space="preserve">Операции, не требующие немедленного результата для пользователя, выполняются асинхронно через очереди/события: генерация PDF, отправка уведомлений, межведомственные запросы, OCR. Это сокращает время отклика основного пути и сглаживает пиковую нагрузку. Применяются группы потребителей с повторами и DLQ (раздел 5Г.3).</w:t>
      </w:r>
    </w:p>
    <w:p>
      <w:pPr>
        <w:pStyle w:val="Heading2"/>
      </w:pPr>
      <w:r>
        <w:t xml:space="preserve">12Г.4. Управление ресурсами и устойчивость к перегрузке</w:t>
      </w:r>
    </w:p>
    <w:p>
      <w:pPr>
        <w:pStyle w:val="ListParagraph"/>
        <w:numPr>
          <w:ilvl w:val="0"/>
          <w:numId w:val="2"/>
        </w:numPr>
        <w:spacing w:after="80" w:line="264"/>
      </w:pPr>
      <w:r>
        <w:rPr>
          <w:b/>
          <w:bCs/>
        </w:rPr>
        <w:t xml:space="preserve">Лимиты и автоскейл </w:t>
      </w:r>
      <w:r>
        <w:t xml:space="preserve">(раздел 12А.2) — расширение под нагрузку, удержание целевой загрузки.</w:t>
      </w:r>
    </w:p>
    <w:p>
      <w:pPr>
        <w:pStyle w:val="ListParagraph"/>
        <w:numPr>
          <w:ilvl w:val="0"/>
          <w:numId w:val="2"/>
        </w:numPr>
        <w:spacing w:after="80" w:line="264"/>
      </w:pPr>
      <w:r>
        <w:rPr>
          <w:b/>
          <w:bCs/>
        </w:rPr>
        <w:t xml:space="preserve">Сброс нагрузки и ограничение частоты </w:t>
      </w:r>
      <w:r>
        <w:t xml:space="preserve">(разделы 4А.3, 5А.4) — защита от перегрузки, корректная деградация.</w:t>
      </w:r>
    </w:p>
    <w:p>
      <w:pPr>
        <w:pStyle w:val="ListParagraph"/>
        <w:numPr>
          <w:ilvl w:val="0"/>
          <w:numId w:val="2"/>
        </w:numPr>
        <w:spacing w:after="80" w:line="264"/>
      </w:pPr>
      <w:r>
        <w:rPr>
          <w:b/>
          <w:bCs/>
        </w:rPr>
        <w:t xml:space="preserve">Перегородки </w:t>
      </w:r>
      <w:r>
        <w:t xml:space="preserve">— изоляция пулов ресурсов, чтобы сбой одной зависимости не исчерпал ресурсы целиком.</w:t>
      </w:r>
    </w:p>
    <w:p>
      <w:pPr>
        <w:pStyle w:val="ListParagraph"/>
        <w:numPr>
          <w:ilvl w:val="0"/>
          <w:numId w:val="2"/>
        </w:numPr>
        <w:spacing w:after="80" w:line="264"/>
      </w:pPr>
      <w:r>
        <w:rPr>
          <w:b/>
          <w:bCs/>
        </w:rPr>
        <w:t xml:space="preserve">Тайм-ауты везде </w:t>
      </w:r>
      <w:r>
        <w:t xml:space="preserve">— отсутствие неограниченного ожидания, предотвращение накопления «зависших» запросов.</w:t>
      </w:r>
    </w:p>
    <w:p>
      <w:pPr>
        <w:pStyle w:val="Heading2"/>
      </w:pPr>
      <w:r>
        <w:t xml:space="preserve">12Г.5. Контроль производительности</w:t>
      </w:r>
    </w:p>
    <w:p>
      <w:pPr>
        <w:spacing w:after="120" w:line="276"/>
      </w:pPr>
      <w:r>
        <w:t xml:space="preserve">Производительность контролируется непрерывно: метрики золотых сигналов (раздел 14А.2), бюджеты производительности интерфейса (раздел 6Б.4), регулярные нагрузочные тесты (раздел 20А.4). Регрессии производительности выявляются сравнением с базовыми показателями и блокируют релиз.</w:t>
      </w:r>
    </w:p>
    <w:p>
      <w:pPr>
        <w:pStyle w:val="Heading1"/>
      </w:pPr>
      <w:r>
        <w:t xml:space="preserve">12Д. Обоснование нефункциональных требований</w:t>
      </w:r>
    </w:p>
    <w:p>
      <w:pPr>
        <w:spacing w:after="120" w:line="276"/>
      </w:pPr>
      <w:r>
        <w:t xml:space="preserve">Настоящий раздел поясняет происхождение и обоснование ключевых нефункциональных требований (раздел 12). Обоснование облегчает согласование значений с заказчиком и принятие инженерных решений при их достижении.</w:t>
      </w:r>
    </w:p>
    <w:p>
      <w:pPr>
        <w:pStyle w:val="Heading2"/>
      </w:pPr>
      <w:r>
        <w:t xml:space="preserve">12Д.1. Производительность и отклик</w:t>
      </w:r>
    </w:p>
    <w:p>
      <w:pPr>
        <w:spacing w:after="120" w:line="276"/>
      </w:pPr>
      <w:r>
        <w:t xml:space="preserve">Требование к времени отклика веб-интерфейса P95 ≤ 1,5 с обусловлено ожиданиями пользователей мобильного и веб-каналов: при превышении этого порога заметно растёт доля отказов от завершения операции. Требование к API P95 ≤ 500 мс задаёт запас для агрегации в BFF, чтобы итоговый ответ пользователю укладывался в полтора секунды даже при нескольких внутренних вызовах. Пропускная способность ≥ 3 000 rps рассчитана исходя из числа одновременных пользователей и интенсивности сессий (раздел 12В).</w:t>
      </w:r>
    </w:p>
    <w:p>
      <w:pPr>
        <w:pStyle w:val="Heading2"/>
      </w:pPr>
      <w:r>
        <w:t xml:space="preserve">12Д.2. Доступность и восстановление</w:t>
      </w:r>
    </w:p>
    <w:p>
      <w:pPr>
        <w:spacing w:after="120" w:line="276"/>
      </w:pPr>
      <w:r>
        <w:t xml:space="preserve">Уровень доступности ≥ 99,95 % соответствует характеру государственной системы национального масштаба, недоступность которой напрямую влияет на доступность государственных услуг для граждан. Этот уровень допускает около 21 минуты недоступности в месяц, что достигается резервированием, отсутствием единой точки отказа и моделью Active-Passive для критичных операций (раздел 12.4). Требования RTO ≤ 1 час и RPO ≤ 5 минут балансируют стоимость резервирования и допустимые последствия сбоя: для финансовых и юридически значимых данных применяется синхронная репликация (RPO = 0), для остального — асинхронная в пределах 5 минут.</w:t>
      </w:r>
    </w:p>
    <w:p>
      <w:pPr>
        <w:pStyle w:val="Heading2"/>
      </w:pPr>
      <w:r>
        <w:t xml:space="preserve">12Д.3. Масштабируемость</w:t>
      </w:r>
    </w:p>
    <w:p>
      <w:pPr>
        <w:spacing w:after="120" w:line="276"/>
      </w:pPr>
      <w:r>
        <w:t xml:space="preserve">Требование выдерживать пиковый коэффициент ×8–10 обусловлено неравномерностью обращения за услугами: в периоды отчётности, дедлайнов или сезонных кампаний нагрузка многократно возрастает. Горизонтальное автомасштабирование (раздел 12А.2) при stateless-дизайне сервисов позволяет наращивать мощность под нагрузку и высвобождать ресурсы в спокойные периоды, что одновременно поддерживает производительность и оптимизирует затраты.</w:t>
      </w:r>
    </w:p>
    <w:p>
      <w:pPr>
        <w:pStyle w:val="Heading2"/>
      </w:pPr>
      <w:r>
        <w:t xml:space="preserve">12Д.4. Безопасность и приватность</w:t>
      </w:r>
    </w:p>
    <w:p>
      <w:pPr>
        <w:spacing w:after="120" w:line="276"/>
      </w:pPr>
      <w:r>
        <w:t xml:space="preserve">Требования безопасности (нулевое доверие, шифрование, аудит) и приватности (суверенитет, согласия, минимизация) обусловлены чувствительностью обрабатываемых персональных данных граждан и требованиями законодательства (раздел 1.5). Нарушение этих требований несёт правовые и репутационные последствия, поэтому они отнесены к обязательным и проверяются аудитом (раздел 11Г.4).</w:t>
      </w:r>
    </w:p>
    <w:p>
      <w:pPr>
        <w:pStyle w:val="Heading2"/>
      </w:pPr>
      <w:r>
        <w:t xml:space="preserve">12Д.5. Сопровождаемость и переносимость</w:t>
      </w:r>
    </w:p>
    <w:p>
      <w:pPr>
        <w:spacing w:after="120" w:line="276"/>
      </w:pPr>
      <w:r>
        <w:t xml:space="preserve">Требования к модульности (DDD, контракты) и опоре на свободное ПО обусловлены долгим жизненным циклом государственной системы: она должна развиваться и сопровождаться годами, с возможной сменой подрядчиков. Единый стек, стандарты и переиспользуемые компоненты снижают зависимость от конкретных специалистов и поставщиков, а контракты обеспечивают независимую эволюцию частей системы.</w:t>
      </w:r>
    </w:p>
    <w:p>
      <w:pPr>
        <w:pStyle w:val="Heading1"/>
      </w:pPr>
      <w:r>
        <w:t xml:space="preserve">13. Интеграция и межведомственное взаимодействие</w:t>
      </w:r>
    </w:p>
    <w:p>
      <w:pPr>
        <w:pStyle w:val="Heading2"/>
      </w:pPr>
      <w:r>
        <w:t xml:space="preserve">13.1. Smart Bridge</w:t>
      </w:r>
    </w:p>
    <w:p>
      <w:pPr>
        <w:spacing w:after="120" w:line="276"/>
      </w:pPr>
      <w:r>
        <w:t xml:space="preserve">Всё межведомственное взаимодействие осуществляется исключительно через интеграционную систему Smart Bridge (введена в эксплуатацию в августе 2025 года). Прямые подключения доменных сервисов к информационным системам ведомств запрещены — это обеспечивает единообразие, контроль и аудит обмена.</w:t>
      </w:r>
    </w:p>
    <w:p>
      <w:pPr>
        <w:pStyle w:val="Heading2"/>
      </w:pPr>
      <w:r>
        <w:t xml:space="preserve">13.2. Волна 1 (подключённые ведомства)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4060"/>
        <w:gridCol w:w="2000"/>
      </w:tblGrid>
      <w:tr>
        <w:trPr>
          <w:tblHeader/>
        </w:trPr>
        <w:tc>
          <w:tcPr>
            <w:tcW w:type="dxa" w:w="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w:t>
            </w:r>
          </w:p>
        </w:tc>
        <w:tc>
          <w:tcPr>
            <w:tcW w:type="dxa" w:w="2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Ведомство</w:t>
            </w:r>
          </w:p>
        </w:tc>
        <w:tc>
          <w:tcPr>
            <w:tcW w:type="dxa" w:w="40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Сервисы</w:t>
            </w:r>
          </w:p>
        </w:tc>
        <w:tc>
          <w:tcPr>
            <w:tcW w:type="dxa" w:w="2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Статус</w:t>
            </w:r>
          </w:p>
        </w:tc>
      </w:tr>
      <w:tr>
        <w:tc>
          <w:tcPr>
            <w:tcW w:type="dxa" w:w="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МВД</w:t>
            </w:r>
          </w:p>
        </w:tc>
        <w:tc>
          <w:tcPr>
            <w:tcW w:type="dxa" w:w="4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Личность, справки, паспорт</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color w:val="2E7D32"/>
                <w:sz w:val="20"/>
                <w:szCs w:val="20"/>
              </w:rPr>
              <w:t xml:space="preserve">Подключено</w:t>
            </w:r>
          </w:p>
        </w:tc>
      </w:tr>
      <w:tr>
        <w:tc>
          <w:tcPr>
            <w:tcW w:type="dxa" w:w="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Минюст</w:t>
            </w:r>
          </w:p>
        </w:tc>
        <w:tc>
          <w:tcPr>
            <w:tcW w:type="dxa" w:w="4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Юрлица, ЗАГС</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color w:val="2E7D32"/>
                <w:sz w:val="20"/>
                <w:szCs w:val="20"/>
              </w:rPr>
              <w:t xml:space="preserve">Подключено</w:t>
            </w:r>
          </w:p>
        </w:tc>
      </w:tr>
      <w:tr>
        <w:tc>
          <w:tcPr>
            <w:tcW w:type="dxa" w:w="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Минтранс</w:t>
            </w:r>
          </w:p>
        </w:tc>
        <w:tc>
          <w:tcPr>
            <w:tcW w:type="dxa" w:w="4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ВУ, регистрация ТС</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color w:val="2E7D32"/>
                <w:sz w:val="20"/>
                <w:szCs w:val="20"/>
              </w:rPr>
              <w:t xml:space="preserve">Подключено</w:t>
            </w:r>
          </w:p>
        </w:tc>
      </w:tr>
      <w:tr>
        <w:tc>
          <w:tcPr>
            <w:tcW w:type="dxa" w:w="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Минздрав</w:t>
            </w:r>
          </w:p>
        </w:tc>
        <w:tc>
          <w:tcPr>
            <w:tcW w:type="dxa" w:w="4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Справки, лицензии</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color w:val="2E7D32"/>
                <w:sz w:val="20"/>
                <w:szCs w:val="20"/>
              </w:rPr>
              <w:t xml:space="preserve">Подключено</w:t>
            </w:r>
          </w:p>
        </w:tc>
      </w:tr>
      <w:tr>
        <w:tc>
          <w:tcPr>
            <w:tcW w:type="dxa" w:w="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Налоговый комитет</w:t>
            </w:r>
          </w:p>
        </w:tc>
        <w:tc>
          <w:tcPr>
            <w:tcW w:type="dxa" w:w="4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ИНН, задолженности</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color w:val="2E7D32"/>
                <w:sz w:val="20"/>
                <w:szCs w:val="20"/>
              </w:rPr>
              <w:t xml:space="preserve">Подключено</w:t>
            </w:r>
          </w:p>
        </w:tc>
      </w:tr>
      <w:tr>
        <w:tc>
          <w:tcPr>
            <w:tcW w:type="dxa" w:w="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Таможня</w:t>
            </w:r>
          </w:p>
        </w:tc>
        <w:tc>
          <w:tcPr>
            <w:tcW w:type="dxa" w:w="4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Декларации</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color w:val="2E7D32"/>
                <w:sz w:val="20"/>
                <w:szCs w:val="20"/>
              </w:rPr>
              <w:t xml:space="preserve">Подключено</w:t>
            </w:r>
          </w:p>
        </w:tc>
      </w:tr>
      <w:tr>
        <w:tc>
          <w:tcPr>
            <w:tcW w:type="dxa" w:w="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Соцзащита</w:t>
            </w:r>
          </w:p>
        </w:tc>
        <w:tc>
          <w:tcPr>
            <w:tcW w:type="dxa" w:w="4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Пенсии, пособия</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color w:val="2E7D32"/>
                <w:sz w:val="20"/>
                <w:szCs w:val="20"/>
              </w:rPr>
              <w:t xml:space="preserve">Подключено</w:t>
            </w:r>
          </w:p>
        </w:tc>
      </w:tr>
      <w:tr>
        <w:tc>
          <w:tcPr>
            <w:tcW w:type="dxa" w:w="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8</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Нацбанк</w:t>
            </w:r>
          </w:p>
        </w:tc>
        <w:tc>
          <w:tcPr>
            <w:tcW w:type="dxa" w:w="4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Платежи, курсы</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color w:val="2E7D32"/>
                <w:sz w:val="20"/>
                <w:szCs w:val="20"/>
              </w:rPr>
              <w:t xml:space="preserve">Подключено</w:t>
            </w:r>
          </w:p>
        </w:tc>
      </w:tr>
      <w:tr>
        <w:tc>
          <w:tcPr>
            <w:tcW w:type="dxa" w:w="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9</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ГАИ</w:t>
            </w:r>
          </w:p>
        </w:tc>
        <w:tc>
          <w:tcPr>
            <w:tcW w:type="dxa" w:w="4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Штрафы, техосмотр</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color w:val="2E7D32"/>
                <w:sz w:val="20"/>
                <w:szCs w:val="20"/>
              </w:rPr>
              <w:t xml:space="preserve">Подключено</w:t>
            </w:r>
          </w:p>
        </w:tc>
      </w:tr>
    </w:tbl>
    <w:p>
      <w:pPr>
        <w:pStyle w:val="Heading2"/>
      </w:pPr>
      <w:r>
        <w:t xml:space="preserve">13.3. Волна 2 (план подключения)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4060"/>
        <w:gridCol w:w="2000"/>
      </w:tblGrid>
      <w:tr>
        <w:trPr>
          <w:tblHeader/>
        </w:trPr>
        <w:tc>
          <w:tcPr>
            <w:tcW w:type="dxa" w:w="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w:t>
            </w:r>
          </w:p>
        </w:tc>
        <w:tc>
          <w:tcPr>
            <w:tcW w:type="dxa" w:w="2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Ведомство</w:t>
            </w:r>
          </w:p>
        </w:tc>
        <w:tc>
          <w:tcPr>
            <w:tcW w:type="dxa" w:w="40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Сервисы</w:t>
            </w:r>
          </w:p>
        </w:tc>
        <w:tc>
          <w:tcPr>
            <w:tcW w:type="dxa" w:w="2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План</w:t>
            </w:r>
          </w:p>
        </w:tc>
      </w:tr>
      <w:tr>
        <w:tc>
          <w:tcPr>
            <w:tcW w:type="dxa" w:w="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10</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ЗАГС</w:t>
            </w:r>
          </w:p>
        </w:tc>
        <w:tc>
          <w:tcPr>
            <w:tcW w:type="dxa" w:w="4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Акты</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Q1 2027</w:t>
            </w:r>
          </w:p>
        </w:tc>
      </w:tr>
      <w:tr>
        <w:tc>
          <w:tcPr>
            <w:tcW w:type="dxa" w:w="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11</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Миграционная служба</w:t>
            </w:r>
          </w:p>
        </w:tc>
        <w:tc>
          <w:tcPr>
            <w:tcW w:type="dxa" w:w="4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Визы, ВНЖ</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Q1 2027</w:t>
            </w:r>
          </w:p>
        </w:tc>
      </w:tr>
      <w:tr>
        <w:tc>
          <w:tcPr>
            <w:tcW w:type="dxa" w:w="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12</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Служба занятости</w:t>
            </w:r>
          </w:p>
        </w:tc>
        <w:tc>
          <w:tcPr>
            <w:tcW w:type="dxa" w:w="4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Вакансии</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Q2 2027</w:t>
            </w:r>
          </w:p>
        </w:tc>
      </w:tr>
      <w:tr>
        <w:tc>
          <w:tcPr>
            <w:tcW w:type="dxa" w:w="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13</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Образование</w:t>
            </w:r>
          </w:p>
        </w:tc>
        <w:tc>
          <w:tcPr>
            <w:tcW w:type="dxa" w:w="4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Дипломы</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Q2 2027</w:t>
            </w:r>
          </w:p>
        </w:tc>
      </w:tr>
      <w:tr>
        <w:tc>
          <w:tcPr>
            <w:tcW w:type="dxa" w:w="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14</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Земельный комитет</w:t>
            </w:r>
          </w:p>
        </w:tc>
        <w:tc>
          <w:tcPr>
            <w:tcW w:type="dxa" w:w="4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Кадастр</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Q3 2027</w:t>
            </w:r>
          </w:p>
        </w:tc>
      </w:tr>
      <w:tr>
        <w:tc>
          <w:tcPr>
            <w:tcW w:type="dxa" w:w="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15</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Энергетика</w:t>
            </w:r>
          </w:p>
        </w:tc>
        <w:tc>
          <w:tcPr>
            <w:tcW w:type="dxa" w:w="4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Лицензии</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Q3 2027</w:t>
            </w:r>
          </w:p>
        </w:tc>
      </w:tr>
      <w:tr>
        <w:tc>
          <w:tcPr>
            <w:tcW w:type="dxa" w:w="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16</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Муниципалитеты</w:t>
            </w:r>
          </w:p>
        </w:tc>
        <w:tc>
          <w:tcPr>
            <w:tcW w:type="dxa" w:w="4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Разрешения</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Q4 2027</w:t>
            </w:r>
          </w:p>
        </w:tc>
      </w:tr>
    </w:tbl>
    <w:p>
      <w:pPr>
        <w:pStyle w:val="Heading2"/>
      </w:pPr>
      <w:r>
        <w:t xml:space="preserve">13.4. Технические требования к интеграции</w:t>
      </w:r>
    </w:p>
    <w:p>
      <w:pPr>
        <w:pStyle w:val="ListParagraph"/>
        <w:numPr>
          <w:ilvl w:val="0"/>
          <w:numId w:val="2"/>
        </w:numPr>
        <w:spacing w:after="80" w:line="264"/>
      </w:pPr>
      <w:r>
        <w:t xml:space="preserve">типовой коннектор на основе спецификации OpenAPI;</w:t>
      </w:r>
    </w:p>
    <w:p>
      <w:pPr>
        <w:pStyle w:val="ListParagraph"/>
        <w:numPr>
          <w:ilvl w:val="0"/>
          <w:numId w:val="2"/>
        </w:numPr>
        <w:spacing w:after="80" w:line="264"/>
      </w:pPr>
      <w:r>
        <w:t xml:space="preserve">защита канала: TLS + взаимный mTLS;</w:t>
      </w:r>
    </w:p>
    <w:p>
      <w:pPr>
        <w:pStyle w:val="ListParagraph"/>
        <w:numPr>
          <w:ilvl w:val="0"/>
          <w:numId w:val="2"/>
        </w:numPr>
        <w:spacing w:after="80" w:line="264"/>
      </w:pPr>
      <w:r>
        <w:t xml:space="preserve">журналирование всех запросов и ответов;</w:t>
      </w:r>
    </w:p>
    <w:p>
      <w:pPr>
        <w:pStyle w:val="ListParagraph"/>
        <w:numPr>
          <w:ilvl w:val="0"/>
          <w:numId w:val="2"/>
        </w:numPr>
        <w:spacing w:after="80" w:line="264"/>
      </w:pPr>
      <w:r>
        <w:t xml:space="preserve">устойчивость: размыкание цепи (circuit breaker), повторные попытки (retry), кэширование ответов;</w:t>
      </w:r>
    </w:p>
    <w:p>
      <w:pPr>
        <w:pStyle w:val="ListParagraph"/>
        <w:numPr>
          <w:ilvl w:val="0"/>
          <w:numId w:val="2"/>
        </w:numPr>
        <w:spacing w:after="80" w:line="264"/>
      </w:pPr>
      <w:r>
        <w:t xml:space="preserve">целевой SLA межведомственного запроса ≤ 3 с.</w:t>
      </w:r>
    </w:p>
    <w:p>
      <w:pPr>
        <w:pStyle w:val="Heading2"/>
      </w:pPr>
      <w:r>
        <w:t xml:space="preserve">13.5. Открытые API для внешних систем</w:t>
      </w:r>
    </w:p>
    <w:p>
      <w:pPr>
        <w:spacing w:after="120" w:line="276"/>
      </w:pPr>
      <w:r>
        <w:t xml:space="preserve">Для внешних разработчиков и информационных систем публикуются открытые API с документацией (Swagger UI / Redoc) и тестовой средой (песочницей), позволяющей разрабатывать и проверять интеграцию без доступа к промышленному контуру.</w:t>
      </w:r>
    </w:p>
    <w:p>
      <w:pPr>
        <w:pStyle w:val="Heading1"/>
      </w:pPr>
      <w:r>
        <w:t xml:space="preserve">13А. Межведомственная интеграция: детальная проработка</w:t>
      </w:r>
    </w:p>
    <w:p>
      <w:pPr>
        <w:spacing w:after="120" w:line="276"/>
      </w:pPr>
      <w:r>
        <w:t xml:space="preserve">Настоящий раздел детализирует требования раздела 13: модель типового коннектора, шаблоны взаимодействия со Smart Bridge, обработку сбоев и согласований, а также шаблон спецификации интеграции. Все межведомственные обмены идут исключительно через Smart Bridge; прямые подключения к системам ведомств запрещены.</w:t>
      </w:r>
    </w:p>
    <w:p>
      <w:pPr>
        <w:pStyle w:val="Heading2"/>
      </w:pPr>
      <w:r>
        <w:t xml:space="preserve">13А.1. Модель типового коннектора</w:t>
      </w:r>
    </w:p>
    <w:p>
      <w:pPr>
        <w:spacing w:after="120" w:line="276"/>
      </w:pPr>
      <w:r>
        <w:t xml:space="preserve">Подключение к каждому ведомству реализуется типовым коннектором с единой структурой. Коннектор инкапсулирует особенности конкретного ведомства за антикоррупционным слоем (ACL) и предоставляет внутренним сервисам единообразный интерфейс. Конфигурация коннектора версионируется.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Компонент коннектора</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Контракт (OpenAPI)</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Описание предоставляемых сведений и операций.</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Антикоррупционный слой (ACL)</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Преобразование внешней модели данных во внутреннюю.</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Политики устойчивости</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Тайм-ауты, повторы, размыкатель, перегородки.</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Кэш (опционально)</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Кэширование ответов при разрешении регламента, ограниченный TTL.</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Журналирование</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Фиксация запросов и ответов для аудита.</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Маппинг ошибок</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Преобразование ошибок ведомства в коды Платформы.</w:t>
            </w:r>
          </w:p>
        </w:tc>
      </w:tr>
    </w:tbl>
    <w:p>
      <w:pPr>
        <w:spacing w:after="160" w:before="60" w:line="240"/>
      </w:pPr>
      <w:r>
        <w:rPr>
          <w:i/>
          <w:iCs/>
          <w:color w:val="5A6B7B"/>
          <w:sz w:val="18"/>
          <w:szCs w:val="18"/>
        </w:rPr>
        <w:t xml:space="preserve">Таблица 13А.1 — Компоненты типового коннектора.</w:t>
      </w:r>
    </w:p>
    <w:p>
      <w:pPr>
        <w:pStyle w:val="Heading2"/>
      </w:pPr>
      <w:r>
        <w:t xml:space="preserve">13А.2. Шаблоны взаимодействия</w:t>
      </w:r>
    </w:p>
    <w:p>
      <w:pPr>
        <w:spacing w:after="120" w:line="276"/>
      </w:pPr>
      <w:r>
        <w:t xml:space="preserve">Применяются два основных шаблона межведомственного взаимодействия в зависимости от характера сведений:</w:t>
      </w:r>
    </w:p>
    <w:p>
      <w:pPr>
        <w:pStyle w:val="ListParagraph"/>
        <w:numPr>
          <w:ilvl w:val="0"/>
          <w:numId w:val="2"/>
        </w:numPr>
        <w:spacing w:after="80" w:line="264"/>
      </w:pPr>
      <w:r>
        <w:rPr>
          <w:b/>
          <w:bCs/>
        </w:rPr>
        <w:t xml:space="preserve">Синхронный запрос-ответ. </w:t>
      </w:r>
      <w:r>
        <w:t xml:space="preserve">Для немедленной проверки/получения сведений в ходе подачи заявления (например, проверка ИНН). Защищён тайм-аутом и размыкателем; при недоступности — деградация.</w:t>
      </w:r>
    </w:p>
    <w:p>
      <w:pPr>
        <w:pStyle w:val="ListParagraph"/>
        <w:numPr>
          <w:ilvl w:val="0"/>
          <w:numId w:val="2"/>
        </w:numPr>
        <w:spacing w:after="80" w:line="264"/>
      </w:pPr>
      <w:r>
        <w:rPr>
          <w:b/>
          <w:bCs/>
        </w:rPr>
        <w:t xml:space="preserve">Асинхронный запрос. </w:t>
      </w:r>
      <w:r>
        <w:t xml:space="preserve">Для длительных или отложенных ответов ведомства. Запрос инициируется, заявление переходит в статус «Запрошены сведения», ответ приходит событием и продолжает процесс.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Синхронный (в ходе подачи):</w:t>
            </w:r>
          </w:p>
          <w:p>
            <w:pPr>
              <w:spacing w:after="0" w:line="240"/>
            </w:pPr>
            <w:r>
              <w:rPr>
                <w:rFonts w:ascii="Courier New" w:cs="Courier New" w:eastAsia="Courier New" w:hAnsi="Courier New"/>
                <w:color w:val="24292E"/>
                <w:sz w:val="17"/>
                <w:szCs w:val="17"/>
              </w:rPr>
              <w:t xml:space="preserve">  Форма → Межвед.: проверить ИНН</w:t>
            </w:r>
          </w:p>
          <w:p>
            <w:pPr>
              <w:spacing w:after="0" w:line="240"/>
            </w:pPr>
            <w:r>
              <w:rPr>
                <w:rFonts w:ascii="Courier New" w:cs="Courier New" w:eastAsia="Courier New" w:hAnsi="Courier New"/>
                <w:color w:val="24292E"/>
                <w:sz w:val="17"/>
                <w:szCs w:val="17"/>
              </w:rPr>
              <w:t xml:space="preserve">  Межвед. → Smart Bridge → Налоговый комитет</w:t>
            </w:r>
          </w:p>
          <w:p>
            <w:pPr>
              <w:spacing w:after="0" w:line="240"/>
            </w:pPr>
            <w:r>
              <w:rPr>
                <w:rFonts w:ascii="Courier New" w:cs="Courier New" w:eastAsia="Courier New" w:hAnsi="Courier New"/>
                <w:color w:val="24292E"/>
                <w:sz w:val="17"/>
                <w:szCs w:val="17"/>
              </w:rPr>
              <w:t xml:space="preserve">  ответ ≤ 3 с → автозаполнение/валидация</w:t>
            </w:r>
          </w:p>
          <w:p>
            <w:pPr>
              <w:spacing w:after="0" w:line="240"/>
            </w:pPr>
            <w:r>
              <w:rPr>
                <w:rFonts w:ascii="Courier New" w:cs="Courier New" w:eastAsia="Courier New" w:hAnsi="Courier New"/>
                <w:color w:val="24292E"/>
                <w:sz w:val="17"/>
                <w:szCs w:val="17"/>
              </w:rPr>
              <w:t xml:space="preserve">  при тайм-ауте → поле помечается, заявитель может продолжить</w:t>
            </w:r>
          </w:p>
          <w:p>
            <w:pPr>
              <w:spacing w:after="0" w:line="240"/>
            </w:pPr>
            <w:r>
              <w:rPr>
                <w:rFonts w:ascii="Courier New" w:cs="Courier New" w:eastAsia="Courier New" w:hAnsi="Courier New"/>
                <w:color w:val="24292E"/>
                <w:sz w:val="17"/>
                <w:szCs w:val="17"/>
              </w:rPr>
              <w:t xml:space="preserve"> </w:t>
            </w:r>
          </w:p>
          <w:p>
            <w:pPr>
              <w:spacing w:after="0" w:line="240"/>
            </w:pPr>
            <w:r>
              <w:rPr>
                <w:rFonts w:ascii="Courier New" w:cs="Courier New" w:eastAsia="Courier New" w:hAnsi="Courier New"/>
                <w:color w:val="24292E"/>
                <w:sz w:val="17"/>
                <w:szCs w:val="17"/>
              </w:rPr>
              <w:t xml:space="preserve">Асинхронный (в ходе обработки):</w:t>
            </w:r>
          </w:p>
          <w:p>
            <w:pPr>
              <w:spacing w:after="0" w:line="240"/>
            </w:pPr>
            <w:r>
              <w:rPr>
                <w:rFonts w:ascii="Courier New" w:cs="Courier New" w:eastAsia="Courier New" w:hAnsi="Courier New"/>
                <w:color w:val="24292E"/>
                <w:sz w:val="17"/>
                <w:szCs w:val="17"/>
              </w:rPr>
              <w:t xml:space="preserve">  BPM → Межвед.: запросить сведения (requestId)</w:t>
            </w:r>
          </w:p>
          <w:p>
            <w:pPr>
              <w:spacing w:after="0" w:line="240"/>
            </w:pPr>
            <w:r>
              <w:rPr>
                <w:rFonts w:ascii="Courier New" w:cs="Courier New" w:eastAsia="Courier New" w:hAnsi="Courier New"/>
                <w:color w:val="24292E"/>
                <w:sz w:val="17"/>
                <w:szCs w:val="17"/>
              </w:rPr>
              <w:t xml:space="preserve">  статус заявления = "Запрошены сведения"</w:t>
            </w:r>
          </w:p>
          <w:p>
            <w:pPr>
              <w:spacing w:after="0" w:line="240"/>
            </w:pPr>
            <w:r>
              <w:rPr>
                <w:rFonts w:ascii="Courier New" w:cs="Courier New" w:eastAsia="Courier New" w:hAnsi="Courier New"/>
                <w:color w:val="24292E"/>
                <w:sz w:val="17"/>
                <w:szCs w:val="17"/>
              </w:rPr>
              <w:t xml:space="preserve">  ... ответ ведомства (минуты/часы) ...</w:t>
            </w:r>
          </w:p>
          <w:p>
            <w:pPr>
              <w:spacing w:after="0" w:line="240"/>
            </w:pPr>
            <w:r>
              <w:rPr>
                <w:rFonts w:ascii="Courier New" w:cs="Courier New" w:eastAsia="Courier New" w:hAnsi="Courier New"/>
                <w:color w:val="24292E"/>
                <w:sz w:val="17"/>
                <w:szCs w:val="17"/>
              </w:rPr>
              <w:t xml:space="preserve">  InteropResponded(requestId) → BPM продолжает процесс</w:t>
            </w:r>
          </w:p>
        </w:tc>
      </w:tr>
    </w:tbl>
    <w:p>
      <w:pPr>
        <w:spacing w:after="160" w:before="60" w:line="240"/>
      </w:pPr>
      <w:r>
        <w:rPr>
          <w:i/>
          <w:iCs/>
          <w:color w:val="5A6B7B"/>
          <w:sz w:val="18"/>
          <w:szCs w:val="18"/>
        </w:rPr>
        <w:t xml:space="preserve">Листинг 13А.1 — Синхронный и асинхронный шаблоны межведомственного взаимодействия.</w:t>
      </w:r>
    </w:p>
    <w:p>
      <w:pPr>
        <w:pStyle w:val="Heading2"/>
      </w:pPr>
      <w:r>
        <w:t xml:space="preserve">13А.3. Обработка сбоев интеграции</w:t>
      </w:r>
    </w:p>
    <w:p>
      <w:pPr>
        <w:spacing w:after="120" w:line="276"/>
      </w:pPr>
      <w:r>
        <w:t xml:space="preserve">Недоступность или ошибки ведомства не должны приводить к полному отказу услуги. Применяется комплекс мер:</w:t>
      </w:r>
    </w:p>
    <w:p>
      <w:pPr>
        <w:pStyle w:val="ListParagraph"/>
        <w:numPr>
          <w:ilvl w:val="0"/>
          <w:numId w:val="2"/>
        </w:numPr>
        <w:spacing w:after="80" w:line="264"/>
      </w:pPr>
      <w:r>
        <w:t xml:space="preserve">тайм-аут и повторы (для идемпотентных запросов) с экспоненциальной задержкой;</w:t>
      </w:r>
    </w:p>
    <w:p>
      <w:pPr>
        <w:pStyle w:val="ListParagraph"/>
        <w:numPr>
          <w:ilvl w:val="0"/>
          <w:numId w:val="2"/>
        </w:numPr>
        <w:spacing w:after="80" w:line="264"/>
      </w:pPr>
      <w:r>
        <w:t xml:space="preserve">размыкатель: при устойчивых сбоях вызовы временно прекращаются, услуга деградирует контролируемо;</w:t>
      </w:r>
    </w:p>
    <w:p>
      <w:pPr>
        <w:pStyle w:val="ListParagraph"/>
        <w:numPr>
          <w:ilvl w:val="0"/>
          <w:numId w:val="2"/>
        </w:numPr>
        <w:spacing w:after="80" w:line="264"/>
      </w:pPr>
      <w:r>
        <w:t xml:space="preserve">перевод заявления в статус «Запрошены сведения» с информированием заявителя;</w:t>
      </w:r>
    </w:p>
    <w:p>
      <w:pPr>
        <w:pStyle w:val="ListParagraph"/>
        <w:numPr>
          <w:ilvl w:val="0"/>
          <w:numId w:val="2"/>
        </w:numPr>
        <w:spacing w:after="80" w:line="264"/>
      </w:pPr>
      <w:r>
        <w:t xml:space="preserve">эскалация и алерт при длительной недоступности ведомства;</w:t>
      </w:r>
    </w:p>
    <w:p>
      <w:pPr>
        <w:pStyle w:val="ListParagraph"/>
        <w:numPr>
          <w:ilvl w:val="0"/>
          <w:numId w:val="2"/>
        </w:numPr>
        <w:spacing w:after="80" w:line="264"/>
      </w:pPr>
      <w:r>
        <w:t xml:space="preserve">журналирование всех обменов для разбора и подтверждения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Ситуация</w:t>
            </w:r>
          </w:p>
        </w:tc>
        <w:tc>
          <w:tcPr>
            <w:tcW w:type="dxa" w:w="35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Реакция</w:t>
            </w:r>
          </w:p>
        </w:tc>
        <w:tc>
          <w:tcPr>
            <w:tcW w:type="dxa" w:w="2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Влияние на услугу</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Кратковременная недоступность</w:t>
            </w:r>
          </w:p>
        </w:tc>
        <w:tc>
          <w:tcPr>
            <w:tcW w:type="dxa" w:w="3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Повтор с задержкой</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Незаметно для заявителя</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Длительная недоступность</w:t>
            </w:r>
          </w:p>
        </w:tc>
        <w:tc>
          <w:tcPr>
            <w:tcW w:type="dxa" w:w="3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Размыкатель, статус, алерт</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Отложенная обработка</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Ошибка данных ведомства</w:t>
            </w:r>
          </w:p>
        </w:tc>
        <w:tc>
          <w:tcPr>
            <w:tcW w:type="dxa" w:w="3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Маппинг ошибки, разбор</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Уточнение/отказ с причиной</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Превышение SLA ведомства</w:t>
            </w:r>
          </w:p>
        </w:tc>
        <w:tc>
          <w:tcPr>
            <w:tcW w:type="dxa" w:w="3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Фиксация, эскалация</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Контроль сроков</w:t>
            </w:r>
          </w:p>
        </w:tc>
      </w:tr>
    </w:tbl>
    <w:p>
      <w:pPr>
        <w:spacing w:after="160" w:before="60" w:line="240"/>
      </w:pPr>
      <w:r>
        <w:rPr>
          <w:i/>
          <w:iCs/>
          <w:color w:val="5A6B7B"/>
          <w:sz w:val="18"/>
          <w:szCs w:val="18"/>
        </w:rPr>
        <w:t xml:space="preserve">Таблица 13А.2 — Обработка сбоев межведомственного взаимодействия.</w:t>
      </w:r>
    </w:p>
    <w:p>
      <w:pPr>
        <w:pStyle w:val="Heading2"/>
      </w:pPr>
      <w:r>
        <w:t xml:space="preserve">13А.4. Шаблон спецификации интеграции</w:t>
      </w:r>
    </w:p>
    <w:p>
      <w:pPr>
        <w:spacing w:after="120" w:line="276"/>
      </w:pPr>
      <w:r>
        <w:t xml:space="preserve">Каждое подключение описывается по единому шаблону при настройке коннектора: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Поле</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Ведомство</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Наименование и роль (поставщик/потребитель сведений).</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Предоставляемые сведения</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Перечень видов сведений и их назначение.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Операции</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Методы (синхронные/асинхронные), контракт OpenAPI.</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Модель данных</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Внешняя модель и маппинг во внутреннюю (ACL).</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SLA</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Целевое время ответа, режим доступности.</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Устойчивость</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Параметры тайм-аутов, повторов, размыкателя.</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Кэширование</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Разрешено ли, TTL, основания.</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Безопасность</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Защита канала, согласия на передачу ПДн.</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Журналирование</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Состав журналируемых данных.</w:t>
            </w:r>
          </w:p>
        </w:tc>
      </w:tr>
    </w:tbl>
    <w:p>
      <w:pPr>
        <w:spacing w:after="160" w:before="60" w:line="240"/>
      </w:pPr>
      <w:r>
        <w:rPr>
          <w:i/>
          <w:iCs/>
          <w:color w:val="5A6B7B"/>
          <w:sz w:val="18"/>
          <w:szCs w:val="18"/>
        </w:rPr>
        <w:t xml:space="preserve">Таблица 13А.3 — Шаблон спецификации интеграции.</w:t>
      </w:r>
    </w:p>
    <w:p>
      <w:pPr>
        <w:pStyle w:val="Heading2"/>
      </w:pPr>
      <w:r>
        <w:t xml:space="preserve">13А.5. Открытые API: модель для внешних систем</w:t>
      </w:r>
    </w:p>
    <w:p>
      <w:pPr>
        <w:spacing w:after="120" w:line="276"/>
      </w:pPr>
      <w:r>
        <w:t xml:space="preserve">Внешние системы (организации, иные платформы) взаимодействуют с Платформой через открытые API за шлюзом (раздел 5А.4). Доступ предоставляется по модели Client Credentials с регистрацией приложения и выдачей прав. Для разработки доступна песочница с синтетическими данными. Применяются ограничение частоты запросов и квоты по приложению.</w:t>
      </w:r>
    </w:p>
    <w:p>
      <w:pPr>
        <w:pStyle w:val="Heading2"/>
      </w:pPr>
      <w:r>
        <w:t xml:space="preserve">13А.6. Уведомления об изменении данных ведомств (целевое видение)</w:t>
      </w:r>
    </w:p>
    <w:p>
      <w:pPr>
        <w:spacing w:after="120" w:line="276"/>
      </w:pPr>
      <w:r>
        <w:t xml:space="preserve">Базовая модель межведомственного взаимодействия — синхронный запрос-ответ через Smart Bridge (раздел 13А.2). У неё есть ограничение: Платформа узнаёт об изменении сведений в реестре ведомства только при следующем запросе, а не в момент изменения. Для сценариев, где важна своевременная реакция на изменение (например, гражданин оплатил штраф — статус должен обновиться без повторного обращения), целевым видением является событийное уведомление об изменении данных со стороны ведомств:</w:t>
      </w:r>
    </w:p>
    <w:p>
      <w:pPr>
        <w:pStyle w:val="ListParagraph"/>
        <w:numPr>
          <w:ilvl w:val="0"/>
          <w:numId w:val="2"/>
        </w:numPr>
        <w:spacing w:after="80" w:line="264"/>
      </w:pPr>
      <w:r>
        <w:rPr>
          <w:b/>
          <w:bCs/>
        </w:rPr>
        <w:t xml:space="preserve">Веб-хуки / подписка на изменения. </w:t>
      </w:r>
      <w:r>
        <w:t xml:space="preserve">Ведомство (через Smart Bridge) уведомляет Платформу о значимом изменении сведений; Платформа реагирует событием, не дожидаясь запроса.</w:t>
      </w:r>
    </w:p>
    <w:p>
      <w:pPr>
        <w:pStyle w:val="ListParagraph"/>
        <w:numPr>
          <w:ilvl w:val="0"/>
          <w:numId w:val="2"/>
        </w:numPr>
        <w:spacing w:after="80" w:line="264"/>
      </w:pPr>
      <w:r>
        <w:rPr>
          <w:b/>
          <w:bCs/>
        </w:rPr>
        <w:t xml:space="preserve">Потоковые изменения (CDC). </w:t>
      </w:r>
      <w:r>
        <w:t xml:space="preserve">Захват изменений данных (Change Data Capture, например Debezium) на стороне ведомств как механизм публикации событий об изменениях.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Статус и зависимость. </w:t>
            </w:r>
            <w:r>
              <w:rPr>
                <w:sz w:val="21"/>
                <w:szCs w:val="21"/>
              </w:rPr>
              <w:t xml:space="preserve">Это целевое архитектурное видение, а не требование к текущему объёму работ: его реализация зависит от готовности ведомств и Smart Bridge предоставлять веб-хуки/CDC, что находится вне зоны ответственности Платформы (раздел 2А.2.2). Платформа проектируется так, чтобы при появлении таких уведомлений принять их через существующую событийную модель (раздел 5Г) без изменения ядра. До тех пор применяется синхронная модель с контролируемым кэшированием (раздел 13А.2).</w:t>
            </w:r>
          </w:p>
        </w:tc>
      </w:tr>
    </w:tbl>
    <w:p>
      <w:pPr>
        <w:pStyle w:val="Heading1"/>
      </w:pPr>
      <w:r>
        <w:t xml:space="preserve">13Б. Слой MCP (AI-callable интеграционный канал)</w:t>
      </w:r>
    </w:p>
    <w:p>
      <w:pPr>
        <w:spacing w:after="120" w:line="276"/>
      </w:pPr>
      <w:r>
        <w:t xml:space="preserve">Настоящий раздел вводит дополнительный интеграционный канал на основе протокола Model Context Protocol (MCP) — открытого стандарта (под управлением Linux Foundation), описывающего, как программные агенты и большие языковые модели (LLM) обращаются к внешним системам через стандартизированный интерфейс. Слой MCP добавляется как параллельный канал рядом со Smart Bridge и не изменяет существующую архитектуру: межведомственное взаимодействие по-прежнему идёт через Smart Bridge (разделы 13, 13А), а MCP предоставляет AI-вызываемый каталог возможностей Платформы поверх уже существующих доменных сервисов и их контрактов.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Принцип. </w:t>
            </w:r>
            <w:r>
              <w:rPr>
                <w:sz w:val="21"/>
                <w:szCs w:val="21"/>
              </w:rPr>
              <w:t xml:space="preserve">MCP — расширение, а не замена. Он не вводит новых владельцев данных и не обходит существующие правила: каждый MCP-инструмент опирается на уже определённый API доменного сервиса, с теми же проверками доступа, согласий и аудита. Smart Bridge остаётся единственным каналом межведомственного обмена.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Поэтапность внедрения. </w:t>
            </w:r>
            <w:r>
              <w:rPr>
                <w:sz w:val="21"/>
                <w:szCs w:val="21"/>
              </w:rPr>
              <w:t xml:space="preserve">В первой фазе (этапы 1–5) доступ AI-агентов к возможностям Платформы обеспечивается обычным REST API с документацией OpenAPI 3.1, оформленным по принципу «инструментов» (Tools): набор явно описанных, безопасных операций поверх доменных сервисов. Полнопротокольная реализация MCP (JSON-RPC 2.0, Streamable HTTP/SSE, серверы MCP) относится к фазе развития (этап 6) и внедряется после подтверждения нагрузочной готовности (PoC: устойчивость MCP-сервера к целевой интенсивности AI-запросов). Это снижает риск преждевременных трудозатрат на транспортный протокол в ущерб бизнес-функциям. Положения настоящего раздела о примитивах и безопасности применяются к обоим вариантам; в первой фазе они реализуются средствами REST + OpenAPI.</w:t>
            </w:r>
          </w:p>
        </w:tc>
      </w:tr>
    </w:tbl>
    <w:p>
      <w:pPr>
        <w:pStyle w:val="Heading2"/>
      </w:pPr>
      <w:r>
        <w:t xml:space="preserve">13Б.1. Назначение</w:t>
      </w:r>
    </w:p>
    <w:p>
      <w:pPr>
        <w:spacing w:after="120" w:line="276"/>
      </w:pPr>
      <w:r>
        <w:t xml:space="preserve">Слой MCP позволяет доверенным AI-агентам и инструментам (например, ассистентам Агентства, аналитическим и сервисным агентам) безопасно и единообразно обращаться к возможностям Платформы: получать справочную информацию, проверять статусы, инициировать разрешённые операции — через стандартизированный машинный интерфейс, без разработки одноразовых интеграций под каждую пару «модель — инструмент».</w:t>
      </w:r>
    </w:p>
    <w:p>
      <w:pPr>
        <w:pStyle w:val="ListParagraph"/>
        <w:numPr>
          <w:ilvl w:val="0"/>
          <w:numId w:val="2"/>
        </w:numPr>
        <w:spacing w:after="80" w:line="264"/>
      </w:pPr>
      <w:r>
        <w:t xml:space="preserve">единый AI-вызываемый каталог возможностей Платформы поверх существующих сервисов;</w:t>
      </w:r>
    </w:p>
    <w:p>
      <w:pPr>
        <w:pStyle w:val="ListParagraph"/>
        <w:numPr>
          <w:ilvl w:val="0"/>
          <w:numId w:val="2"/>
        </w:numPr>
        <w:spacing w:after="80" w:line="264"/>
      </w:pPr>
      <w:r>
        <w:t xml:space="preserve">снижение интеграционной нагрузки: переиспользование MCP-серверов вместо одноразовых коннекторов;</w:t>
      </w:r>
    </w:p>
    <w:p>
      <w:pPr>
        <w:pStyle w:val="ListParagraph"/>
        <w:numPr>
          <w:ilvl w:val="0"/>
          <w:numId w:val="2"/>
        </w:numPr>
        <w:spacing w:after="80" w:line="264"/>
      </w:pPr>
      <w:r>
        <w:t xml:space="preserve">модель-агностичность: смена AI-модели не требует переписывания интеграций;</w:t>
      </w:r>
    </w:p>
    <w:p>
      <w:pPr>
        <w:pStyle w:val="ListParagraph"/>
        <w:numPr>
          <w:ilvl w:val="0"/>
          <w:numId w:val="2"/>
        </w:numPr>
        <w:spacing w:after="80" w:line="264"/>
      </w:pPr>
      <w:r>
        <w:t xml:space="preserve">основа для будущих ИИ-инициатив Агентства без изменения ядра Платформы.</w:t>
      </w:r>
    </w:p>
    <w:p>
      <w:pPr>
        <w:pStyle w:val="Heading2"/>
      </w:pPr>
      <w:r>
        <w:t xml:space="preserve">13Б.2. Примитивы MCP</w:t>
      </w:r>
    </w:p>
    <w:p>
      <w:pPr>
        <w:spacing w:after="120" w:line="276"/>
      </w:pPr>
      <w:r>
        <w:t xml:space="preserve">Возможности публикуются через три стандартных примитива MCP. Состав примитивов и их назначение в Платформе: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Примитив MCP</w:t>
            </w:r>
          </w:p>
        </w:tc>
        <w:tc>
          <w:tcPr>
            <w:tcW w:type="dxa" w:w="3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c>
          <w:tcPr>
            <w:tcW w:type="dxa" w:w="3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Пример в Платформе</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Tools (инструменты)</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Вызываемые функции (действия/запросы)</w:t>
            </w:r>
          </w:p>
        </w:tc>
        <w:tc>
          <w:tcPr>
            <w:tcW w:type="dxa" w:w="3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Проверить статус заявления; запросить справочные сведения</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Resources (ресурсы)</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Данные только для чтения</w:t>
            </w:r>
          </w:p>
        </w:tc>
        <w:tc>
          <w:tcPr>
            <w:tcW w:type="dxa" w:w="3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Каталог услуг; справочники НСИ; регламенты</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Prompts (шаблоны)</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Преднастроенные сценарии взаимодействия</w:t>
            </w:r>
          </w:p>
        </w:tc>
        <w:tc>
          <w:tcPr>
            <w:tcW w:type="dxa" w:w="3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Типовой сценарий помощи по подаче заявления</w:t>
            </w:r>
          </w:p>
        </w:tc>
      </w:tr>
    </w:tbl>
    <w:p>
      <w:pPr>
        <w:spacing w:after="160" w:before="60" w:line="240"/>
      </w:pPr>
      <w:r>
        <w:rPr>
          <w:i/>
          <w:iCs/>
          <w:color w:val="5A6B7B"/>
          <w:sz w:val="18"/>
          <w:szCs w:val="18"/>
        </w:rPr>
        <w:t xml:space="preserve">Таблица 13Б.1 — Примитивы MCP и их применение.</w:t>
      </w:r>
    </w:p>
    <w:p>
      <w:pPr>
        <w:pStyle w:val="Heading2"/>
      </w:pPr>
      <w:r>
        <w:t xml:space="preserve">13Б.3. Техническая модель</w:t>
      </w:r>
    </w:p>
    <w:p>
      <w:pPr>
        <w:pStyle w:val="ListParagraph"/>
        <w:numPr>
          <w:ilvl w:val="0"/>
          <w:numId w:val="2"/>
        </w:numPr>
        <w:spacing w:after="80" w:line="264"/>
      </w:pPr>
      <w:r>
        <w:rPr>
          <w:b/>
          <w:bCs/>
        </w:rPr>
        <w:t xml:space="preserve">Архитектура. </w:t>
      </w:r>
      <w:r>
        <w:t xml:space="preserve">Клиент-серверная модель на JSON-RPC 2.0: MCP-хост (AI-приложение) создаёт изолированные сессии с MCP-серверами Платформы.</w:t>
      </w:r>
    </w:p>
    <w:p>
      <w:pPr>
        <w:pStyle w:val="ListParagraph"/>
        <w:numPr>
          <w:ilvl w:val="0"/>
          <w:numId w:val="2"/>
        </w:numPr>
        <w:spacing w:after="80" w:line="264"/>
      </w:pPr>
      <w:r>
        <w:rPr>
          <w:b/>
          <w:bCs/>
        </w:rPr>
        <w:t xml:space="preserve">Транспорт. </w:t>
      </w:r>
      <w:r>
        <w:t xml:space="preserve">Streamable HTTP для удалённого доступа; MCP-серверы выполняются как сервисы в общем кластере (раздел 12А).</w:t>
      </w:r>
    </w:p>
    <w:p>
      <w:pPr>
        <w:pStyle w:val="ListParagraph"/>
        <w:numPr>
          <w:ilvl w:val="0"/>
          <w:numId w:val="2"/>
        </w:numPr>
        <w:spacing w:after="80" w:line="264"/>
      </w:pPr>
      <w:r>
        <w:rPr>
          <w:b/>
          <w:bCs/>
        </w:rPr>
        <w:t xml:space="preserve">Опора на существующие контракты. </w:t>
      </w:r>
      <w:r>
        <w:t xml:space="preserve">MCP-инструменты — это обёртки над уже опубликованными API доменных сервисов (OpenAPI, раздел 5В); новой бизнес-логики MCP-слой не несёт.</w:t>
      </w:r>
    </w:p>
    <w:p>
      <w:pPr>
        <w:pStyle w:val="ListParagraph"/>
        <w:numPr>
          <w:ilvl w:val="0"/>
          <w:numId w:val="2"/>
        </w:numPr>
        <w:spacing w:after="80" w:line="264"/>
      </w:pPr>
      <w:r>
        <w:rPr>
          <w:b/>
          <w:bCs/>
        </w:rPr>
        <w:t xml:space="preserve">Расположение. </w:t>
      </w:r>
      <w:r>
        <w:t xml:space="preserve">MCP-серверы размещаются за шлюзом (раздел 5А.4) наравне с прочими сервисами; доступ маршрутизируется и контролируется централизованно.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MCP-сервер Платформы (пример набора инструментов):</w:t>
            </w:r>
          </w:p>
          <w:p>
            <w:pPr>
              <w:spacing w:after="0" w:line="240"/>
            </w:pPr>
            <w:r>
              <w:rPr>
                <w:rFonts w:ascii="Courier New" w:cs="Courier New" w:eastAsia="Courier New" w:hAnsi="Courier New"/>
                <w:color w:val="24292E"/>
                <w:sz w:val="17"/>
                <w:szCs w:val="17"/>
              </w:rPr>
              <w:t xml:space="preserve">  tool: get_service(serviceId)            → catalog-service  (read)</w:t>
            </w:r>
          </w:p>
          <w:p>
            <w:pPr>
              <w:spacing w:after="0" w:line="240"/>
            </w:pPr>
            <w:r>
              <w:rPr>
                <w:rFonts w:ascii="Courier New" w:cs="Courier New" w:eastAsia="Courier New" w:hAnsi="Courier New"/>
                <w:color w:val="24292E"/>
                <w:sz w:val="17"/>
                <w:szCs w:val="17"/>
              </w:rPr>
              <w:t xml:space="preserve">  tool: get_application_status(appId)     → application-service (read)</w:t>
            </w:r>
          </w:p>
          <w:p>
            <w:pPr>
              <w:spacing w:after="0" w:line="240"/>
            </w:pPr>
            <w:r>
              <w:rPr>
                <w:rFonts w:ascii="Courier New" w:cs="Courier New" w:eastAsia="Courier New" w:hAnsi="Courier New"/>
                <w:color w:val="24292E"/>
                <w:sz w:val="17"/>
                <w:szCs w:val="17"/>
              </w:rPr>
              <w:t xml:space="preserve">  tool: list_references(code)             → reference-service (read)</w:t>
            </w:r>
          </w:p>
          <w:p>
            <w:pPr>
              <w:spacing w:after="0" w:line="240"/>
            </w:pPr>
            <w:r>
              <w:rPr>
                <w:rFonts w:ascii="Courier New" w:cs="Courier New" w:eastAsia="Courier New" w:hAnsi="Courier New"/>
                <w:color w:val="24292E"/>
                <w:sz w:val="17"/>
                <w:szCs w:val="17"/>
              </w:rPr>
              <w:t xml:space="preserve">  resource: catalog://services            → каталог услуг (read-only)</w:t>
            </w:r>
          </w:p>
          <w:p>
            <w:pPr>
              <w:spacing w:after="0" w:line="240"/>
            </w:pPr>
            <w:r>
              <w:rPr>
                <w:rFonts w:ascii="Courier New" w:cs="Courier New" w:eastAsia="Courier New" w:hAnsi="Courier New"/>
                <w:color w:val="24292E"/>
                <w:sz w:val="17"/>
                <w:szCs w:val="17"/>
              </w:rPr>
              <w:t xml:space="preserve">  prompt:  help_submit_application        → сценарий помощи по подаче</w:t>
            </w:r>
          </w:p>
          <w:p>
            <w:pPr>
              <w:spacing w:after="0" w:line="240"/>
            </w:pPr>
            <w:r>
              <w:rPr>
                <w:rFonts w:ascii="Courier New" w:cs="Courier New" w:eastAsia="Courier New" w:hAnsi="Courier New"/>
                <w:color w:val="24292E"/>
                <w:sz w:val="17"/>
                <w:szCs w:val="17"/>
              </w:rPr>
              <w:t xml:space="preserve">Транспорт: Streamable HTTP · протокол: JSON-RPC 2.0 · за шлюзом Kong</w:t>
            </w:r>
          </w:p>
        </w:tc>
      </w:tr>
    </w:tbl>
    <w:p>
      <w:pPr>
        <w:spacing w:after="160" w:before="60" w:line="240"/>
      </w:pPr>
      <w:r>
        <w:rPr>
          <w:i/>
          <w:iCs/>
          <w:color w:val="5A6B7B"/>
          <w:sz w:val="18"/>
          <w:szCs w:val="18"/>
        </w:rPr>
        <w:t xml:space="preserve">Листинг 13Б.1 — Пример набора инструментов MCP-сервера Платформы.</w:t>
      </w:r>
    </w:p>
    <w:p>
      <w:pPr>
        <w:pStyle w:val="Heading2"/>
      </w:pPr>
      <w:r>
        <w:t xml:space="preserve">13Б.4. Безопасность слоя MCP</w:t>
      </w:r>
    </w:p>
    <w:p>
      <w:pPr>
        <w:spacing w:after="120" w:line="276"/>
      </w:pPr>
      <w:r>
        <w:t xml:space="preserve">Слой MCP подчиняется тем же требованиям безопасности, что и остальная Платформа (разделы 11, 11А), с дополнительными мерами, специфичными для AI-вызываемых интерфейсов:</w:t>
      </w:r>
    </w:p>
    <w:p>
      <w:pPr>
        <w:pStyle w:val="ListParagraph"/>
        <w:numPr>
          <w:ilvl w:val="0"/>
          <w:numId w:val="2"/>
        </w:numPr>
        <w:spacing w:after="80" w:line="264"/>
      </w:pPr>
      <w:r>
        <w:rPr>
          <w:b/>
          <w:bCs/>
        </w:rPr>
        <w:t xml:space="preserve">Аутентификация и авторизация. </w:t>
      </w:r>
      <w:r>
        <w:t xml:space="preserve">OAuth 2.1; вызовы выполняются от имени субъекта с проверкой ролей/атрибутов (RBAC/ABAC, раздел 5А.1.3) и согласий (раздел 4А.9). MCP не расширяет права — агент не может через MCP сделать то, что запрещено владельцу токена.</w:t>
      </w:r>
    </w:p>
    <w:p>
      <w:pPr>
        <w:pStyle w:val="ListParagraph"/>
        <w:numPr>
          <w:ilvl w:val="0"/>
          <w:numId w:val="2"/>
        </w:numPr>
        <w:spacing w:after="80" w:line="264"/>
      </w:pPr>
      <w:r>
        <w:rPr>
          <w:b/>
          <w:bCs/>
        </w:rPr>
        <w:t xml:space="preserve">Только разрешённые операции. </w:t>
      </w:r>
      <w:r>
        <w:t xml:space="preserve">Через MCP публикуются лишь явно одобренные инструменты; операции, изменяющие состояние, проходят те же проверки и идемпотентность (раздел 4А.7), что и обычный API.</w:t>
      </w:r>
    </w:p>
    <w:p>
      <w:pPr>
        <w:pStyle w:val="ListParagraph"/>
        <w:numPr>
          <w:ilvl w:val="0"/>
          <w:numId w:val="2"/>
        </w:numPr>
        <w:spacing w:after="80" w:line="264"/>
      </w:pPr>
      <w:r>
        <w:rPr>
          <w:b/>
          <w:bCs/>
        </w:rPr>
        <w:t xml:space="preserve">Изоляция. </w:t>
      </w:r>
      <w:r>
        <w:t xml:space="preserve">MCP-серверы выполняются в контейнерах-песочницах с ограниченным сетевым доступом (egress по белому списку).</w:t>
      </w:r>
    </w:p>
    <w:p>
      <w:pPr>
        <w:pStyle w:val="ListParagraph"/>
        <w:numPr>
          <w:ilvl w:val="0"/>
          <w:numId w:val="2"/>
        </w:numPr>
        <w:spacing w:after="80" w:line="264"/>
      </w:pPr>
      <w:r>
        <w:rPr>
          <w:b/>
          <w:bCs/>
        </w:rPr>
        <w:t xml:space="preserve">Валидация ввода. </w:t>
      </w:r>
      <w:r>
        <w:t xml:space="preserve">Все аргументы инструментов проверяются на сервере по строгим схемам; вывод модели не считается доверенным (защита от некорректных/галлюцинированных параметров).</w:t>
      </w:r>
    </w:p>
    <w:p>
      <w:pPr>
        <w:pStyle w:val="ListParagraph"/>
        <w:numPr>
          <w:ilvl w:val="0"/>
          <w:numId w:val="2"/>
        </w:numPr>
        <w:spacing w:after="80" w:line="264"/>
      </w:pPr>
      <w:r>
        <w:rPr>
          <w:b/>
          <w:bCs/>
        </w:rPr>
        <w:t xml:space="preserve">Аудит. </w:t>
      </w:r>
      <w:r>
        <w:t xml:space="preserve">Каждый вызов инструмента журналируется в WORM-аудит (раздел 4Б.10) с меткой времени, субъектом и санитизированными аргументами.</w:t>
      </w:r>
    </w:p>
    <w:p>
      <w:pPr>
        <w:pStyle w:val="ListParagraph"/>
        <w:numPr>
          <w:ilvl w:val="0"/>
          <w:numId w:val="2"/>
        </w:numPr>
        <w:spacing w:after="80" w:line="264"/>
      </w:pPr>
      <w:r>
        <w:rPr>
          <w:b/>
          <w:bCs/>
        </w:rPr>
        <w:t xml:space="preserve">Нулевое доверие к внешним серверам. </w:t>
      </w:r>
      <w:r>
        <w:t xml:space="preserve">Подключаются только проверенные MCP-серверы; сторонние — не доверяются по умолчанию.</w:t>
      </w:r>
    </w:p>
    <w:p>
      <w:pPr>
        <w:pStyle w:val="Heading2"/>
      </w:pPr>
      <w:r>
        <w:t xml:space="preserve">13Б.5. Граница ответственности MCP и Smart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Аспект</w:t>
            </w:r>
          </w:p>
        </w:tc>
        <w:tc>
          <w:tcPr>
            <w:tcW w:type="dxa" w:w="358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Smart Bridge</w:t>
            </w:r>
          </w:p>
        </w:tc>
        <w:tc>
          <w:tcPr>
            <w:tcW w:type="dxa" w:w="358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Слой MCP</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Назначение</w:t>
            </w:r>
          </w:p>
        </w:tc>
        <w:tc>
          <w:tcPr>
            <w:tcW w:type="dxa" w:w="35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Межведомственный обмен сведениями</w:t>
            </w:r>
          </w:p>
        </w:tc>
        <w:tc>
          <w:tcPr>
            <w:tcW w:type="dxa" w:w="35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AI-вызываемый доступ к возможностям Платформы</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Потребитель</w:t>
            </w:r>
          </w:p>
        </w:tc>
        <w:tc>
          <w:tcPr>
            <w:tcW w:type="dxa" w:w="35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Доменные сервисы Платформы</w:t>
            </w:r>
          </w:p>
        </w:tc>
        <w:tc>
          <w:tcPr>
            <w:tcW w:type="dxa" w:w="35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Доверенные AI-агенты и инструменты</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Что отдаёт</w:t>
            </w:r>
          </w:p>
        </w:tc>
        <w:tc>
          <w:tcPr>
            <w:tcW w:type="dxa" w:w="35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Сведения государственных реестров</w:t>
            </w:r>
          </w:p>
        </w:tc>
        <w:tc>
          <w:tcPr>
            <w:tcW w:type="dxa" w:w="35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Инструменты/ресурсы поверх API сервисов</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Владение данными</w:t>
            </w:r>
          </w:p>
        </w:tc>
        <w:tc>
          <w:tcPr>
            <w:tcW w:type="dxa" w:w="35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Реестры ведомств</w:t>
            </w:r>
          </w:p>
        </w:tc>
        <w:tc>
          <w:tcPr>
            <w:tcW w:type="dxa" w:w="358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 вводит новых владельцев</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Статус</w:t>
            </w:r>
          </w:p>
        </w:tc>
        <w:tc>
          <w:tcPr>
            <w:tcW w:type="dxa" w:w="35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Обязательный единственный канал межвед.</w:t>
            </w:r>
          </w:p>
        </w:tc>
        <w:tc>
          <w:tcPr>
            <w:tcW w:type="dxa" w:w="358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Дополнительный параллельный канал</w:t>
            </w:r>
          </w:p>
        </w:tc>
      </w:tr>
    </w:tbl>
    <w:p>
      <w:pPr>
        <w:spacing w:after="160" w:before="60" w:line="240"/>
      </w:pPr>
      <w:r>
        <w:rPr>
          <w:i/>
          <w:iCs/>
          <w:color w:val="5A6B7B"/>
          <w:sz w:val="18"/>
          <w:szCs w:val="18"/>
        </w:rPr>
        <w:t xml:space="preserve">Таблица 13Б.2 — Разграничение слоя MCP и Smart Bridge.</w:t>
      </w:r>
    </w:p>
    <w:p>
      <w:pPr>
        <w:pStyle w:val="Heading1"/>
      </w:pPr>
      <w:r>
        <w:t xml:space="preserve">12Б. Эксплуатация, непрерывность и поддержка</w:t>
      </w:r>
    </w:p>
    <w:p>
      <w:pPr>
        <w:spacing w:after="120" w:line="276"/>
      </w:pPr>
      <w:r>
        <w:t xml:space="preserve">Настоящий раздел определяет процессы эксплуатации Системы: управление непрерывностью и аварийным восстановлением (BCP/DRP), управление изменениями и релизами, поддержку пользователей и сопровождение. Раздел опирается на инфраструктурные решения (раздел 12А) и практики надёжности (раздел 14А).</w:t>
      </w:r>
    </w:p>
    <w:p>
      <w:pPr>
        <w:pStyle w:val="Heading2"/>
      </w:pPr>
      <w:r>
        <w:t xml:space="preserve">12Б.1. Управление непрерывностью (BCP) и аварийным восстановлением (DRP)</w:t>
      </w:r>
    </w:p>
    <w:p>
      <w:pPr>
        <w:spacing w:after="120" w:line="276"/>
      </w:pPr>
      <w:r>
        <w:t xml:space="preserve">План обеспечения непрерывности (BCP) определяет действия по поддержанию работы при серьёзных сбоях; план аварийного восстановления (DRP) — порядок восстановления после катастрофического отказа. Целевые показатели: RTO ≤ 1 час, RPO ≤ 5 минут (раздел 12.2); при отказе ЦОД переключение на второй ЦОД ≤ 30 секунд (DNS failover, раздел 12.4).</w:t>
      </w:r>
    </w:p>
    <w:p>
      <w:pPr>
        <w:pStyle w:val="Heading4"/>
      </w:pPr>
      <w:r>
        <w:t xml:space="preserve">12Б.1.1. Сценарии отказа и реакция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2760"/>
      </w:tblGrid>
      <w:tr>
        <w:trPr>
          <w:tblHeader/>
        </w:trPr>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Сценарий отказа</w:t>
            </w:r>
          </w:p>
        </w:tc>
        <w:tc>
          <w:tcPr>
            <w:tcW w:type="dxa" w:w="3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Реакция системы</w:t>
            </w:r>
          </w:p>
        </w:tc>
        <w:tc>
          <w:tcPr>
            <w:tcW w:type="dxa" w:w="2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Цель восстановления</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 пода/реплики</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Автозамена (Kubernetes), без влияния</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Прозрачно</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 узла</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Перепланирование подов на другие узлы</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минуты</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 зоны</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Перераспределение по оставшимся зонам</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минуты</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 ЦОД</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Переключение трафика на второй ЦОД (GSLB)</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RTO ≤ 30 с (трафик)</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Повреждение данных</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Восстановление из бэкапа (PITR)</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RPO ≤ 5 мин</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Сбой зависимости (ведомство)</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Деградация, повтор, статус заявления</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Без отказа услуги</w:t>
            </w:r>
          </w:p>
        </w:tc>
      </w:tr>
    </w:tbl>
    <w:p>
      <w:pPr>
        <w:spacing w:after="160" w:before="60" w:line="240"/>
      </w:pPr>
      <w:r>
        <w:rPr>
          <w:i/>
          <w:iCs/>
          <w:color w:val="5A6B7B"/>
          <w:sz w:val="18"/>
          <w:szCs w:val="18"/>
        </w:rPr>
        <w:t xml:space="preserve">Таблица 12Б.1 — Сценарии отказа и целевые показатели восстановления.</w:t>
      </w:r>
    </w:p>
    <w:p>
      <w:pPr>
        <w:pStyle w:val="Heading4"/>
      </w:pPr>
      <w:r>
        <w:t xml:space="preserve">12Б.1.2. DR-учения</w:t>
      </w:r>
    </w:p>
    <w:p>
      <w:pPr>
        <w:spacing w:after="120" w:line="276"/>
      </w:pPr>
      <w:r>
        <w:t xml:space="preserve">Готовность к восстановлению подтверждается регулярными учениями: плановое переключение между ЦОД не реже одного раза в квартал, тестовое восстановление из резервных копий, отработка сценариев DRP. Результаты учений фиксируются, выявленные недостатки устраняются, runbook актуализируются.</w:t>
      </w:r>
    </w:p>
    <w:p>
      <w:pPr>
        <w:pStyle w:val="Heading2"/>
      </w:pPr>
      <w:r>
        <w:t xml:space="preserve">12Б.2. Управление изменениями и релизами</w:t>
      </w:r>
    </w:p>
    <w:p>
      <w:pPr>
        <w:spacing w:after="120" w:line="276"/>
      </w:pPr>
      <w:r>
        <w:t xml:space="preserve">Изменения проходят через контроль: ревью, автоматические проверки, согласование для рисковых изменений. Релизы в продакшен выполняются через GitOps с canary-выкаткой и возможностью мгновенного отката (feature flags). Ведётся журнал изменений; для значимых изменений определяется окно и план отката. Действует «заморозка» изменений в периоды пиковых нагрузок при необходимости.</w:t>
      </w:r>
    </w:p>
    <w:p>
      <w:pPr>
        <w:pStyle w:val="Heading2"/>
      </w:pPr>
      <w:r>
        <w:t xml:space="preserve">12Б.3. Поддержка пользователей</w:t>
      </w:r>
    </w:p>
    <w:p>
      <w:pPr>
        <w:spacing w:after="120" w:line="276"/>
      </w:pPr>
      <w:r>
        <w:t xml:space="preserve">Поддержка организована по уровням. Линия 1 — обращения граждан и специалистов (типовые вопросы, навигация). Линия 2 — разбор функциональных проблем, эскалация в команды. Линия 3 — инженерные команды (дефекты, инциденты). Каналы поддержки и время реакции определяются регламентом обслуживания. Обращения регистрируются, анализируются для улучшения услуг и платформы.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Линия</w:t>
            </w:r>
          </w:p>
        </w:tc>
        <w:tc>
          <w:tcPr>
            <w:tcW w:type="dxa" w:w="4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Зона ответственности</w:t>
            </w:r>
          </w:p>
        </w:tc>
        <w:tc>
          <w:tcPr>
            <w:tcW w:type="dxa" w:w="2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Время реакции (цель)</w:t>
            </w:r>
          </w:p>
        </w:tc>
      </w:tr>
      <w:tr>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Линия 1</w:t>
            </w:r>
          </w:p>
        </w:tc>
        <w:tc>
          <w:tcPr>
            <w:tcW w:type="dxa" w:w="4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Типовые вопросы, навигация, регистрация</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минуты (чат/тел.)</w:t>
            </w:r>
          </w:p>
        </w:tc>
      </w:tr>
      <w:tr>
        <w:tc>
          <w:tcPr>
            <w:tcW w:type="dxa" w:w="1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Линия 2</w:t>
            </w:r>
          </w:p>
        </w:tc>
        <w:tc>
          <w:tcPr>
            <w:tcW w:type="dxa" w:w="4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Функциональные проблемы, эскалация</w:t>
            </w:r>
          </w:p>
        </w:tc>
        <w:tc>
          <w:tcPr>
            <w:tcW w:type="dxa" w:w="2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часов (по приоритету)</w:t>
            </w:r>
          </w:p>
        </w:tc>
      </w:tr>
      <w:tr>
        <w:tc>
          <w:tcPr>
            <w:tcW w:type="dxa" w:w="1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Линия 3</w:t>
            </w:r>
          </w:p>
        </w:tc>
        <w:tc>
          <w:tcPr>
            <w:tcW w:type="dxa" w:w="4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Инженерный разбор, дефекты, инциденты</w:t>
            </w:r>
          </w:p>
        </w:tc>
        <w:tc>
          <w:tcPr>
            <w:tcW w:type="dxa" w:w="2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SLA инцидента</w:t>
            </w:r>
          </w:p>
        </w:tc>
      </w:tr>
    </w:tbl>
    <w:p>
      <w:pPr>
        <w:spacing w:after="160" w:before="60" w:line="240"/>
      </w:pPr>
      <w:r>
        <w:rPr>
          <w:i/>
          <w:iCs/>
          <w:color w:val="5A6B7B"/>
          <w:sz w:val="18"/>
          <w:szCs w:val="18"/>
        </w:rPr>
        <w:t xml:space="preserve">Таблица 12Б.2 — Уровни поддержки.</w:t>
      </w:r>
    </w:p>
    <w:p>
      <w:pPr>
        <w:pStyle w:val="Heading2"/>
      </w:pPr>
      <w:r>
        <w:t xml:space="preserve">12Б.4. Сопровождение и развитие</w:t>
      </w:r>
    </w:p>
    <w:p>
      <w:pPr>
        <w:spacing w:after="120" w:line="276"/>
      </w:pPr>
      <w:r>
        <w:t xml:space="preserve">Сопровождение включает мониторинг (раздел 14А), управление инцидентами и проблемами, обновление компонентов и устранение уязвимостей, развитие каталога услуг и платформенных возможностей. Технический долг отслеживается и планомерно сокращается. Развитие ведётся итеративно с приоритизацией по ценности для граждан и ведомств.</w:t>
      </w:r>
    </w:p>
    <w:p>
      <w:pPr>
        <w:pStyle w:val="Heading2"/>
      </w:pPr>
      <w:r>
        <w:t xml:space="preserve">12Б.5. Обучение и передача знаний</w:t>
      </w:r>
    </w:p>
    <w:p>
      <w:pPr>
        <w:spacing w:after="120" w:line="276"/>
      </w:pPr>
      <w:r>
        <w:t xml:space="preserve">Предусмотрено обучение специалистов ведомств (работа в АРМ), администраторов услуг (Low-Code), команд эксплуатации (процедуры, runbook). Поддерживается база знаний и Developer Portal. Передача знаний при вводе в эксплуатацию обеспечивает способность заказчика самостоятельно сопровождать и развивать платформу.</w:t>
      </w:r>
    </w:p>
    <w:p>
      <w:pPr>
        <w:pStyle w:val="Heading1"/>
      </w:pPr>
      <w:r>
        <w:t xml:space="preserve">14. Мониторинг и наблюдаемость</w:t>
      </w:r>
    </w:p>
    <w:p>
      <w:pPr>
        <w:spacing w:after="120" w:line="276"/>
      </w:pPr>
      <w:r>
        <w:t xml:space="preserve">Наблюдаемость Системы обеспечивается сбором логов, метрик и трассировок со всех компонентов. Это позволяет контролировать соблюдение целевых показателей (SLO), оперативно выявлять и локализовать инциденты.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tblHeader/>
        </w:trPr>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Компонент наблюдаемости</w:t>
            </w:r>
          </w:p>
        </w:tc>
        <w:tc>
          <w:tcPr>
            <w:tcW w:type="dxa" w:w="33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Технология</w:t>
            </w:r>
          </w:p>
        </w:tc>
        <w:tc>
          <w:tcPr>
            <w:tcW w:type="dxa" w:w="3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Логи</w:t>
            </w:r>
          </w:p>
        </w:tc>
        <w:tc>
          <w:tcPr>
            <w:tcW w:type="dxa" w:w="3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Fluentd / Vector → OpenSearch</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Сбор из всех подов; единый формат</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Метрики</w:t>
            </w:r>
          </w:p>
        </w:tc>
        <w:tc>
          <w:tcPr>
            <w:tcW w:type="dxa" w:w="3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Prometheus + Grafana</w:t>
            </w:r>
          </w:p>
        </w:tc>
        <w:tc>
          <w:tcPr>
            <w:tcW w:type="dxa" w:w="3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Дашборды соблюдения SLA/SLO</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Трассировка</w:t>
            </w:r>
          </w:p>
        </w:tc>
        <w:tc>
          <w:tcPr>
            <w:tcW w:type="dxa" w:w="3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OpenTelemetry + Jaeger</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Сквозной Correlation ID по запросу</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Оповещения</w:t>
            </w:r>
          </w:p>
        </w:tc>
        <w:tc>
          <w:tcPr>
            <w:tcW w:type="dxa" w:w="3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Alertmanager</w:t>
            </w:r>
          </w:p>
        </w:tc>
        <w:tc>
          <w:tcPr>
            <w:tcW w:type="dxa" w:w="3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Алерты при нарушении SLO</w:t>
            </w:r>
          </w:p>
        </w:tc>
      </w:tr>
      <w:tr>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Проверки состояния</w:t>
            </w:r>
          </w:p>
        </w:tc>
        <w:tc>
          <w:tcPr>
            <w:tcW w:type="dxa" w:w="3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Kubernetes probes</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Эндпойнты /health, /ready</w:t>
            </w:r>
          </w:p>
        </w:tc>
      </w:tr>
      <w:tr>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Бизнес-мониторинг</w:t>
            </w:r>
          </w:p>
        </w:tc>
        <w:tc>
          <w:tcPr>
            <w:tcW w:type="dxa" w:w="3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Grafana + Camunda</w:t>
            </w:r>
          </w:p>
        </w:tc>
        <w:tc>
          <w:tcPr>
            <w:tcW w:type="dxa" w:w="3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Очереди заявлений, соблюдение сроков</w:t>
            </w:r>
          </w:p>
        </w:tc>
      </w:tr>
    </w:tbl>
    <w:p>
      <w:pPr>
        <w:spacing w:after="120" w:line="276"/>
      </w:pPr>
      <w:r>
        <w:t xml:space="preserve">Сквозной Correlation ID присваивается каждому пользовательскому запросу и проходит через все слои, что позволяет восстановить полный путь обработки заявления при разборе инцидента.</w:t>
      </w:r>
    </w:p>
    <w:p>
      <w:pPr>
        <w:pStyle w:val="Heading1"/>
      </w:pPr>
      <w:r>
        <w:t xml:space="preserve">14А. Наблюдаемость и надёжность (SRE)</w:t>
      </w:r>
    </w:p>
    <w:p>
      <w:pPr>
        <w:spacing w:after="120" w:line="276"/>
      </w:pPr>
      <w:r>
        <w:t xml:space="preserve">Настоящий раздел детализирует требования раздела 14 и вводит практики обеспечения надёжности (SRE): целевые уровни обслуживания (SLO), бюджет ошибок, дежурство и реагирование. Цель — поддерживать целевую доступность 99,95 % при контролируемой скорости изменений.</w:t>
      </w:r>
    </w:p>
    <w:p>
      <w:pPr>
        <w:pStyle w:val="Heading2"/>
      </w:pPr>
      <w:r>
        <w:t xml:space="preserve">14А.1. Три столпа наблюдаемости</w:t>
      </w:r>
    </w:p>
    <w:p>
      <w:pPr>
        <w:pStyle w:val="ListParagraph"/>
        <w:numPr>
          <w:ilvl w:val="0"/>
          <w:numId w:val="2"/>
        </w:numPr>
        <w:spacing w:after="80" w:line="264"/>
      </w:pPr>
      <w:r>
        <w:rPr>
          <w:b/>
          <w:bCs/>
        </w:rPr>
        <w:t xml:space="preserve">Метрики </w:t>
      </w:r>
      <w:r>
        <w:t xml:space="preserve">(Prometheus + Grafana) — числовые показатели во времени: нагрузка, задержки, ошибки, ресурсы, бизнес-метрики (очереди заявлений, нарушения SLA).</w:t>
      </w:r>
    </w:p>
    <w:p>
      <w:pPr>
        <w:pStyle w:val="ListParagraph"/>
        <w:numPr>
          <w:ilvl w:val="0"/>
          <w:numId w:val="2"/>
        </w:numPr>
        <w:spacing w:after="80" w:line="264"/>
      </w:pPr>
      <w:r>
        <w:rPr>
          <w:b/>
          <w:bCs/>
        </w:rPr>
        <w:t xml:space="preserve">Логи </w:t>
      </w:r>
      <w:r>
        <w:t xml:space="preserve">(Fluentd/Vector → OpenSearch) — структурированные записи событий с корреляционным идентификатором; единый формат для всех сервисов.</w:t>
      </w:r>
    </w:p>
    <w:p>
      <w:pPr>
        <w:pStyle w:val="ListParagraph"/>
        <w:numPr>
          <w:ilvl w:val="0"/>
          <w:numId w:val="2"/>
        </w:numPr>
        <w:spacing w:after="80" w:line="264"/>
      </w:pPr>
      <w:r>
        <w:rPr>
          <w:b/>
          <w:bCs/>
        </w:rPr>
        <w:t xml:space="preserve">Трассировка </w:t>
      </w:r>
      <w:r>
        <w:t xml:space="preserve">(OpenTelemetry + Jaeger) — сквозной путь запроса через все сервисы; выявление узких мест и причин задержек.</w:t>
      </w:r>
    </w:p>
    <w:p>
      <w:pPr>
        <w:spacing w:after="120" w:line="276"/>
      </w:pPr>
      <w:r>
        <w:t xml:space="preserve">Сквозной корреляционный идентификатор (X-Correlation-Id) присваивается на шлюзе и проходит через все слои в логах, трассах и событиях, что позволяет восстановить полную картину обработки конкретного заявления.</w:t>
      </w:r>
    </w:p>
    <w:p>
      <w:pPr>
        <w:pStyle w:val="Heading2"/>
      </w:pPr>
      <w:r>
        <w:t xml:space="preserve">14А.2. Золотые сигналы и SLI</w:t>
      </w:r>
    </w:p>
    <w:p>
      <w:pPr>
        <w:spacing w:after="120" w:line="276"/>
      </w:pPr>
      <w:r>
        <w:t xml:space="preserve">Базовый набор индикаторов уровня обслуживания (SLI) основан на «золотых сигналах»: задержка, трафик, ошибки, насыщенность. SLI измеряются единообразно для всех сервисов.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SLI</w:t>
            </w:r>
          </w:p>
        </w:tc>
        <w:tc>
          <w:tcPr>
            <w:tcW w:type="dxa" w:w="4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Определение</w:t>
            </w:r>
          </w:p>
        </w:tc>
        <w:tc>
          <w:tcPr>
            <w:tcW w:type="dxa" w:w="2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Источник</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Задержка (latency)</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ответа, перцентили P50/P95/P99</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Метрики шлюза/сервиса</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Трафик (traffic)</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Запросов в секунду</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Метрики шлюза</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Ошибки (errors)</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Доля ответов 5xx и таймаутов</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Метрики шлюза/сервиса</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Насыщенность (saturation)</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Утилизация CPU/памяти/очередей</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Метрики ресурсов</w:t>
            </w:r>
          </w:p>
        </w:tc>
      </w:tr>
    </w:tbl>
    <w:p>
      <w:pPr>
        <w:spacing w:after="160" w:before="60" w:line="240"/>
      </w:pPr>
      <w:r>
        <w:rPr>
          <w:i/>
          <w:iCs/>
          <w:color w:val="5A6B7B"/>
          <w:sz w:val="18"/>
          <w:szCs w:val="18"/>
        </w:rPr>
        <w:t xml:space="preserve">Таблица 14А.1 — Базовые индикаторы уровня обслуживания (SLI).</w:t>
      </w:r>
    </w:p>
    <w:p>
      <w:pPr>
        <w:pStyle w:val="Heading2"/>
      </w:pPr>
      <w:r>
        <w:t xml:space="preserve">14А.3. Целевые уровни обслуживания (SLO) и бюджет ошибок</w:t>
      </w:r>
    </w:p>
    <w:p>
      <w:pPr>
        <w:spacing w:after="120" w:line="276"/>
      </w:pPr>
      <w:r>
        <w:t xml:space="preserve">Для ключевых пользовательских путей определены SLO. Разница между 100 % и целью SLO образует бюджет ошибок — допустимый объём сбоев за период. Пока бюджет не исчерпан, команды могут вести активные изменения; исчерпание бюджета приостанавливает рисковые изменения в пользу стабилизации.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Пользовательский путь</w:t>
            </w:r>
          </w:p>
        </w:tc>
        <w:tc>
          <w:tcPr>
            <w:tcW w:type="dxa" w:w="3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SLO</w:t>
            </w:r>
          </w:p>
        </w:tc>
        <w:tc>
          <w:tcPr>
            <w:tcW w:type="dxa" w:w="2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Бюджет ошибок (мес.)</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 портала</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99,95 % успешных запросов</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~21 мин недоступности</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Подача заявления</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99,9 % за ≤ 800 мс (P95)</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~43 мин</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Оплата</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99,95 % успешных операций</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~21 мин</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Получение статуса</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99,9 % за ≤ 500 мс (P95)</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~43 мин</w:t>
            </w:r>
          </w:p>
        </w:tc>
      </w:tr>
    </w:tbl>
    <w:p>
      <w:pPr>
        <w:spacing w:after="160" w:before="60" w:line="240"/>
      </w:pPr>
      <w:r>
        <w:rPr>
          <w:i/>
          <w:iCs/>
          <w:color w:val="5A6B7B"/>
          <w:sz w:val="18"/>
          <w:szCs w:val="18"/>
        </w:rPr>
        <w:t xml:space="preserve">Таблица 14А.2 — Целевые уровни обслуживания и бюджет ошибок.</w:t>
      </w:r>
    </w:p>
    <w:p>
      <w:pPr>
        <w:pStyle w:val="Heading2"/>
      </w:pPr>
      <w:r>
        <w:t xml:space="preserve">14А.4. Оповещения и дежурство</w:t>
      </w:r>
    </w:p>
    <w:p>
      <w:pPr>
        <w:spacing w:after="120" w:line="276"/>
      </w:pPr>
      <w:r>
        <w:t xml:space="preserve">Оповещения (Alertmanager) настроены на нарушение SLO и аномалии золотых сигналов, а не на отдельные технические метрики, чтобы снизить шум. Алерты разделены по серьёзности и направляются дежурной смене. Действует ротация дежурств (on-call) с эскалацией. Каждое оповещение сопровождается эксплуатационной инструкцией (runbook) с шагами диагностики и устранения.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360"/>
      </w:tblGrid>
      <w:tr>
        <w:trPr>
          <w:tblHeader/>
        </w:trPr>
        <w:tc>
          <w:tcPr>
            <w:tcW w:type="dxa" w:w="1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Серьёзность</w:t>
            </w:r>
          </w:p>
        </w:tc>
        <w:tc>
          <w:tcPr>
            <w:tcW w:type="dxa" w:w="41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Условие (пример)</w:t>
            </w:r>
          </w:p>
        </w:tc>
        <w:tc>
          <w:tcPr>
            <w:tcW w:type="dxa" w:w="3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Реакция</w:t>
            </w:r>
          </w:p>
        </w:tc>
      </w:tr>
      <w:tr>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Critical (P1)</w:t>
            </w:r>
          </w:p>
        </w:tc>
        <w:tc>
          <w:tcPr>
            <w:tcW w:type="dxa" w:w="4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Нарушение SLO доступности; недоступность ЦОД</w:t>
            </w:r>
          </w:p>
        </w:tc>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Немедленно, on-call + эскалация</w:t>
            </w:r>
          </w:p>
        </w:tc>
      </w:tr>
      <w:tr>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High (P2)</w:t>
            </w:r>
          </w:p>
        </w:tc>
        <w:tc>
          <w:tcPr>
            <w:tcW w:type="dxa" w:w="4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Рост ошибок/задержек; рост DLQ</w:t>
            </w:r>
          </w:p>
        </w:tc>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 течение часа</w:t>
            </w:r>
          </w:p>
        </w:tc>
      </w:tr>
      <w:tr>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Warning (P3)</w:t>
            </w:r>
          </w:p>
        </w:tc>
        <w:tc>
          <w:tcPr>
            <w:tcW w:type="dxa" w:w="4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Приближение к лимитам ресурсов</w:t>
            </w:r>
          </w:p>
        </w:tc>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 рабочее время</w:t>
            </w:r>
          </w:p>
        </w:tc>
      </w:tr>
      <w:tr>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Info</w:t>
            </w:r>
          </w:p>
        </w:tc>
        <w:tc>
          <w:tcPr>
            <w:tcW w:type="dxa" w:w="4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Информационные события</w:t>
            </w:r>
          </w:p>
        </w:tc>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Без немедленной реакции</w:t>
            </w:r>
          </w:p>
        </w:tc>
      </w:tr>
    </w:tbl>
    <w:p>
      <w:pPr>
        <w:spacing w:after="160" w:before="60" w:line="240"/>
      </w:pPr>
      <w:r>
        <w:rPr>
          <w:i/>
          <w:iCs/>
          <w:color w:val="5A6B7B"/>
          <w:sz w:val="18"/>
          <w:szCs w:val="18"/>
        </w:rPr>
        <w:t xml:space="preserve">Таблица 14А.3 — Классификация оповещений и реакция.</w:t>
      </w:r>
    </w:p>
    <w:p>
      <w:pPr>
        <w:pStyle w:val="Heading2"/>
      </w:pPr>
      <w:r>
        <w:t xml:space="preserve">14А.5. Управление инцидентами и постмортемы</w:t>
      </w:r>
    </w:p>
    <w:p>
      <w:pPr>
        <w:spacing w:after="120" w:line="276"/>
      </w:pPr>
      <w:r>
        <w:t xml:space="preserve">Инциденты обрабатываются по единому процессу: обнаружение → объявление → координация → устранение → восстановление → разбор. Для значимых инцидентов проводится безобвинительный разбор (blameless postmortem) с выявлением системных причин и корректирующими действиями. Метрики процесса — среднее время обнаружения (MTTD) и восстановления (MTTR) — отслеживаются и улучшаются.</w:t>
      </w:r>
    </w:p>
    <w:p>
      <w:pPr>
        <w:pStyle w:val="Heading2"/>
      </w:pPr>
      <w:r>
        <w:t xml:space="preserve">14А.6. Дашборды</w:t>
      </w:r>
    </w:p>
    <w:p>
      <w:pPr>
        <w:spacing w:after="120" w:line="276"/>
      </w:pPr>
      <w:r>
        <w:t xml:space="preserve">Стандартный набор дашбордов Grafana: обзор платформы (золотые сигналы по всем сервисам), дашборд сервиса (SLI/SLO, ресурсы, зависимости), бизнес-дашборд (очереди заявлений, соблюдение сроков по ведомствам), дашборд инфраструктуры (узлы, БД, Kafka), дашборд безопасности (события SIEM). Дашборды версионируются как код вместе с инфраструктурой.</w:t>
      </w:r>
    </w:p>
    <w:p>
      <w:pPr>
        <w:pStyle w:val="Heading1"/>
      </w:pPr>
      <w:r>
        <w:t xml:space="preserve">15. Организация команды и процессов разработки</w:t>
      </w:r>
    </w:p>
    <w:p>
      <w:pPr>
        <w:spacing w:after="120" w:line="276"/>
      </w:pPr>
      <w:r>
        <w:t xml:space="preserve">Разработка и сопровождение Платформы организуются по продуктовой модели с кросс-функциональными командами и выделенной платформенной командой, обеспечивающей общие возможности и стандарты.</w:t>
      </w:r>
    </w:p>
    <w:p>
      <w:pPr>
        <w:pStyle w:val="ListParagraph"/>
        <w:numPr>
          <w:ilvl w:val="0"/>
          <w:numId w:val="2"/>
        </w:numPr>
        <w:spacing w:after="80" w:line="264"/>
      </w:pPr>
      <w:r>
        <w:rPr>
          <w:b/>
          <w:bCs/>
        </w:rPr>
        <w:t xml:space="preserve">Кросс-функциональные команды. </w:t>
      </w:r>
      <w:r>
        <w:t xml:space="preserve">Каждая команда владеет набором доменных сервисов и отвечает за них на всём жизненном цикле (разработка, тестирование, эксплуатация).</w:t>
      </w:r>
    </w:p>
    <w:p>
      <w:pPr>
        <w:pStyle w:val="ListParagraph"/>
        <w:numPr>
          <w:ilvl w:val="0"/>
          <w:numId w:val="2"/>
        </w:numPr>
        <w:spacing w:after="80" w:line="264"/>
      </w:pPr>
      <w:r>
        <w:rPr>
          <w:b/>
          <w:bCs/>
        </w:rPr>
        <w:t xml:space="preserve">Платформенная команда. </w:t>
      </w:r>
      <w:r>
        <w:t xml:space="preserve">Развивает общие возможности (IAM, уведомления, шаблоны сервисов, CI/CD), снимая дублирование с продуктовых команд.</w:t>
      </w:r>
    </w:p>
    <w:p>
      <w:pPr>
        <w:pStyle w:val="ListParagraph"/>
        <w:numPr>
          <w:ilvl w:val="0"/>
          <w:numId w:val="2"/>
        </w:numPr>
        <w:spacing w:after="80" w:line="264"/>
      </w:pPr>
      <w:r>
        <w:rPr>
          <w:b/>
          <w:bCs/>
        </w:rPr>
        <w:t xml:space="preserve">Архитектурный комитет. </w:t>
      </w:r>
      <w:r>
        <w:t xml:space="preserve">Согласует ключевые решения, поддерживает целостность архитектуры, ведёт реестр архитектурных решений (ADR).</w:t>
      </w:r>
    </w:p>
    <w:p>
      <w:pPr>
        <w:pStyle w:val="ListParagraph"/>
        <w:numPr>
          <w:ilvl w:val="0"/>
          <w:numId w:val="2"/>
        </w:numPr>
        <w:spacing w:after="80" w:line="264"/>
      </w:pPr>
      <w:r>
        <w:rPr>
          <w:b/>
          <w:bCs/>
        </w:rPr>
        <w:t xml:space="preserve">Инженерные практики. </w:t>
      </w:r>
      <w:r>
        <w:t xml:space="preserve">ADR, эксплуатационные инструкции (runbook), Developer Portal, типовые шаблоны сервисов, поставка через Harbor + ArgoCD.</w:t>
      </w:r>
    </w:p>
    <w:p>
      <w:pPr>
        <w:spacing w:after="120" w:line="276"/>
      </w:pPr>
      <w:r>
        <w:t xml:space="preserve">Снижение зависимости от дефицитных кадров достигается за счёт единого технологического стека (раздел 5) и Low-Code (раздел 6): значительная часть услуг создаётся без участия разработчиков.</w:t>
      </w:r>
    </w:p>
    <w:p>
      <w:pPr>
        <w:pStyle w:val="Heading1"/>
      </w:pPr>
      <w:r>
        <w:t xml:space="preserve">16. Этапы создания системы</w:t>
      </w:r>
    </w:p>
    <w:p>
      <w:pPr>
        <w:spacing w:after="120" w:line="276"/>
      </w:pPr>
      <w:r>
        <w:t xml:space="preserve">Создание Платформы выполняется поэтапно. Каждый этап завершается измеримым результатом, который служит основанием для перехода к следующему этапу. Сроки указаны от начала работ.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360"/>
        <w:gridCol w:w="1700"/>
      </w:tblGrid>
      <w:tr>
        <w:trPr>
          <w:tblHeader/>
        </w:trPr>
        <w:tc>
          <w:tcPr>
            <w:tcW w:type="dxa" w:w="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Этап</w:t>
            </w:r>
          </w:p>
        </w:tc>
        <w:tc>
          <w:tcPr>
            <w:tcW w:type="dxa" w:w="3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Содержание</w:t>
            </w:r>
          </w:p>
        </w:tc>
        <w:tc>
          <w:tcPr>
            <w:tcW w:type="dxa" w:w="3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Результат</w:t>
            </w:r>
          </w:p>
        </w:tc>
        <w:tc>
          <w:tcPr>
            <w:tcW w:type="dxa" w:w="1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Срок</w:t>
            </w:r>
          </w:p>
        </w:tc>
      </w:tr>
      <w:tr>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3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Обследование, проектирование архитектуры и модели данных</w:t>
            </w:r>
          </w:p>
        </w:tc>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Архитектура, модель данных, ADR, контракты API</w:t>
            </w:r>
          </w:p>
        </w:tc>
        <w:tc>
          <w:tcPr>
            <w:tcW w:type="dxa" w:w="1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1–3 мес.</w:t>
            </w:r>
          </w:p>
        </w:tc>
      </w:tr>
      <w:tr>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3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Развёртывание ядра: K8s, ArgoCD, Harbor, pgBackRest</w:t>
            </w:r>
          </w:p>
        </w:tc>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Инфраструктура и CI/CD; результаты нагрузочного тестирования</w:t>
            </w:r>
          </w:p>
        </w:tc>
        <w:tc>
          <w:tcPr>
            <w:tcW w:type="dxa" w:w="1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3–6 мес.</w:t>
            </w:r>
          </w:p>
        </w:tc>
      </w:tr>
      <w:tr>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w:t>
            </w:r>
          </w:p>
        </w:tc>
        <w:tc>
          <w:tcPr>
            <w:tcW w:type="dxa" w:w="3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Среда создания услуг: Low-Code, Form.io, BPM, Gotenberg</w:t>
            </w:r>
          </w:p>
        </w:tc>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Готовая среда создания услуг</w:t>
            </w:r>
          </w:p>
        </w:tc>
        <w:tc>
          <w:tcPr>
            <w:tcW w:type="dxa" w:w="1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6–9 мес.</w:t>
            </w:r>
          </w:p>
        </w:tc>
      </w:tr>
      <w:tr>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w:t>
            </w:r>
          </w:p>
        </w:tc>
        <w:tc>
          <w:tcPr>
            <w:tcW w:type="dxa" w:w="3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Пилот: Smart Bridge + BFF + первые услуги</w:t>
            </w:r>
          </w:p>
        </w:tc>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5–10 услуг в опытной эксплуатации</w:t>
            </w:r>
          </w:p>
        </w:tc>
        <w:tc>
          <w:tcPr>
            <w:tcW w:type="dxa" w:w="1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9–12 мес.</w:t>
            </w:r>
          </w:p>
        </w:tc>
      </w:tr>
      <w:tr>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w:t>
            </w:r>
          </w:p>
        </w:tc>
        <w:tc>
          <w:tcPr>
            <w:tcW w:type="dxa" w:w="3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Масштабирование каталога, feature flags</w:t>
            </w:r>
          </w:p>
        </w:tc>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Полный каталог услуг</w:t>
            </w:r>
          </w:p>
        </w:tc>
        <w:tc>
          <w:tcPr>
            <w:tcW w:type="dxa" w:w="1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12–24 мес.</w:t>
            </w:r>
          </w:p>
        </w:tc>
      </w:tr>
      <w:tr>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w:t>
            </w:r>
          </w:p>
        </w:tc>
        <w:tc>
          <w:tcPr>
            <w:tcW w:type="dxa" w:w="3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Развитие, проактивные услуги</w:t>
            </w:r>
          </w:p>
        </w:tc>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Зрелая платформа</w:t>
            </w:r>
          </w:p>
        </w:tc>
        <w:tc>
          <w:tcPr>
            <w:tcW w:type="dxa" w:w="1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далее</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Связь с capacity planning. </w:t>
            </w:r>
            <w:r>
              <w:rPr>
                <w:sz w:val="21"/>
                <w:szCs w:val="21"/>
              </w:rPr>
              <w:t xml:space="preserve">Нагрузочное тестирование на этапе 2 уточняет фактические объёмы ресурсов (раздел 12.3) до масштабирования каталога услуг.</w:t>
            </w:r>
          </w:p>
        </w:tc>
      </w:tr>
    </w:tbl>
    <w:p>
      <w:pPr>
        <w:pStyle w:val="Heading1"/>
      </w:pPr>
      <w:r>
        <w:t xml:space="preserve">16А. Детализация плана работ</w:t>
      </w:r>
    </w:p>
    <w:p>
      <w:pPr>
        <w:spacing w:after="120" w:line="276"/>
      </w:pPr>
      <w:r>
        <w:t xml:space="preserve">Настоящий раздел детализирует этапы создания (раздел 16): состав работ, ключевые результаты (артефакты) и зависимости. План является ориентировочным и уточняется при заключении договора.</w:t>
      </w:r>
    </w:p>
    <w:p>
      <w:pPr>
        <w:pStyle w:val="Heading2"/>
      </w:pPr>
      <w:r>
        <w:t xml:space="preserve">16А.1. Этап 1. Обследование и проектирование</w:t>
      </w:r>
    </w:p>
    <w:p>
      <w:pPr>
        <w:pStyle w:val="ListParagraph"/>
        <w:numPr>
          <w:ilvl w:val="0"/>
          <w:numId w:val="2"/>
        </w:numPr>
        <w:spacing w:after="80" w:line="264"/>
      </w:pPr>
      <w:r>
        <w:t xml:space="preserve">обследование услуг и источников данных; уточнение требований;</w:t>
      </w:r>
    </w:p>
    <w:p>
      <w:pPr>
        <w:pStyle w:val="ListParagraph"/>
        <w:numPr>
          <w:ilvl w:val="0"/>
          <w:numId w:val="2"/>
        </w:numPr>
        <w:spacing w:after="80" w:line="264"/>
      </w:pPr>
      <w:r>
        <w:t xml:space="preserve">проектирование архитектуры, модели данных, границ сервисов (ADR);</w:t>
      </w:r>
    </w:p>
    <w:p>
      <w:pPr>
        <w:pStyle w:val="ListParagraph"/>
        <w:numPr>
          <w:ilvl w:val="0"/>
          <w:numId w:val="2"/>
        </w:numPr>
        <w:spacing w:after="80" w:line="264"/>
      </w:pPr>
      <w:r>
        <w:t xml:space="preserve">разработка контрактов API и схем событий ключевых сервисов;</w:t>
      </w:r>
    </w:p>
    <w:p>
      <w:pPr>
        <w:pStyle w:val="ListParagraph"/>
        <w:numPr>
          <w:ilvl w:val="0"/>
          <w:numId w:val="2"/>
        </w:numPr>
        <w:spacing w:after="80" w:line="264"/>
      </w:pPr>
      <w:r>
        <w:t xml:space="preserve">проектирование модели безопасности и угроз.</w:t>
      </w:r>
    </w:p>
    <w:p>
      <w:pPr>
        <w:spacing w:after="120" w:line="276"/>
      </w:pPr>
      <w:r>
        <w:rPr>
          <w:i/>
          <w:iCs/>
          <w:color w:val="5A6B7B"/>
        </w:rPr>
        <w:t xml:space="preserve">Результаты: архитектурное описание, реестр ADR, контракты, модель данных, модель угроз.</w:t>
      </w:r>
    </w:p>
    <w:p>
      <w:pPr>
        <w:pStyle w:val="Heading2"/>
      </w:pPr>
      <w:r>
        <w:t xml:space="preserve">16А.2. Этап 2. Развёртывание ядра и инфраструктуры</w:t>
      </w:r>
    </w:p>
    <w:p>
      <w:pPr>
        <w:pStyle w:val="ListParagraph"/>
        <w:numPr>
          <w:ilvl w:val="0"/>
          <w:numId w:val="2"/>
        </w:numPr>
        <w:spacing w:after="80" w:line="264"/>
      </w:pPr>
      <w:r>
        <w:t xml:space="preserve">развёртывание кластеров Kubernetes в двух ЦОД;</w:t>
      </w:r>
    </w:p>
    <w:p>
      <w:pPr>
        <w:pStyle w:val="ListParagraph"/>
        <w:numPr>
          <w:ilvl w:val="0"/>
          <w:numId w:val="2"/>
        </w:numPr>
        <w:spacing w:after="80" w:line="264"/>
      </w:pPr>
      <w:r>
        <w:t xml:space="preserve">настройка CI/CD, GitOps (ArgoCD), реестра образов (Harbor);</w:t>
      </w:r>
    </w:p>
    <w:p>
      <w:pPr>
        <w:pStyle w:val="ListParagraph"/>
        <w:numPr>
          <w:ilvl w:val="0"/>
          <w:numId w:val="2"/>
        </w:numPr>
        <w:spacing w:after="80" w:line="264"/>
      </w:pPr>
      <w:r>
        <w:t xml:space="preserve">развёртывание СУБД, Kafka, Redis, наблюдаемости; резервное копирование (pgBackRest);</w:t>
      </w:r>
    </w:p>
    <w:p>
      <w:pPr>
        <w:pStyle w:val="ListParagraph"/>
        <w:numPr>
          <w:ilvl w:val="0"/>
          <w:numId w:val="2"/>
        </w:numPr>
        <w:spacing w:after="80" w:line="264"/>
      </w:pPr>
      <w:r>
        <w:t xml:space="preserve">нагрузочное тестирование инфраструктуры, уточнение ёмкости (раздел 12.3).</w:t>
      </w:r>
    </w:p>
    <w:p>
      <w:pPr>
        <w:spacing w:after="120" w:line="276"/>
      </w:pPr>
      <w:r>
        <w:rPr>
          <w:i/>
          <w:iCs/>
          <w:color w:val="5A6B7B"/>
        </w:rPr>
        <w:t xml:space="preserve">Результаты: работающая инфраструктура, конвейеры поставки, результаты нагрузочного теста.</w:t>
      </w:r>
    </w:p>
    <w:p>
      <w:pPr>
        <w:pStyle w:val="Heading2"/>
      </w:pPr>
      <w:r>
        <w:t xml:space="preserve">16А.3. Этап 3. Среда создания услуг</w:t>
      </w:r>
    </w:p>
    <w:p>
      <w:pPr>
        <w:pStyle w:val="ListParagraph"/>
        <w:numPr>
          <w:ilvl w:val="0"/>
          <w:numId w:val="2"/>
        </w:numPr>
        <w:spacing w:after="80" w:line="264"/>
      </w:pPr>
      <w:r>
        <w:t xml:space="preserve">развёртывание и настройка BPM-движка (Camunda 7 / альт. open-source), Form.io, правил DMN;</w:t>
      </w:r>
    </w:p>
    <w:p>
      <w:pPr>
        <w:pStyle w:val="ListParagraph"/>
        <w:numPr>
          <w:ilvl w:val="0"/>
          <w:numId w:val="2"/>
        </w:numPr>
        <w:spacing w:after="80" w:line="264"/>
      </w:pPr>
      <w:r>
        <w:t xml:space="preserve">реализация платформенных возможностей (IAM, уведомления, документы, НСИ);</w:t>
      </w:r>
    </w:p>
    <w:p>
      <w:pPr>
        <w:pStyle w:val="ListParagraph"/>
        <w:numPr>
          <w:ilvl w:val="0"/>
          <w:numId w:val="2"/>
        </w:numPr>
        <w:spacing w:after="80" w:line="264"/>
      </w:pPr>
      <w:r>
        <w:t xml:space="preserve">настройка конструкторов Low-Code и песочницы.</w:t>
      </w:r>
    </w:p>
    <w:p>
      <w:pPr>
        <w:spacing w:after="120" w:line="276"/>
      </w:pPr>
      <w:r>
        <w:rPr>
          <w:i/>
          <w:iCs/>
          <w:color w:val="5A6B7B"/>
        </w:rPr>
        <w:t xml:space="preserve">Результаты: готовая среда создания услуг, платформенные сервисы.</w:t>
      </w:r>
    </w:p>
    <w:p>
      <w:pPr>
        <w:pStyle w:val="Heading2"/>
      </w:pPr>
      <w:r>
        <w:t xml:space="preserve">16А.4. Этап 4. Пилот</w:t>
      </w:r>
    </w:p>
    <w:p>
      <w:pPr>
        <w:pStyle w:val="ListParagraph"/>
        <w:numPr>
          <w:ilvl w:val="0"/>
          <w:numId w:val="2"/>
        </w:numPr>
        <w:spacing w:after="80" w:line="264"/>
      </w:pPr>
      <w:r>
        <w:t xml:space="preserve">подключение Smart Bridge и первых ведомств (волна 1);</w:t>
      </w:r>
    </w:p>
    <w:p>
      <w:pPr>
        <w:pStyle w:val="ListParagraph"/>
        <w:numPr>
          <w:ilvl w:val="0"/>
          <w:numId w:val="2"/>
        </w:numPr>
        <w:spacing w:after="80" w:line="264"/>
      </w:pPr>
      <w:r>
        <w:t xml:space="preserve">реализация BFF и первых услуг (5–10);</w:t>
      </w:r>
    </w:p>
    <w:p>
      <w:pPr>
        <w:pStyle w:val="ListParagraph"/>
        <w:numPr>
          <w:ilvl w:val="0"/>
          <w:numId w:val="2"/>
        </w:numPr>
        <w:spacing w:after="80" w:line="264"/>
      </w:pPr>
      <w:r>
        <w:t xml:space="preserve">проверка эталонных сценариев; опытная эксплуатация.</w:t>
      </w:r>
    </w:p>
    <w:p>
      <w:pPr>
        <w:spacing w:after="120" w:line="276"/>
      </w:pPr>
      <w:r>
        <w:rPr>
          <w:i/>
          <w:iCs/>
          <w:color w:val="5A6B7B"/>
        </w:rPr>
        <w:t xml:space="preserve">Результаты: первые услуги в опытной эксплуатации, подтверждённые сценарии.</w:t>
      </w:r>
    </w:p>
    <w:p>
      <w:pPr>
        <w:pStyle w:val="Heading2"/>
      </w:pPr>
      <w:r>
        <w:t xml:space="preserve">16А.5. Этап 5. Масштабирование</w:t>
      </w:r>
    </w:p>
    <w:p>
      <w:pPr>
        <w:pStyle w:val="ListParagraph"/>
        <w:numPr>
          <w:ilvl w:val="0"/>
          <w:numId w:val="2"/>
        </w:numPr>
        <w:spacing w:after="80" w:line="264"/>
      </w:pPr>
      <w:r>
        <w:t xml:space="preserve">перенос услуг волнами (раздел 17А); расширение каталога;</w:t>
      </w:r>
    </w:p>
    <w:p>
      <w:pPr>
        <w:pStyle w:val="ListParagraph"/>
        <w:numPr>
          <w:ilvl w:val="0"/>
          <w:numId w:val="2"/>
        </w:numPr>
        <w:spacing w:after="80" w:line="264"/>
      </w:pPr>
      <w:r>
        <w:t xml:space="preserve">подключение ведомств волны 2; управление выкаткой (feature flags).</w:t>
      </w:r>
    </w:p>
    <w:p>
      <w:pPr>
        <w:spacing w:after="120" w:line="276"/>
      </w:pPr>
      <w:r>
        <w:rPr>
          <w:i/>
          <w:iCs/>
          <w:color w:val="5A6B7B"/>
        </w:rPr>
        <w:t xml:space="preserve">Результаты: полный каталог услуг в эксплуатации.</w:t>
      </w:r>
    </w:p>
    <w:p>
      <w:pPr>
        <w:pStyle w:val="Heading2"/>
      </w:pPr>
      <w:r>
        <w:t xml:space="preserve">16А.6. Этап 6. Развитие</w:t>
      </w:r>
    </w:p>
    <w:p>
      <w:pPr>
        <w:pStyle w:val="ListParagraph"/>
        <w:numPr>
          <w:ilvl w:val="0"/>
          <w:numId w:val="2"/>
        </w:numPr>
        <w:spacing w:after="80" w:line="264"/>
      </w:pPr>
      <w:r>
        <w:t xml:space="preserve">проактивные услуги; оптимизация; развитие платформенных возможностей.</w:t>
      </w:r>
    </w:p>
    <w:p>
      <w:pPr>
        <w:spacing w:after="120" w:line="276"/>
      </w:pPr>
      <w:r>
        <w:rPr>
          <w:i/>
          <w:iCs/>
          <w:color w:val="5A6B7B"/>
        </w:rPr>
        <w:t xml:space="preserve">Результаты: зрелая платформа, проактивное оказание услуг.</w:t>
      </w:r>
    </w:p>
    <w:p>
      <w:pPr>
        <w:pStyle w:val="Heading2"/>
      </w:pPr>
      <w:r>
        <w:t xml:space="preserve">16А.7. Зависимости и критический путь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Этап</w:t>
            </w:r>
          </w:p>
        </w:tc>
        <w:tc>
          <w:tcPr>
            <w:tcW w:type="dxa" w:w="3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Зависит от</w:t>
            </w:r>
          </w:p>
        </w:tc>
        <w:tc>
          <w:tcPr>
            <w:tcW w:type="dxa" w:w="3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Ключевая зависимость</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 Ядро</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Этап 1</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Утверждённая архитектура</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 Среда услуг</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Этап 2</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Работающая инфраструктура</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 Пилот</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Этап 3 + Smart Bridge</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Готовность среды и интеграции</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 Масштабирование</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Этап 4</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Подтверждённые сценарии</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 Развитие</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Этап 5</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Полный каталог</w:t>
            </w:r>
          </w:p>
        </w:tc>
      </w:tr>
    </w:tbl>
    <w:p>
      <w:pPr>
        <w:spacing w:after="160" w:before="60" w:line="240"/>
      </w:pPr>
      <w:r>
        <w:rPr>
          <w:i/>
          <w:iCs/>
          <w:color w:val="5A6B7B"/>
          <w:sz w:val="18"/>
          <w:szCs w:val="18"/>
        </w:rPr>
        <w:t xml:space="preserve">Таблица 16А.1 — Зависимости этапов (критический путь).</w:t>
      </w:r>
    </w:p>
    <w:p>
      <w:pPr>
        <w:pStyle w:val="Heading1"/>
      </w:pPr>
      <w:r>
        <w:t xml:space="preserve">17. Миграция</w:t>
      </w:r>
    </w:p>
    <w:p>
      <w:pPr>
        <w:spacing w:after="120" w:line="276"/>
      </w:pPr>
      <w:r>
        <w:t xml:space="preserve">Перевод услуг и данных на Платформу выполняется поэтапно, волнами, синхронизированными с подключением ведомств (раздел 13). Принципы миграции:</w:t>
      </w:r>
    </w:p>
    <w:p>
      <w:pPr>
        <w:pStyle w:val="ListParagraph"/>
        <w:numPr>
          <w:ilvl w:val="0"/>
          <w:numId w:val="2"/>
        </w:numPr>
        <w:spacing w:after="80" w:line="264"/>
      </w:pPr>
      <w:r>
        <w:rPr>
          <w:b/>
          <w:bCs/>
        </w:rPr>
        <w:t xml:space="preserve">Поэтапность по волнам. </w:t>
      </w:r>
      <w:r>
        <w:t xml:space="preserve">Услуги переносятся группами; объём каждой волны ограничен для управляемости рисков.</w:t>
      </w:r>
    </w:p>
    <w:p>
      <w:pPr>
        <w:pStyle w:val="ListParagraph"/>
        <w:numPr>
          <w:ilvl w:val="0"/>
          <w:numId w:val="2"/>
        </w:numPr>
        <w:spacing w:after="80" w:line="264"/>
      </w:pPr>
      <w:r>
        <w:rPr>
          <w:b/>
          <w:bCs/>
        </w:rPr>
        <w:t xml:space="preserve">Параллельная работа. </w:t>
      </w:r>
      <w:r>
        <w:t xml:space="preserve">На период перехода старые и новые каналы могут работать одновременно во избежание перерыва в обслуживании.</w:t>
      </w:r>
    </w:p>
    <w:p>
      <w:pPr>
        <w:pStyle w:val="ListParagraph"/>
        <w:numPr>
          <w:ilvl w:val="0"/>
          <w:numId w:val="2"/>
        </w:numPr>
        <w:spacing w:after="80" w:line="264"/>
      </w:pPr>
      <w:r>
        <w:rPr>
          <w:b/>
          <w:bCs/>
        </w:rPr>
        <w:t xml:space="preserve">Резервное копирование. </w:t>
      </w:r>
      <w:r>
        <w:t xml:space="preserve">Перед каждой волной выполняется резервная копия (pgBackRest).</w:t>
      </w:r>
    </w:p>
    <w:p>
      <w:pPr>
        <w:pStyle w:val="ListParagraph"/>
        <w:numPr>
          <w:ilvl w:val="0"/>
          <w:numId w:val="2"/>
        </w:numPr>
        <w:spacing w:after="80" w:line="264"/>
      </w:pPr>
      <w:r>
        <w:rPr>
          <w:b/>
          <w:bCs/>
        </w:rPr>
        <w:t xml:space="preserve">План отката. </w:t>
      </w:r>
      <w:r>
        <w:t xml:space="preserve">Для каждой волны подготовлен план отката к предыдущему состоянию.</w:t>
      </w:r>
    </w:p>
    <w:p>
      <w:pPr>
        <w:pStyle w:val="Heading1"/>
      </w:pPr>
      <w:r>
        <w:t xml:space="preserve">17А. Детальный план миграции</w:t>
      </w:r>
    </w:p>
    <w:p>
      <w:pPr>
        <w:spacing w:after="120" w:line="276"/>
      </w:pPr>
      <w:r>
        <w:t xml:space="preserve">Настоящий раздел детализирует подход к миграции (раздел 17): этапы переноса, подход к переносу данных, порядок переключения (cutover) и отката. Миграция синхронизирована с волнами подключения ведомств (раздел 13) и этапами создания (раздел 16).</w:t>
      </w:r>
    </w:p>
    <w:p>
      <w:pPr>
        <w:pStyle w:val="Heading2"/>
      </w:pPr>
      <w:r>
        <w:t xml:space="preserve">17А.1. Принципы миграции</w:t>
      </w:r>
    </w:p>
    <w:p>
      <w:pPr>
        <w:pStyle w:val="ListParagraph"/>
        <w:numPr>
          <w:ilvl w:val="0"/>
          <w:numId w:val="2"/>
        </w:numPr>
        <w:spacing w:after="80" w:line="264"/>
      </w:pPr>
      <w:r>
        <w:rPr>
          <w:b/>
          <w:bCs/>
        </w:rPr>
        <w:t xml:space="preserve">Поэтапность. </w:t>
      </w:r>
      <w:r>
        <w:t xml:space="preserve">Перенос группами услуг (волнами); объём волны ограничен для управляемости.</w:t>
      </w:r>
    </w:p>
    <w:p>
      <w:pPr>
        <w:pStyle w:val="ListParagraph"/>
        <w:numPr>
          <w:ilvl w:val="0"/>
          <w:numId w:val="2"/>
        </w:numPr>
        <w:spacing w:after="80" w:line="264"/>
      </w:pPr>
      <w:r>
        <w:rPr>
          <w:b/>
          <w:bCs/>
        </w:rPr>
        <w:t xml:space="preserve">Параллельная работа. </w:t>
      </w:r>
      <w:r>
        <w:t xml:space="preserve">На переходный период допускается одновременная работа прежних и новых каналов.</w:t>
      </w:r>
    </w:p>
    <w:p>
      <w:pPr>
        <w:pStyle w:val="ListParagraph"/>
        <w:numPr>
          <w:ilvl w:val="0"/>
          <w:numId w:val="2"/>
        </w:numPr>
        <w:spacing w:after="80" w:line="264"/>
      </w:pPr>
      <w:r>
        <w:rPr>
          <w:b/>
          <w:bCs/>
        </w:rPr>
        <w:t xml:space="preserve">Обратимость. </w:t>
      </w:r>
      <w:r>
        <w:t xml:space="preserve">Для каждой волны подготовлен план отката к предыдущему состоянию.</w:t>
      </w:r>
    </w:p>
    <w:p>
      <w:pPr>
        <w:pStyle w:val="ListParagraph"/>
        <w:numPr>
          <w:ilvl w:val="0"/>
          <w:numId w:val="2"/>
        </w:numPr>
        <w:spacing w:after="80" w:line="264"/>
      </w:pPr>
      <w:r>
        <w:rPr>
          <w:b/>
          <w:bCs/>
        </w:rPr>
        <w:t xml:space="preserve">Сохранность. </w:t>
      </w:r>
      <w:r>
        <w:t xml:space="preserve">Перед каждой волной — резервная копия (pgBackRest); проверка целостности после переноса.</w:t>
      </w:r>
    </w:p>
    <w:p>
      <w:pPr>
        <w:pStyle w:val="Heading2"/>
      </w:pPr>
      <w:r>
        <w:t xml:space="preserve">17А.2. Этапы переноса услуги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tblHeader/>
        </w:trPr>
        <w:tc>
          <w:tcPr>
            <w:tcW w:type="dxa" w:w="2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Этап</w:t>
            </w:r>
          </w:p>
        </w:tc>
        <w:tc>
          <w:tcPr>
            <w:tcW w:type="dxa" w:w="3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Содержание</w:t>
            </w:r>
          </w:p>
        </w:tc>
        <w:tc>
          <w:tcPr>
            <w:tcW w:type="dxa" w:w="34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Критерий завершения</w:t>
            </w:r>
          </w:p>
        </w:tc>
      </w:tr>
      <w:tr>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Анализ</w:t>
            </w:r>
          </w:p>
        </w:tc>
        <w:tc>
          <w:tcPr>
            <w:tcW w:type="dxa" w:w="3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Изучение текущего регламента и данных услуги</w:t>
            </w:r>
          </w:p>
        </w:tc>
        <w:tc>
          <w:tcPr>
            <w:tcW w:type="dxa" w:w="3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Описание услуги по шаблону (Прил. Ж)</w:t>
            </w:r>
          </w:p>
        </w:tc>
      </w:tr>
      <w:tr>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Сборка</w:t>
            </w:r>
          </w:p>
        </w:tc>
        <w:tc>
          <w:tcPr>
            <w:tcW w:type="dxa" w:w="3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Создание процесса, формы, правил в Low-Code</w:t>
            </w:r>
          </w:p>
        </w:tc>
        <w:tc>
          <w:tcPr>
            <w:tcW w:type="dxa" w:w="3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Услуга собрана в песочнице</w:t>
            </w:r>
          </w:p>
        </w:tc>
      </w:tr>
      <w:tr>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Интеграция</w:t>
            </w:r>
          </w:p>
        </w:tc>
        <w:tc>
          <w:tcPr>
            <w:tcW w:type="dxa" w:w="3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Настройка межведомственных запросов</w:t>
            </w:r>
          </w:p>
        </w:tc>
        <w:tc>
          <w:tcPr>
            <w:tcW w:type="dxa" w:w="3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Запросы проходят в тестовой среде</w:t>
            </w:r>
          </w:p>
        </w:tc>
      </w:tr>
      <w:tr>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Тестирование</w:t>
            </w:r>
          </w:p>
        </w:tc>
        <w:tc>
          <w:tcPr>
            <w:tcW w:type="dxa" w:w="3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Проверка по эталонным сценариям</w:t>
            </w:r>
          </w:p>
        </w:tc>
        <w:tc>
          <w:tcPr>
            <w:tcW w:type="dxa" w:w="3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UC-A/B/C пройдены</w:t>
            </w:r>
          </w:p>
        </w:tc>
      </w:tr>
      <w:tr>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Опытная эксплуатация</w:t>
            </w:r>
          </w:p>
        </w:tc>
        <w:tc>
          <w:tcPr>
            <w:tcW w:type="dxa" w:w="3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Ограниченный запуск (canary)</w:t>
            </w:r>
          </w:p>
        </w:tc>
        <w:tc>
          <w:tcPr>
            <w:tcW w:type="dxa" w:w="3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Показатели в норме</w:t>
            </w:r>
          </w:p>
        </w:tc>
      </w:tr>
      <w:tr>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Полный запуск</w:t>
            </w:r>
          </w:p>
        </w:tc>
        <w:tc>
          <w:tcPr>
            <w:tcW w:type="dxa" w:w="3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Включение для всех пользователей</w:t>
            </w:r>
          </w:p>
        </w:tc>
        <w:tc>
          <w:tcPr>
            <w:tcW w:type="dxa" w:w="3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Стабильные метрики, SLA</w:t>
            </w:r>
          </w:p>
        </w:tc>
      </w:tr>
    </w:tbl>
    <w:p>
      <w:pPr>
        <w:spacing w:after="160" w:before="60" w:line="240"/>
      </w:pPr>
      <w:r>
        <w:rPr>
          <w:i/>
          <w:iCs/>
          <w:color w:val="5A6B7B"/>
          <w:sz w:val="18"/>
          <w:szCs w:val="18"/>
        </w:rPr>
        <w:t xml:space="preserve">Таблица 17А.1 — Этапы переноса отдельной услуги.</w:t>
      </w:r>
    </w:p>
    <w:p>
      <w:pPr>
        <w:pStyle w:val="Heading2"/>
      </w:pPr>
      <w:r>
        <w:t xml:space="preserve">17А.3. Перенос данных</w:t>
      </w:r>
    </w:p>
    <w:p>
      <w:pPr>
        <w:spacing w:after="120" w:line="276"/>
      </w:pPr>
      <w:r>
        <w:t xml:space="preserve">Перенос данных (где применимо) выполняется по принципу «извлечение — преобразование — загрузка» с обязательной валидацией. Источником истинных сведений остаются государственные реестры (доступ через Smart Bridge), поэтому объём переносимых на Платформу данных минимизируется в соответствии с принципом Once-Only. Переносятся преимущественно метаданные услуг и незавершённые обращения, если это требуется регламентом.</w:t>
      </w:r>
    </w:p>
    <w:p>
      <w:pPr>
        <w:pStyle w:val="ListParagraph"/>
        <w:numPr>
          <w:ilvl w:val="0"/>
          <w:numId w:val="7"/>
        </w:numPr>
        <w:spacing w:after="80" w:line="264"/>
      </w:pPr>
      <w:r>
        <w:t xml:space="preserve">Извлечение данных из источника в согласованном формате.</w:t>
      </w:r>
    </w:p>
    <w:p>
      <w:pPr>
        <w:pStyle w:val="ListParagraph"/>
        <w:numPr>
          <w:ilvl w:val="0"/>
          <w:numId w:val="7"/>
        </w:numPr>
        <w:spacing w:after="80" w:line="264"/>
      </w:pPr>
      <w:r>
        <w:t xml:space="preserve">Преобразование во внутреннюю модель с проверкой качества (полнота, форматы, ссылочная целостность).</w:t>
      </w:r>
    </w:p>
    <w:p>
      <w:pPr>
        <w:pStyle w:val="ListParagraph"/>
        <w:numPr>
          <w:ilvl w:val="0"/>
          <w:numId w:val="7"/>
        </w:numPr>
        <w:spacing w:after="80" w:line="264"/>
      </w:pPr>
      <w:r>
        <w:t xml:space="preserve">Загрузка в целевые сервисы через их API/механизмы импорта.</w:t>
      </w:r>
    </w:p>
    <w:p>
      <w:pPr>
        <w:pStyle w:val="ListParagraph"/>
        <w:numPr>
          <w:ilvl w:val="0"/>
          <w:numId w:val="7"/>
        </w:numPr>
        <w:spacing w:after="80" w:line="264"/>
      </w:pPr>
      <w:r>
        <w:t xml:space="preserve">Сверка: сопоставление контрольных сумм и выборочная проверка.</w:t>
      </w:r>
    </w:p>
    <w:p>
      <w:pPr>
        <w:pStyle w:val="ListParagraph"/>
        <w:numPr>
          <w:ilvl w:val="0"/>
          <w:numId w:val="7"/>
        </w:numPr>
        <w:spacing w:after="80" w:line="264"/>
      </w:pPr>
      <w:r>
        <w:t xml:space="preserve">Фиксация результатов и журналирование расхождений.</w:t>
      </w:r>
    </w:p>
    <w:p>
      <w:pPr>
        <w:pStyle w:val="Heading2"/>
      </w:pPr>
      <w:r>
        <w:t xml:space="preserve">17А.4. Переключение (cutover) и откат</w:t>
      </w:r>
    </w:p>
    <w:p>
      <w:pPr>
        <w:spacing w:after="120" w:line="276"/>
      </w:pPr>
      <w:r>
        <w:t xml:space="preserve">Переключение выполняется в согласованное окно с минимальным влиянием на пользователей. Применяется поэтапное переключение трафика (canary). Если контрольные метрики выходят за допустимые пределы, выполняется откат: трафик возвращается на прежний контур, изменения отменяются (GitOps revert, feature flag off), при необходимости данные восстанавливаются из резервной копии. Решение о фиксации или откате принимается по заранее определённым критериям успешности.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Критерий cutover</w:t>
            </w:r>
          </w:p>
        </w:tc>
        <w:tc>
          <w:tcPr>
            <w:tcW w:type="dxa" w:w="3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Порог фиксации</w:t>
            </w:r>
          </w:p>
        </w:tc>
        <w:tc>
          <w:tcPr>
            <w:tcW w:type="dxa" w:w="2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Действие при нарушении</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Доля ошибок (5xx)</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 пределах бюджета ошибок</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Откат</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Задержка P95</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 пределах SLO</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Откат</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Успешность ключевых сценариев</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целевого</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Откат</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Отсутствие критических инцидентов</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Откат</w:t>
            </w:r>
          </w:p>
        </w:tc>
      </w:tr>
    </w:tbl>
    <w:p>
      <w:pPr>
        <w:spacing w:after="160" w:before="60" w:line="240"/>
      </w:pPr>
      <w:r>
        <w:rPr>
          <w:i/>
          <w:iCs/>
          <w:color w:val="5A6B7B"/>
          <w:sz w:val="18"/>
          <w:szCs w:val="18"/>
        </w:rPr>
        <w:t xml:space="preserve">Таблица 17А.2 — Критерии принятия решения о переключении/откате.</w:t>
      </w:r>
    </w:p>
    <w:p>
      <w:pPr>
        <w:pStyle w:val="Heading1"/>
      </w:pPr>
      <w:r>
        <w:t xml:space="preserve">18. Управление рисками</w:t>
      </w:r>
    </w:p>
    <w:p>
      <w:pPr>
        <w:spacing w:after="120" w:line="276"/>
      </w:pPr>
      <w:r>
        <w:t xml:space="preserve">Ключевые риски проекта, их категории и меры реагирования приведены ниже. Реестр рисков актуализируется на протяжении проекта; для каждого риска назначается владелец.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Риск</w:t>
            </w:r>
          </w:p>
        </w:tc>
        <w:tc>
          <w:tcPr>
            <w:tcW w:type="dxa" w:w="2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Категория</w:t>
            </w:r>
          </w:p>
        </w:tc>
        <w:tc>
          <w:tcPr>
            <w:tcW w:type="dxa" w:w="4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Меры реагирования</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Сопровождение/EOL BPM-движка</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Технологический</w:t>
            </w:r>
          </w:p>
        </w:tc>
        <w:tc>
          <w:tcPr>
            <w:tcW w:type="dxa" w:w="4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Open-source совместимый движок (CIB seven / Operaton / Flowable); переносимые BPMN-модели</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Недоступность Smart Bridge</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Интеграционный</w:t>
            </w:r>
          </w:p>
        </w:tc>
        <w:tc>
          <w:tcPr>
            <w:tcW w:type="dxa" w:w="4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Circuit breaker, retry, DLQ, кэширование</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Ошибки при миграции данных</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Данные</w:t>
            </w:r>
          </w:p>
        </w:tc>
        <w:tc>
          <w:tcPr>
            <w:tcW w:type="dxa" w:w="4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pgBackRest PITR, план отката, поэтапность</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Дефицит квалифицированных кадров</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Кадровый</w:t>
            </w:r>
          </w:p>
        </w:tc>
        <w:tc>
          <w:tcPr>
            <w:tcW w:type="dxa" w:w="4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Единый стек, Low-Code, обучение</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DDoS-атаки и попытки взлома</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Безопасность</w:t>
            </w:r>
          </w:p>
        </w:tc>
        <w:tc>
          <w:tcPr>
            <w:tcW w:type="dxa" w:w="4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WAF и DDoS-защита на уровне ЦОД, SIEM/SOC, пентесты</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Низкое принятие пользователями</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Продуктовый</w:t>
            </w:r>
          </w:p>
        </w:tc>
        <w:tc>
          <w:tcPr>
            <w:tcW w:type="dxa" w:w="4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Мобильный приоритет, BFF, ориентация на жизненные ситуации</w:t>
            </w:r>
          </w:p>
        </w:tc>
      </w:tr>
    </w:tbl>
    <w:p>
      <w:pPr>
        <w:pStyle w:val="Heading1"/>
      </w:pPr>
      <w:r>
        <w:t xml:space="preserve">19. Структура затрат</w:t>
      </w:r>
    </w:p>
    <w:p>
      <w:pPr>
        <w:spacing w:after="120" w:line="276"/>
      </w:pPr>
      <w:r>
        <w:t xml:space="preserve">Настоящий раздел определяет структуру (категории) затрат на создание и эксплуатацию Системы без указания денежных сумм. Конкретные стоимостные значения определяются на этапе сметного планирования и по результатам конкурсных процедур. Структура служит чек-листом полноты бюджета.</w:t>
      </w:r>
    </w:p>
    <w:p>
      <w:pPr>
        <w:pStyle w:val="Heading2"/>
      </w:pPr>
      <w:r>
        <w:t xml:space="preserve">19.1. Капитальные затраты (CAPEX) — создание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Категория</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Состав</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Разработка ПО</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Работы команд: доменные сервисы, BFF, фронтенд, мобильные приложения, интеграции.</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Лицензии (единовременные)</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Камунда 8 и иные коммерческие компоненты, если применимо в формате единовременной поставки.</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Оборудование / инфраструктура</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Серверы вычисления и хранения для двух ЦОД, сетевое оборудование.</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Внедрение</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Развёртывание, настройка, миграция данных, опытная эксплуатация.</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Проектирование и аудит</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Обследование, проектирование, аудит информационной безопасности, пентесты.</w:t>
            </w:r>
          </w:p>
        </w:tc>
      </w:tr>
    </w:tbl>
    <w:p>
      <w:pPr>
        <w:pStyle w:val="Heading2"/>
      </w:pPr>
      <w:r>
        <w:t xml:space="preserve">19.2. Операционные затраты (OPEX) — эксплуатация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Категория</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Состав</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Лицензии и поддержка (подписка)</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Коммерческая PostgreSQL (24/7), иные подписки. BPM-движок — open-source, без лицензии.</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Размещение в ЦОД</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Аренда/содержание стоек, электропитание, охлаждение, выделенный канал между ЦОД.</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Сопровождение и развитие</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Команды разработки и эксплуатации, развитие каталога услуг.</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Каналы доставки уведомлений</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SMS-агрегатор, e-mail relay, push (по трафику).</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Мониторинг безопасности</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SIEM/SOC, регулярные пентесты, обновления средств защиты.</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Обучение и поддержка пользователей</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Обучение специалистов ведомств и администраторов, служба поддержки.</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Примечание. </w:t>
            </w:r>
            <w:r>
              <w:rPr>
                <w:sz w:val="21"/>
                <w:szCs w:val="21"/>
              </w:rPr>
              <w:t xml:space="preserve">Опора на свободное ПО (раздел 5.1) смещает структуру затрат от лицензионных платежей к работам по разработке и сопровождению, снижая зависимость от поставщиков проприетарных продуктов.</w:t>
            </w:r>
          </w:p>
        </w:tc>
      </w:tr>
    </w:tbl>
    <w:p>
      <w:pPr>
        <w:pStyle w:val="Heading1"/>
      </w:pPr>
      <w:r>
        <w:t xml:space="preserve">19А. Структура затрат: детализация</w:t>
      </w:r>
    </w:p>
    <w:p>
      <w:pPr>
        <w:spacing w:after="120" w:line="276"/>
      </w:pPr>
      <w:r>
        <w:t xml:space="preserve">Настоящий раздел детализирует структуру затрат (раздел 19), раскрывая драйверы затрат по категориям. Денежные значения не приводятся — они определяются на этапе сметного планирования и по результатам конкурсных процедур. Цель раздела — обеспечить полноту учёта статей при бюджетировании.</w:t>
      </w:r>
    </w:p>
    <w:p>
      <w:pPr>
        <w:pStyle w:val="Heading2"/>
      </w:pPr>
      <w:r>
        <w:t xml:space="preserve">19А.1. Драйверы капитальных затрат (CAPEX)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Категория</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Драйверы затрат</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Разработка ПО</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Число и сложность сервисов; объём фронтенда и мобильных приложений; число интеграционных коннекторов.</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Лицензии (единовременные)</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Состав коммерческих компонентов; модель лицензирования.</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Оборудование/инфраструктура</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Расчётная ёмкость двух ЦОД (раздел 12.3); резерв на пик и отказ ЦОД.</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Внедрение</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Объём миграции; число волн; длительность опытной эксплуатации.</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Проектирование и аудит</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Объём обследования; аудит ИБ; пентесты.</w:t>
            </w:r>
          </w:p>
        </w:tc>
      </w:tr>
    </w:tbl>
    <w:p>
      <w:pPr>
        <w:spacing w:after="160" w:before="60" w:line="240"/>
      </w:pPr>
      <w:r>
        <w:rPr>
          <w:i/>
          <w:iCs/>
          <w:color w:val="5A6B7B"/>
          <w:sz w:val="18"/>
          <w:szCs w:val="18"/>
        </w:rPr>
        <w:t xml:space="preserve">Таблица 19А.1 — Драйверы капитальных затрат.</w:t>
      </w:r>
    </w:p>
    <w:p>
      <w:pPr>
        <w:pStyle w:val="Heading2"/>
      </w:pPr>
      <w:r>
        <w:t xml:space="preserve">19А.2. Драйверы операционных затрат (OPEX)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Категория</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Драйверы затрат</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Лицензии/поддержка (подписка)</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Объём использования коммерческих компонентов; уровень поддержки (SLA).</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Размещение в ЦОД</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Потребляемые ресурсы; электропитание; канал между ЦОД.</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Сопровождение и развитие</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Размер команд; темп развития каталога услуг.</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Каналы уведомлений</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Объём SMS/email/push (по трафику).</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Мониторинг безопасности</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Объём SIEM/SOC; частота пентестов.</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Обучение и поддержка</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Число обучаемых; объём обращений в поддержку.</w:t>
            </w:r>
          </w:p>
        </w:tc>
      </w:tr>
    </w:tbl>
    <w:p>
      <w:pPr>
        <w:spacing w:after="160" w:before="60" w:line="240"/>
      </w:pPr>
      <w:r>
        <w:rPr>
          <w:i/>
          <w:iCs/>
          <w:color w:val="5A6B7B"/>
          <w:sz w:val="18"/>
          <w:szCs w:val="18"/>
        </w:rPr>
        <w:t xml:space="preserve">Таблица 19А.2 — Драйверы операционных затрат.</w:t>
      </w:r>
    </w:p>
    <w:p>
      <w:pPr>
        <w:pStyle w:val="Heading2"/>
      </w:pPr>
      <w:r>
        <w:t xml:space="preserve">19А.3. Факторы оптимизации затрат</w:t>
      </w:r>
    </w:p>
    <w:p>
      <w:pPr>
        <w:pStyle w:val="ListParagraph"/>
        <w:numPr>
          <w:ilvl w:val="0"/>
          <w:numId w:val="2"/>
        </w:numPr>
        <w:spacing w:after="80" w:line="264"/>
      </w:pPr>
      <w:r>
        <w:rPr>
          <w:b/>
          <w:bCs/>
        </w:rPr>
        <w:t xml:space="preserve">Свободное ПО </w:t>
      </w:r>
      <w:r>
        <w:t xml:space="preserve">— снижение лицензионных платежей (раздел 5.1).</w:t>
      </w:r>
    </w:p>
    <w:p>
      <w:pPr>
        <w:pStyle w:val="ListParagraph"/>
        <w:numPr>
          <w:ilvl w:val="0"/>
          <w:numId w:val="2"/>
        </w:numPr>
        <w:spacing w:after="80" w:line="264"/>
      </w:pPr>
      <w:r>
        <w:rPr>
          <w:b/>
          <w:bCs/>
        </w:rPr>
        <w:t xml:space="preserve">Платформенный подход </w:t>
      </w:r>
      <w:r>
        <w:t xml:space="preserve">— переиспользование сервисов снижает стоимость новых услуг.</w:t>
      </w:r>
    </w:p>
    <w:p>
      <w:pPr>
        <w:pStyle w:val="ListParagraph"/>
        <w:numPr>
          <w:ilvl w:val="0"/>
          <w:numId w:val="2"/>
        </w:numPr>
        <w:spacing w:after="80" w:line="264"/>
      </w:pPr>
      <w:r>
        <w:rPr>
          <w:b/>
          <w:bCs/>
        </w:rPr>
        <w:t xml:space="preserve">Low-Code </w:t>
      </w:r>
      <w:r>
        <w:t xml:space="preserve">— создание услуг без разработки сокращает трудозатраты.</w:t>
      </w:r>
    </w:p>
    <w:p>
      <w:pPr>
        <w:pStyle w:val="ListParagraph"/>
        <w:numPr>
          <w:ilvl w:val="0"/>
          <w:numId w:val="2"/>
        </w:numPr>
        <w:spacing w:after="80" w:line="264"/>
      </w:pPr>
      <w:r>
        <w:rPr>
          <w:b/>
          <w:bCs/>
        </w:rPr>
        <w:t xml:space="preserve">Автомасштабирование </w:t>
      </w:r>
      <w:r>
        <w:t xml:space="preserve">— оплата ресурсов под фактическую нагрузку, без постоянного избытка.</w:t>
      </w:r>
    </w:p>
    <w:p>
      <w:pPr>
        <w:pStyle w:val="ListParagraph"/>
        <w:numPr>
          <w:ilvl w:val="0"/>
          <w:numId w:val="2"/>
        </w:numPr>
        <w:spacing w:after="80" w:line="264"/>
      </w:pPr>
      <w:r>
        <w:rPr>
          <w:b/>
          <w:bCs/>
        </w:rPr>
        <w:t xml:space="preserve">Once-Only </w:t>
      </w:r>
      <w:r>
        <w:t xml:space="preserve">— снижение издержек на сбор и проверку данных.</w:t>
      </w:r>
    </w:p>
    <w:p>
      <w:pPr>
        <w:pStyle w:val="Heading1"/>
      </w:pPr>
      <w:r>
        <w:t xml:space="preserve">20А. Стратегия тестирования и обеспечения качества</w:t>
      </w:r>
    </w:p>
    <w:p>
      <w:pPr>
        <w:spacing w:after="120" w:line="276"/>
      </w:pPr>
      <w:r>
        <w:t xml:space="preserve">Настоящий раздел детализирует подход к тестированию (дополняет раздел 20). Тестирование автоматизировано и встроено в конвейер поставки; релиз продвигается только при прохождении всех обязательных проверок. Применяется модель «пирамиды тестирования»: много быстрых модульных тестов, меньше интеграционных, ещё меньше сквозных (E2E).</w:t>
      </w:r>
    </w:p>
    <w:p>
      <w:pPr>
        <w:pStyle w:val="Heading2"/>
      </w:pPr>
      <w:r>
        <w:t xml:space="preserve">20А.1. Уровни тестирования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1900"/>
        <w:gridCol w:w="2360"/>
      </w:tblGrid>
      <w:tr>
        <w:trPr>
          <w:tblHeader/>
        </w:trPr>
        <w:tc>
          <w:tcPr>
            <w:tcW w:type="dxa" w:w="2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Уровень</w:t>
            </w:r>
          </w:p>
        </w:tc>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Что проверяет</w:t>
            </w:r>
          </w:p>
        </w:tc>
        <w:tc>
          <w:tcPr>
            <w:tcW w:type="dxa" w:w="1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Инструменты</w:t>
            </w:r>
          </w:p>
        </w:tc>
        <w:tc>
          <w:tcPr>
            <w:tcW w:type="dxa" w:w="2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Где выполняется</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Модульные (unit)</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Логику отдельных компонентов</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JUnit 5</w:t>
            </w:r>
          </w:p>
        </w:tc>
        <w:tc>
          <w:tcPr>
            <w:tcW w:type="dxa" w:w="2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Сборка (быстро, изолированно)</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Интеграционные</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Сервис с БД/Kafka/внешними</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Testcontainers</w:t>
            </w:r>
          </w:p>
        </w:tc>
        <w:tc>
          <w:tcPr>
            <w:tcW w:type="dxa" w:w="2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Конвейер (реальные зависимости в контейнерах)</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Контрактные</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Совместимость API между сервисами</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Pact</w:t>
            </w:r>
          </w:p>
        </w:tc>
        <w:tc>
          <w:tcPr>
            <w:tcW w:type="dxa" w:w="2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Конвейер (consumer-driven)</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Сквозные (E2E)</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Пользовательские сценарии услуг</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E2E-фреймворк</w:t>
            </w:r>
          </w:p>
        </w:tc>
        <w:tc>
          <w:tcPr>
            <w:tcW w:type="dxa" w:w="2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STAGE</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Нагрузочные</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Производительность и масштаб</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k6 / Gatling</w:t>
            </w:r>
          </w:p>
        </w:tc>
        <w:tc>
          <w:tcPr>
            <w:tcW w:type="dxa" w:w="2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STAGE (по расписанию)</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Отказоустойчивость</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Поведение при сбоях</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LitmusChaos</w:t>
            </w:r>
          </w:p>
        </w:tc>
        <w:tc>
          <w:tcPr>
            <w:tcW w:type="dxa" w:w="2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STAGE</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Безопасность</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Уязвимости</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OWASP ZAP, SAST/DAST/SCA</w:t>
            </w:r>
          </w:p>
        </w:tc>
        <w:tc>
          <w:tcPr>
            <w:tcW w:type="dxa" w:w="2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Конвейер + периодически</w:t>
            </w:r>
          </w:p>
        </w:tc>
      </w:tr>
    </w:tbl>
    <w:p>
      <w:pPr>
        <w:spacing w:after="160" w:before="60" w:line="240"/>
      </w:pPr>
      <w:r>
        <w:rPr>
          <w:i/>
          <w:iCs/>
          <w:color w:val="5A6B7B"/>
          <w:sz w:val="18"/>
          <w:szCs w:val="18"/>
        </w:rPr>
        <w:t xml:space="preserve">Таблица 20А.1 — Уровни тестирования.</w:t>
      </w:r>
    </w:p>
    <w:p>
      <w:pPr>
        <w:pStyle w:val="Heading2"/>
      </w:pPr>
      <w:r>
        <w:t xml:space="preserve">20А.2. Тестирование по эталонным сценариям</w:t>
      </w:r>
    </w:p>
    <w:p>
      <w:pPr>
        <w:spacing w:after="120" w:line="276"/>
      </w:pPr>
      <w:r>
        <w:t xml:space="preserve">Три эталонных сквозных сценария (раздел 7.4: UC-A, UC-B, UC-C) реализуются как обязательные E2E-тесты и служат критерием готовности платформы к выводу услуг в эксплуатацию. Каждая новая услуга, собранная в Low-Code, проверяется набором сценариев на соответствие типовой модели услуги (раздел 7.1) до публикации.</w:t>
      </w:r>
    </w:p>
    <w:p>
      <w:pPr>
        <w:pStyle w:val="Heading2"/>
      </w:pPr>
      <w:r>
        <w:t xml:space="preserve">20А.3. Контрактное тестирование</w:t>
      </w:r>
    </w:p>
    <w:p>
      <w:pPr>
        <w:spacing w:after="120" w:line="276"/>
      </w:pPr>
      <w:r>
        <w:t xml:space="preserve">Совместимость интерфейсов между сервисами проверяется по модели consumer-driven contracts (Pact): потребитель описывает ожидания к API поставщика; поставщик проверяет их при сборке. Несовместимое изменение поставщика приводит к падению его сборки до согласования с потребителями. Схемы событий проверяются на обратную совместимость в реестре (Apicurio) при регистрации новой версии.</w:t>
      </w:r>
    </w:p>
    <w:p>
      <w:pPr>
        <w:pStyle w:val="Heading2"/>
      </w:pPr>
      <w:r>
        <w:t xml:space="preserve">20А.4. Нагрузочное и стресс-тестирование</w:t>
      </w:r>
    </w:p>
    <w:p>
      <w:pPr>
        <w:spacing w:after="120" w:line="276"/>
      </w:pPr>
      <w:r>
        <w:t xml:space="preserve">Нагрузочные тесты подтверждают достижение показателей раздела 12.1 (50 000 одновременных пользователей, 3 000 rps, P95 ≤ 1,5 с / ≤ 500 мс). Стресс-тесты определяют пределы и поведение при перегрузке (корректная деградация, сброс нагрузки). Тесты на пиковую нагрузку (×10) подтверждают работу автомасштабирования. Результаты нагрузочного тестирования на этапе 2 уточняют планирование ёмкости (раздел 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Тип</w:t>
            </w:r>
          </w:p>
        </w:tc>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Цель</w:t>
            </w:r>
          </w:p>
        </w:tc>
        <w:tc>
          <w:tcPr>
            <w:tcW w:type="dxa" w:w="3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Критерий</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Нагрузочный</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Штатная нагрузка</w:t>
            </w:r>
          </w:p>
        </w:tc>
        <w:tc>
          <w:tcPr>
            <w:tcW w:type="dxa" w:w="3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SLO достигнуты при 3 000 rps</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Пиковый</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Пиковая нагрузка ×10</w:t>
            </w:r>
          </w:p>
        </w:tc>
        <w:tc>
          <w:tcPr>
            <w:tcW w:type="dxa" w:w="3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Автоскейл удерживает SLO</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Стресс</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Поиск предела</w:t>
            </w:r>
          </w:p>
        </w:tc>
        <w:tc>
          <w:tcPr>
            <w:tcW w:type="dxa" w:w="3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Корректная деградация, без отказа</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Стабильности (soak)</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Длительная нагрузка</w:t>
            </w:r>
          </w:p>
        </w:tc>
        <w:tc>
          <w:tcPr>
            <w:tcW w:type="dxa" w:w="3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Нет утечек, деградации во времени</w:t>
            </w:r>
          </w:p>
        </w:tc>
      </w:tr>
    </w:tbl>
    <w:p>
      <w:pPr>
        <w:spacing w:after="160" w:before="60" w:line="240"/>
      </w:pPr>
      <w:r>
        <w:rPr>
          <w:i/>
          <w:iCs/>
          <w:color w:val="5A6B7B"/>
          <w:sz w:val="18"/>
          <w:szCs w:val="18"/>
        </w:rPr>
        <w:t xml:space="preserve">Таблица 20А.2 — Виды нагрузочного тестирования.</w:t>
      </w:r>
    </w:p>
    <w:p>
      <w:pPr>
        <w:pStyle w:val="Heading2"/>
      </w:pPr>
      <w:r>
        <w:t xml:space="preserve">20А.5. Тестирование отказоустойчивости (chaos)</w:t>
      </w:r>
    </w:p>
    <w:p>
      <w:pPr>
        <w:spacing w:after="120" w:line="276"/>
      </w:pPr>
      <w:r>
        <w:t xml:space="preserve">Управляемые эксперименты (LitmusChaos) проверяют поведение системы при сбоях: отказ пода/узла, задержки и потери в сети, недоступность зависимости, отказ ЦОД. Подтверждается срабатывание шаблонов устойчивости (раздел 4А.3), переключение между ЦОД (раздел 12.4) и соответствие RTO/RPO. Эксперименты проводятся регулярно в STAGE и контролируемо в PROD.</w:t>
      </w:r>
    </w:p>
    <w:p>
      <w:pPr>
        <w:pStyle w:val="Heading2"/>
      </w:pPr>
      <w:r>
        <w:t xml:space="preserve">20А.6. Управление тестовыми данными</w:t>
      </w:r>
    </w:p>
    <w:p>
      <w:pPr>
        <w:spacing w:after="120" w:line="276"/>
      </w:pPr>
      <w:r>
        <w:t xml:space="preserve">В нерабочих средах используются синтетические или маскированные данные; реальные ПДн в тестировании не применяются. Наборы тестовых данных версионируются и воспроизводимы. Для интеграционных тестов внешние системы (Smart Bridge, провайдеры) эмулируются заглушками с контрактным поведением.</w:t>
      </w:r>
    </w:p>
    <w:p>
      <w:pPr>
        <w:pStyle w:val="Heading2"/>
      </w:pPr>
      <w:r>
        <w:t xml:space="preserve">20А.7. Критерии готовности и приёмки</w:t>
      </w:r>
    </w:p>
    <w:p>
      <w:pPr>
        <w:spacing w:after="120" w:line="276"/>
      </w:pPr>
      <w:r>
        <w:t xml:space="preserve">Определены критерии готовности к продвижению по средам (Definition of Done) и критерии приёмки (раздел 20). Минимальные обязательные условия релиза: все автотесты пройдены; покрытие не ниже порога; нет критических уязвимостей; контракты совместимы; SLO подтверждены на STAGE; обновлена документация и runbook.</w:t>
      </w:r>
    </w:p>
    <w:p>
      <w:pPr>
        <w:pStyle w:val="Heading1"/>
      </w:pPr>
      <w:r>
        <w:t xml:space="preserve">20В. Критерии готовности (Definition of Done)</w:t>
      </w:r>
    </w:p>
    <w:p>
      <w:pPr>
        <w:spacing w:after="120" w:line="276"/>
      </w:pPr>
      <w:r>
        <w:t xml:space="preserve">Настоящий раздел формализует критерии завершённости работ на разных уровнях (дополняет разделы 20, 20А). Единые критерии готовности предотвращают накопление незавершённой и непроверенной работы и обеспечивают предсказуемое качество.</w:t>
      </w:r>
    </w:p>
    <w:p>
      <w:pPr>
        <w:pStyle w:val="Heading2"/>
      </w:pPr>
      <w:r>
        <w:t xml:space="preserve">20В.1. Готовность функции (feature)</w:t>
      </w:r>
    </w:p>
    <w:p>
      <w:pPr>
        <w:pStyle w:val="ListParagraph"/>
        <w:numPr>
          <w:ilvl w:val="0"/>
          <w:numId w:val="2"/>
        </w:numPr>
        <w:spacing w:after="80" w:line="264"/>
      </w:pPr>
      <w:r>
        <w:t xml:space="preserve">реализована в соответствии с требованием (ссылка на ID требования, Приложение Б);</w:t>
      </w:r>
    </w:p>
    <w:p>
      <w:pPr>
        <w:pStyle w:val="ListParagraph"/>
        <w:numPr>
          <w:ilvl w:val="0"/>
          <w:numId w:val="2"/>
        </w:numPr>
        <w:spacing w:after="80" w:line="264"/>
      </w:pPr>
      <w:r>
        <w:t xml:space="preserve">покрыта модульными и, при необходимости, интеграционными тестами;</w:t>
      </w:r>
    </w:p>
    <w:p>
      <w:pPr>
        <w:pStyle w:val="ListParagraph"/>
        <w:numPr>
          <w:ilvl w:val="0"/>
          <w:numId w:val="2"/>
        </w:numPr>
        <w:spacing w:after="80" w:line="264"/>
      </w:pPr>
      <w:r>
        <w:t xml:space="preserve">пройдено ревью кода; соблюдены соглашения (Приложение У);</w:t>
      </w:r>
    </w:p>
    <w:p>
      <w:pPr>
        <w:pStyle w:val="ListParagraph"/>
        <w:numPr>
          <w:ilvl w:val="0"/>
          <w:numId w:val="2"/>
        </w:numPr>
        <w:spacing w:after="80" w:line="264"/>
      </w:pPr>
      <w:r>
        <w:t xml:space="preserve">обновлены контракты (OpenAPI/Avro) при изменении интерфейсов;</w:t>
      </w:r>
    </w:p>
    <w:p>
      <w:pPr>
        <w:pStyle w:val="ListParagraph"/>
        <w:numPr>
          <w:ilvl w:val="0"/>
          <w:numId w:val="2"/>
        </w:numPr>
        <w:spacing w:after="80" w:line="264"/>
      </w:pPr>
      <w:r>
        <w:t xml:space="preserve">добавлены метрики/логи/трассировка значимых операций;</w:t>
      </w:r>
    </w:p>
    <w:p>
      <w:pPr>
        <w:pStyle w:val="ListParagraph"/>
        <w:numPr>
          <w:ilvl w:val="0"/>
          <w:numId w:val="2"/>
        </w:numPr>
        <w:spacing w:after="80" w:line="264"/>
      </w:pPr>
      <w:r>
        <w:t xml:space="preserve">обновлена пользовательская и техническая документация.</w:t>
      </w:r>
    </w:p>
    <w:p>
      <w:pPr>
        <w:pStyle w:val="Heading2"/>
      </w:pPr>
      <w:r>
        <w:t xml:space="preserve">20В.2. Готовность сервиса к выпуску</w:t>
      </w:r>
    </w:p>
    <w:p>
      <w:pPr>
        <w:spacing w:after="120" w:line="276"/>
      </w:pPr>
      <w:r>
        <w:t xml:space="preserve">См. чек-лист Приложения К.1. Ключевые условия: совместимость контрактов, отсутствие критических уязвимостей, настроенная наблюдаемость, подготовленный runbook, безопасные миграции, заданные ресурсы и проверки.</w:t>
      </w:r>
    </w:p>
    <w:p>
      <w:pPr>
        <w:pStyle w:val="Heading2"/>
      </w:pPr>
      <w:r>
        <w:t xml:space="preserve">20В.3. Готовность услуги к публикации</w:t>
      </w:r>
    </w:p>
    <w:p>
      <w:pPr>
        <w:spacing w:after="120" w:line="276"/>
      </w:pPr>
      <w:r>
        <w:t xml:space="preserve">См. чек-лист Приложения К.2. Ключевые условия: валидные процесс/форма/правила, настроенные маршрут и шаблоны, проверка по эталонным сценариям в песочнице, поэтапная публикация с возможностью отката.</w:t>
      </w:r>
    </w:p>
    <w:p>
      <w:pPr>
        <w:pStyle w:val="Heading2"/>
      </w:pPr>
      <w:r>
        <w:t xml:space="preserve">20В.4. Готовность к приёмке в эксплуатацию</w:t>
      </w:r>
    </w:p>
    <w:p>
      <w:pPr>
        <w:spacing w:after="120" w:line="276"/>
      </w:pPr>
      <w:r>
        <w:t xml:space="preserve">См. чек-лист Приложения К.3 и каталог приёмочных проверок (Приложение С). Ключевые условия: достижение целевых показателей (раздел 2.2), прохождение всех видов испытаний, подтверждённые DR-учения, аудит ИБ без критических замечаний, переданная документация и проведённое обучение.</w:t>
      </w:r>
    </w:p>
    <w:p>
      <w:pPr>
        <w:pStyle w:val="Heading1"/>
      </w:pPr>
      <w:r>
        <w:t xml:space="preserve">20. Приёмка и обеспечение качества</w:t>
      </w:r>
    </w:p>
    <w:p>
      <w:pPr>
        <w:spacing w:after="120" w:line="276"/>
      </w:pPr>
      <w:r>
        <w:t xml:space="preserve">Качество Системы подтверждается комплексом испытаний. Состав, инструменты и содержание видов испытаний приведены ниже; функциональные испытания проверяют выполнение требований раздела 7, включая три эталонных сценария (UC-A, UC-B, UC-C).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Вид испытаний</w:t>
            </w:r>
          </w:p>
        </w:tc>
        <w:tc>
          <w:tcPr>
            <w:tcW w:type="dxa" w:w="2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Инструменты</w:t>
            </w:r>
          </w:p>
        </w:tc>
        <w:tc>
          <w:tcPr>
            <w:tcW w:type="dxa" w:w="42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Содержание</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Функциональные</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JUnit 5 + Testcontainers</w:t>
            </w:r>
          </w:p>
        </w:tc>
        <w:tc>
          <w:tcPr>
            <w:tcW w:type="dxa" w:w="4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Соответствие требованиям ТЗ; эталонные сценарии услуг</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Контрактные</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Pact</w:t>
            </w:r>
          </w:p>
        </w:tc>
        <w:tc>
          <w:tcPr>
            <w:tcW w:type="dxa" w:w="4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Совместимость API между сервисами</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Нагрузочные</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k6 / Gatling</w:t>
            </w:r>
          </w:p>
        </w:tc>
        <w:tc>
          <w:tcPr>
            <w:tcW w:type="dxa" w:w="4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Достижение целевых показателей производительности (раздел 12.1)</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Отказоустойчивость</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LitmusChaos</w:t>
            </w:r>
          </w:p>
        </w:tc>
        <w:tc>
          <w:tcPr>
            <w:tcW w:type="dxa" w:w="4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Поведение при сбоях компонентов; проверка failover между ЦОД</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Безопасность</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OWASP ZAP + пентесты</w:t>
            </w:r>
          </w:p>
        </w:tc>
        <w:tc>
          <w:tcPr>
            <w:tcW w:type="dxa" w:w="4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Защита данных, соответствие OWASP API Top 10</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Интеграционные</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Smart Bridge sandbox</w:t>
            </w:r>
          </w:p>
        </w:tc>
        <w:tc>
          <w:tcPr>
            <w:tcW w:type="dxa" w:w="4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Взаимодействие с ведомствами</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Опытная эксплуатация</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Unleash</w:t>
            </w:r>
          </w:p>
        </w:tc>
        <w:tc>
          <w:tcPr>
            <w:tcW w:type="dxa" w:w="4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Проверка в реальных условиях с поэтапным включением</w:t>
            </w:r>
          </w:p>
        </w:tc>
      </w:tr>
    </w:tbl>
    <w:p>
      <w:pPr>
        <w:spacing w:after="120" w:line="276"/>
      </w:pPr>
      <w:r>
        <w:t xml:space="preserve">Критерии приёмки. Система принимается в постоянную эксплуатацию при условии успешного прохождения всех видов испытаний и достижения целевых показателей раздела 2.2 по итогам опытной эксплуатации. Выявленные несоответствия устраняются Исполнителем до приёмки.</w:t>
      </w:r>
    </w:p>
    <w:p>
      <w:pPr>
        <w:pStyle w:val="Heading1"/>
      </w:pPr>
      <w:r>
        <w:t xml:space="preserve">20Б. Гарантийные обязательства и уровни обслуживания</w:t>
      </w:r>
    </w:p>
    <w:p>
      <w:pPr>
        <w:spacing w:after="120" w:line="276"/>
      </w:pPr>
      <w:r>
        <w:t xml:space="preserve">Настоящий раздел определяет гарантийные обязательства Исполнителя после ввода Системы в эксплуатацию и целевые уровни обслуживания (SLA) на этапе сопровождения. Конкретные значения и условия фиксируются в договоре и регламенте сопровождения.</w:t>
      </w:r>
    </w:p>
    <w:p>
      <w:pPr>
        <w:pStyle w:val="Heading2"/>
      </w:pPr>
      <w:r>
        <w:t xml:space="preserve">20Б.1. Гарантийный период</w:t>
      </w:r>
    </w:p>
    <w:p>
      <w:pPr>
        <w:spacing w:after="120" w:line="276"/>
      </w:pPr>
      <w:r>
        <w:t xml:space="preserve">В течение гарантийного периода Исполнитель устраняет выявленные дефекты (несоответствия требованиям ТЗ) без дополнительной оплаты. Дефекты классифицируются по серьёзности; для каждого класса определены целевые сроки устранения.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Класс дефекта</w:t>
            </w:r>
          </w:p>
        </w:tc>
        <w:tc>
          <w:tcPr>
            <w:tcW w:type="dxa" w:w="4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w:t>
            </w:r>
          </w:p>
        </w:tc>
        <w:tc>
          <w:tcPr>
            <w:tcW w:type="dxa" w:w="3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Целевой срок устранения</w:t>
            </w:r>
          </w:p>
        </w:tc>
      </w:tr>
      <w:tr>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Критический</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Недоступность системы или ключевой услуги, утрата/искажение данных</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Немедленно (обходное решение), полное — ≤ 1 раб. дня</w:t>
            </w:r>
          </w:p>
        </w:tc>
      </w:tr>
      <w:tr>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Высокий</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Существенное нарушение функции без обходного пути</w:t>
            </w:r>
          </w:p>
        </w:tc>
        <w:tc>
          <w:tcPr>
            <w:tcW w:type="dxa" w:w="3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3 раб. дней</w:t>
            </w:r>
          </w:p>
        </w:tc>
      </w:tr>
      <w:tr>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Средний</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Нарушение функции с обходным путём</w:t>
            </w:r>
          </w:p>
        </w:tc>
        <w:tc>
          <w:tcPr>
            <w:tcW w:type="dxa" w:w="3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10 раб. дней</w:t>
            </w:r>
          </w:p>
        </w:tc>
      </w:tr>
      <w:tr>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Низкий</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Незначительные отклонения, косметические дефекты</w:t>
            </w:r>
          </w:p>
        </w:tc>
        <w:tc>
          <w:tcPr>
            <w:tcW w:type="dxa" w:w="3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 плановом порядке</w:t>
            </w:r>
          </w:p>
        </w:tc>
      </w:tr>
    </w:tbl>
    <w:p>
      <w:pPr>
        <w:spacing w:after="160" w:before="60" w:line="240"/>
      </w:pPr>
      <w:r>
        <w:rPr>
          <w:i/>
          <w:iCs/>
          <w:color w:val="5A6B7B"/>
          <w:sz w:val="18"/>
          <w:szCs w:val="18"/>
        </w:rPr>
        <w:t xml:space="preserve">Таблица 20Б.1 — Классы дефектов и целевые сроки устранения в гарантийный период.</w:t>
      </w:r>
    </w:p>
    <w:p>
      <w:pPr>
        <w:pStyle w:val="Heading2"/>
      </w:pPr>
      <w:r>
        <w:t xml:space="preserve">20Б.2. Уровни обслуживания (SLA) при сопровождении</w:t>
      </w:r>
    </w:p>
    <w:p>
      <w:pPr>
        <w:spacing w:after="120" w:line="276"/>
      </w:pPr>
      <w:r>
        <w:t xml:space="preserve">На этапе сопровождения действуют согласованные уровни обслуживания, согласованные с нефункциональными требованиями (раздел 12) и практиками надёжности (раздел 14А).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Показатель SLA</w:t>
            </w:r>
          </w:p>
        </w:tc>
        <w:tc>
          <w:tcPr>
            <w:tcW w:type="dxa" w:w="5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Целевое значение</w:t>
            </w:r>
          </w:p>
        </w:tc>
      </w:tr>
      <w:tr>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 системы</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99,95 % в месяц</w:t>
            </w:r>
          </w:p>
        </w:tc>
      </w:tr>
      <w:tr>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реакции на критический инцидент</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15 минут</w:t>
            </w:r>
          </w:p>
        </w:tc>
      </w:tr>
      <w:tr>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реакции на высокий</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1 час</w:t>
            </w:r>
          </w:p>
        </w:tc>
      </w:tr>
      <w:tr>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восстановления (критический)</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1 час (RTO)</w:t>
            </w:r>
          </w:p>
        </w:tc>
      </w:tr>
      <w:tr>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Потеря данных</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5 минут (RPO)</w:t>
            </w:r>
          </w:p>
        </w:tc>
      </w:tr>
      <w:tr>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 поддержки</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регламенту (в т.ч. 24/7 для критических)</w:t>
            </w:r>
          </w:p>
        </w:tc>
      </w:tr>
    </w:tbl>
    <w:p>
      <w:pPr>
        <w:spacing w:after="160" w:before="60" w:line="240"/>
      </w:pPr>
      <w:r>
        <w:rPr>
          <w:i/>
          <w:iCs/>
          <w:color w:val="5A6B7B"/>
          <w:sz w:val="18"/>
          <w:szCs w:val="18"/>
        </w:rPr>
        <w:t xml:space="preserve">Таблица 20Б.2 — Целевые уровни обслуживания при сопровождении.</w:t>
      </w:r>
    </w:p>
    <w:p>
      <w:pPr>
        <w:pStyle w:val="Heading2"/>
      </w:pPr>
      <w:r>
        <w:t xml:space="preserve">20Б.3. Обязательства по сопровождению</w:t>
      </w:r>
    </w:p>
    <w:p>
      <w:pPr>
        <w:pStyle w:val="ListParagraph"/>
        <w:numPr>
          <w:ilvl w:val="0"/>
          <w:numId w:val="2"/>
        </w:numPr>
        <w:spacing w:after="80" w:line="264"/>
      </w:pPr>
      <w:r>
        <w:t xml:space="preserve">мониторинг и реагирование на инциденты в соответствии с SLA;</w:t>
      </w:r>
    </w:p>
    <w:p>
      <w:pPr>
        <w:pStyle w:val="ListParagraph"/>
        <w:numPr>
          <w:ilvl w:val="0"/>
          <w:numId w:val="2"/>
        </w:numPr>
        <w:spacing w:after="80" w:line="264"/>
      </w:pPr>
      <w:r>
        <w:t xml:space="preserve">устранение дефектов и уязвимостей, обновление компонентов;</w:t>
      </w:r>
    </w:p>
    <w:p>
      <w:pPr>
        <w:pStyle w:val="ListParagraph"/>
        <w:numPr>
          <w:ilvl w:val="0"/>
          <w:numId w:val="2"/>
        </w:numPr>
        <w:spacing w:after="80" w:line="264"/>
      </w:pPr>
      <w:r>
        <w:t xml:space="preserve">проведение регулярных DR-учений и проверок резервного копирования;</w:t>
      </w:r>
    </w:p>
    <w:p>
      <w:pPr>
        <w:pStyle w:val="ListParagraph"/>
        <w:numPr>
          <w:ilvl w:val="0"/>
          <w:numId w:val="2"/>
        </w:numPr>
        <w:spacing w:after="80" w:line="264"/>
      </w:pPr>
      <w:r>
        <w:t xml:space="preserve">консультационная поддержка администраторов и специалистов;</w:t>
      </w:r>
    </w:p>
    <w:p>
      <w:pPr>
        <w:pStyle w:val="ListParagraph"/>
        <w:numPr>
          <w:ilvl w:val="0"/>
          <w:numId w:val="2"/>
        </w:numPr>
        <w:spacing w:after="80" w:line="264"/>
      </w:pPr>
      <w:r>
        <w:t xml:space="preserve">ведение и актуализация эксплуатационной документации (runbook);</w:t>
      </w:r>
    </w:p>
    <w:p>
      <w:pPr>
        <w:pStyle w:val="ListParagraph"/>
        <w:numPr>
          <w:ilvl w:val="0"/>
          <w:numId w:val="2"/>
        </w:numPr>
        <w:spacing w:after="80" w:line="264"/>
      </w:pPr>
      <w:r>
        <w:t xml:space="preserve">отчётность о соблюдении SLA и состоянии системы.</w:t>
      </w:r>
    </w:p>
    <w:p>
      <w:pPr>
        <w:pStyle w:val="Heading2"/>
      </w:pPr>
      <w:r>
        <w:t xml:space="preserve">20Б.4. Контроль соблюдения SLA</w:t>
      </w:r>
    </w:p>
    <w:p>
      <w:pPr>
        <w:spacing w:after="120" w:line="276"/>
      </w:pPr>
      <w:r>
        <w:t xml:space="preserve">Соблюдение SLA контролируется метриками (раздел 14А) и регулярной отчётностью. Нарушения SLA фиксируются, анализируются (постмортемы для значимых случаев) и приводят к корректирующим действиям. Порядок учёта нарушений и последствия определяются договором.</w:t>
      </w:r>
    </w:p>
    <w:p>
      <w:pPr>
        <w:pStyle w:val="Heading1"/>
      </w:pPr>
      <w:r>
        <w:t xml:space="preserve">21. Заключительные положения</w:t>
      </w:r>
    </w:p>
    <w:p>
      <w:pPr>
        <w:spacing w:after="120" w:line="276"/>
      </w:pPr>
      <w:r>
        <w:t xml:space="preserve">Совокупность принятых решений — микросервисная архитектура с BFF-слоем, BPM-движок (Camunda 7 / альтернативное open-source решение), конструктор форм Form.io, межведомственная интеграция через Smart Bridge, коммерческая PostgreSQL с резервным копированием pgBackRest, модель георезервирования Active-Passive (запись в Primary, чтение в обоих ЦОД), GitOps (ArgoCD) и управление выкаткой через feature flags (Unleash) — обеспечивает создание масштабируемой, надёжной и безопасной платформы государственных услуг национального масштаба.</w:t>
      </w:r>
    </w:p>
    <w:p>
      <w:pPr>
        <w:spacing w:after="120" w:line="276"/>
      </w:pPr>
      <w:r>
        <w:t xml:space="preserve">Настоящее ТЗ является основанием для проектирования, разработки, приёмки и ввода Системы в эксплуатацию. Изменения в требования вносятся по согласованию Сторон в установленном порядке.</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9D4" w:sz="2"/>
              <w:left w:val="single" w:color="BFC9D4" w:sz="2"/>
              <w:bottom w:val="single" w:color="BFC9D4" w:sz="2"/>
              <w:right w:val="single" w:color="BFC9D4" w:sz="2"/>
            </w:tcBorders>
            <w:shd w:fill="1F4E79" w:val="clear"/>
            <w:tcMar>
              <w:top w:type="dxa" w:w="80"/>
              <w:left w:type="dxa" w:w="140"/>
              <w:bottom w:type="dxa" w:w="80"/>
              <w:right w:type="dxa" w:w="140"/>
            </w:tcMar>
          </w:tcPr>
          <w:p>
            <w:pPr>
              <w:spacing w:after="0"/>
            </w:pPr>
            <w:r>
              <w:rPr>
                <w:b/>
                <w:bCs/>
                <w:color w:val="FFFFFF"/>
                <w:sz w:val="22"/>
                <w:szCs w:val="22"/>
              </w:rPr>
              <w:t xml:space="preserve">От Заказчика</w:t>
            </w:r>
          </w:p>
        </w:tc>
        <w:tc>
          <w:tcPr>
            <w:tcW w:type="dxa" w:w="4680"/>
            <w:tcBorders>
              <w:top w:val="single" w:color="BFC9D4" w:sz="2"/>
              <w:left w:val="single" w:color="BFC9D4" w:sz="2"/>
              <w:bottom w:val="single" w:color="BFC9D4" w:sz="2"/>
              <w:right w:val="single" w:color="BFC9D4" w:sz="2"/>
            </w:tcBorders>
            <w:shd w:fill="1F4E79" w:val="clear"/>
            <w:tcMar>
              <w:top w:type="dxa" w:w="80"/>
              <w:left w:type="dxa" w:w="140"/>
              <w:bottom w:type="dxa" w:w="80"/>
              <w:right w:type="dxa" w:w="140"/>
            </w:tcMar>
          </w:tcPr>
          <w:p>
            <w:pPr>
              <w:spacing w:after="0"/>
            </w:pPr>
            <w:r>
              <w:rPr>
                <w:b/>
                <w:bCs/>
                <w:color w:val="FFFFFF"/>
                <w:sz w:val="22"/>
                <w:szCs w:val="22"/>
              </w:rPr>
              <w:t xml:space="preserve">От Исполнителя</w:t>
            </w:r>
          </w:p>
        </w:tc>
      </w:tr>
      <w:tr>
        <w:tc>
          <w:tcPr>
            <w:tcW w:type="dxa" w:w="4680"/>
            <w:tcBorders>
              <w:top w:val="single" w:color="BFC9D4" w:sz="2"/>
              <w:left w:val="single" w:color="BFC9D4" w:sz="2"/>
              <w:bottom w:val="single" w:color="BFC9D4" w:sz="2"/>
              <w:right w:val="single" w:color="BFC9D4" w:sz="2"/>
            </w:tcBorders>
            <w:shd w:fill="F7FAFC" w:val="clear"/>
            <w:tcMar>
              <w:top w:type="dxa" w:w="120"/>
              <w:left w:type="dxa" w:w="140"/>
              <w:bottom w:type="dxa" w:w="120"/>
              <w:right w:type="dxa" w:w="140"/>
            </w:tcMar>
          </w:tcPr>
          <w:p>
            <w:pPr>
              <w:spacing w:after="200" w:line="276"/>
            </w:pPr>
            <w:r>
              <w:rPr>
                <w:sz w:val="22"/>
                <w:szCs w:val="22"/>
              </w:rPr>
              <w:t xml:space="preserve">____________________ / __________ /</w:t>
            </w:r>
          </w:p>
          <w:p>
            <w:pPr>
              <w:spacing w:after="0" w:line="276"/>
            </w:pPr>
            <w:r>
              <w:rPr>
                <w:sz w:val="22"/>
                <w:szCs w:val="22"/>
              </w:rPr>
              <w:t xml:space="preserve">«____» ____________ 20___ г.</w:t>
            </w:r>
          </w:p>
        </w:tc>
        <w:tc>
          <w:tcPr>
            <w:tcW w:type="dxa" w:w="4680"/>
            <w:tcBorders>
              <w:top w:val="single" w:color="BFC9D4" w:sz="2"/>
              <w:left w:val="single" w:color="BFC9D4" w:sz="2"/>
              <w:bottom w:val="single" w:color="BFC9D4" w:sz="2"/>
              <w:right w:val="single" w:color="BFC9D4" w:sz="2"/>
            </w:tcBorders>
            <w:shd w:fill="F7FAFC" w:val="clear"/>
            <w:tcMar>
              <w:top w:type="dxa" w:w="120"/>
              <w:left w:type="dxa" w:w="140"/>
              <w:bottom w:type="dxa" w:w="120"/>
              <w:right w:type="dxa" w:w="140"/>
            </w:tcMar>
          </w:tcPr>
          <w:p>
            <w:pPr>
              <w:spacing w:after="200" w:line="276"/>
            </w:pPr>
            <w:r>
              <w:rPr>
                <w:sz w:val="22"/>
                <w:szCs w:val="22"/>
              </w:rPr>
              <w:t xml:space="preserve">____________________ / __________ /</w:t>
            </w:r>
          </w:p>
          <w:p>
            <w:pPr>
              <w:spacing w:after="0" w:line="276"/>
            </w:pPr>
            <w:r>
              <w:rPr>
                <w:sz w:val="22"/>
                <w:szCs w:val="22"/>
              </w:rPr>
              <w:t xml:space="preserve">«____» ____________ 20___ г.</w:t>
            </w:r>
          </w:p>
        </w:tc>
      </w:tr>
    </w:tbl>
    <w:p>
      <w:pPr>
        <w:pStyle w:val="Heading1"/>
      </w:pPr>
      <w:r>
        <w:t xml:space="preserve">22. Искусственный интеллект: сервисы, управление и автоматизированные решения</w:t>
      </w:r>
    </w:p>
    <w:p>
      <w:pPr>
        <w:spacing w:after="120" w:line="276"/>
      </w:pPr>
      <w:r>
        <w:t xml:space="preserve">Платформа рассчитана на долгий жизненный цикл, в течение которого искусственный интеллект (ИИ) станет неотъемлемой частью государственных сервисов. Настоящий раздел определяет: (1) дорожную карту AI-сервисов как перспективную область развития, (2) принципы управления ИИ (AI governance), (3) права граждан в отношении автоматизированных решений и (4) требования к ограничению нагрузки со стороны AI-потребителей. Раздел опирается на уже заложенную инфраструктуру — слой MCP (раздел 13Б) и аналитический слой (раздел 5Е) — и не изменяет ядро Платформы.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Назначение раздела. </w:t>
            </w:r>
            <w:r>
              <w:rPr>
                <w:sz w:val="21"/>
                <w:szCs w:val="21"/>
              </w:rPr>
              <w:t xml:space="preserve">Слой MCP и аналитический слой — это инфраструктура («каналы и данные»). Настоящий раздел определяет ценность, которую ИИ приносит гражданам и Агентству, и правила, по которым ИИ применяется ответственно и законно. Конкретные AI-сервисы относятся к перспективной области развития и внедряются поэтапно, после ввода базовой Платформы в эксплуатацию.</w:t>
            </w:r>
          </w:p>
        </w:tc>
      </w:tr>
    </w:tbl>
    <w:p>
      <w:pPr>
        <w:pStyle w:val="Heading2"/>
      </w:pPr>
      <w:r>
        <w:t xml:space="preserve">22.1. Дорожная карта AI-сервисов</w:t>
      </w:r>
    </w:p>
    <w:p>
      <w:pPr>
        <w:spacing w:after="120" w:line="276"/>
      </w:pPr>
      <w:r>
        <w:t xml:space="preserve">Ниже приведены приоритетные направления применения ИИ. Каждое направление реализуется как отдельная инициатива с собственной оценкой пользы, рисков и соответствия требованиям раздела 22.2; ни одно из них не является обязательным для первого ввода Платформы в эксплуатацию.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660"/>
        <w:gridCol w:w="2000"/>
      </w:tblGrid>
      <w:tr>
        <w:trPr>
          <w:tblHeader/>
        </w:trPr>
        <w:tc>
          <w:tcPr>
            <w:tcW w:type="dxa" w:w="2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Направление</w:t>
            </w:r>
          </w:p>
        </w:tc>
        <w:tc>
          <w:tcPr>
            <w:tcW w:type="dxa" w:w="46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Ценность</w:t>
            </w:r>
          </w:p>
        </w:tc>
        <w:tc>
          <w:tcPr>
            <w:tcW w:type="dxa" w:w="2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Зрелость</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AI-ассистент для граждан</w:t>
            </w:r>
          </w:p>
        </w:tc>
        <w:tc>
          <w:tcPr>
            <w:tcW w:type="dxa" w:w="4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Помощь в поиске и подаче услуг: подбор услуги по жизненной ситуации, подсказки по заполнению, ответы на вопросы. Доступ к возможностям — через MCP (раздел 13Б).</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Перспективное</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AI-помощь специалисту (АРМ)</w:t>
            </w:r>
          </w:p>
        </w:tc>
        <w:tc>
          <w:tcPr>
            <w:tcW w:type="dxa" w:w="4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Предварительная сортировка и приоритизация заявлений, подсказки по типовым решениям; решение остаётся за специалистом.</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Перспективное</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Понимание документов</w:t>
            </w:r>
          </w:p>
        </w:tc>
        <w:tc>
          <w:tcPr>
            <w:tcW w:type="dxa" w:w="4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Распознавание и извлечение данных из загруженных документов (OCR, классификация), сверка с заявлением; снижение ручного ввода.</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Перспективное</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Выявление аномалий и мошенничества</w:t>
            </w:r>
          </w:p>
        </w:tc>
        <w:tc>
          <w:tcPr>
            <w:tcW w:type="dxa" w:w="4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Обнаружение подозрительных шаблонов в заявлениях и платежах для последующей ручной проверки.</w:t>
            </w:r>
          </w:p>
        </w:tc>
        <w:tc>
          <w:tcPr>
            <w:tcW w:type="dxa" w:w="2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Перспективное</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Аналитика и прогнозирование</w:t>
            </w:r>
          </w:p>
        </w:tc>
        <w:tc>
          <w:tcPr>
            <w:tcW w:type="dxa" w:w="4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Прогноз нагрузки, выявление узких мест в процессах услуг на обезличенных данных (раздел 5Е).</w:t>
            </w:r>
          </w:p>
        </w:tc>
        <w:tc>
          <w:tcPr>
            <w:tcW w:type="dxa" w:w="2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Перспективное</w:t>
            </w:r>
          </w:p>
        </w:tc>
      </w:tr>
    </w:tbl>
    <w:p>
      <w:pPr>
        <w:spacing w:after="160" w:before="60" w:line="240"/>
      </w:pPr>
      <w:r>
        <w:rPr>
          <w:i/>
          <w:iCs/>
          <w:color w:val="5A6B7B"/>
          <w:sz w:val="18"/>
          <w:szCs w:val="18"/>
        </w:rPr>
        <w:t xml:space="preserve">Таблица 22.1 — Приоритетные направления AI-сервисов (перспективная область развития).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Принцип внедрения. </w:t>
            </w:r>
            <w:r>
              <w:rPr>
                <w:sz w:val="21"/>
                <w:szCs w:val="21"/>
              </w:rPr>
              <w:t xml:space="preserve">ИИ дополняет, но не заменяет человека в юридически значимых решениях. Любое направление с влиянием на решения по гражданам внедряется только при соблюдении требований управления ИИ (раздел 22.2) и прав на автоматизированные решения (раздел 22.3).</w:t>
            </w:r>
          </w:p>
        </w:tc>
      </w:tr>
    </w:tbl>
    <w:p>
      <w:pPr>
        <w:pStyle w:val="Heading2"/>
      </w:pPr>
      <w:r>
        <w:t xml:space="preserve">22.2. Управление искусственным интеллектом (AI Governance)</w:t>
      </w:r>
    </w:p>
    <w:p>
      <w:pPr>
        <w:spacing w:after="120" w:line="276"/>
      </w:pPr>
      <w:r>
        <w:t xml:space="preserve">Применение ИИ в государственной системе подчиняется принципам ответственного и подотчётного ИИ. Эти принципы обязательны для любой AI-инициативы Платформы и согласованы с требованиями безопасности и приватности (разделы 11, 11А) и с направлением развития профильного регулирования.</w:t>
      </w:r>
    </w:p>
    <w:p>
      <w:pPr>
        <w:pStyle w:val="ListParagraph"/>
        <w:numPr>
          <w:ilvl w:val="0"/>
          <w:numId w:val="2"/>
        </w:numPr>
        <w:spacing w:after="80" w:line="264"/>
      </w:pPr>
      <w:r>
        <w:rPr>
          <w:b/>
          <w:bCs/>
        </w:rPr>
        <w:t xml:space="preserve">Человек в контуре (human-in-the-loop). </w:t>
      </w:r>
      <w:r>
        <w:t xml:space="preserve">ИИ не принимает окончательных юридически значимых решений по гражданам единолично; решение принимает или подтверждает уполномоченный специалист.</w:t>
      </w:r>
    </w:p>
    <w:p>
      <w:pPr>
        <w:pStyle w:val="ListParagraph"/>
        <w:numPr>
          <w:ilvl w:val="0"/>
          <w:numId w:val="2"/>
        </w:numPr>
        <w:spacing w:after="80" w:line="264"/>
      </w:pPr>
      <w:r>
        <w:rPr>
          <w:b/>
          <w:bCs/>
        </w:rPr>
        <w:t xml:space="preserve">Объяснимость. </w:t>
      </w:r>
      <w:r>
        <w:t xml:space="preserve">Решения, на которые повлиял ИИ, сопровождаются понятным обоснованием; используются объяснимые подходы там, где затрагиваются права граждан.</w:t>
      </w:r>
    </w:p>
    <w:p>
      <w:pPr>
        <w:pStyle w:val="ListParagraph"/>
        <w:numPr>
          <w:ilvl w:val="0"/>
          <w:numId w:val="2"/>
        </w:numPr>
        <w:spacing w:after="80" w:line="264"/>
      </w:pPr>
      <w:r>
        <w:rPr>
          <w:b/>
          <w:bCs/>
        </w:rPr>
        <w:t xml:space="preserve">Справедливость и контроль предвзятости. </w:t>
      </w:r>
      <w:r>
        <w:t xml:space="preserve">Модели проверяются на систематическую предвзятость (bias) до и в ходе эксплуатации; результаты проверок документируются.</w:t>
      </w:r>
    </w:p>
    <w:p>
      <w:pPr>
        <w:pStyle w:val="ListParagraph"/>
        <w:numPr>
          <w:ilvl w:val="0"/>
          <w:numId w:val="2"/>
        </w:numPr>
        <w:spacing w:after="80" w:line="264"/>
      </w:pPr>
      <w:r>
        <w:rPr>
          <w:b/>
          <w:bCs/>
        </w:rPr>
        <w:t xml:space="preserve">Прозрачность. </w:t>
      </w:r>
      <w:r>
        <w:t xml:space="preserve">Гражданин информируется, когда в обработке его обращения участвует ИИ.</w:t>
      </w:r>
    </w:p>
    <w:p>
      <w:pPr>
        <w:pStyle w:val="ListParagraph"/>
        <w:numPr>
          <w:ilvl w:val="0"/>
          <w:numId w:val="2"/>
        </w:numPr>
        <w:spacing w:after="80" w:line="264"/>
      </w:pPr>
      <w:r>
        <w:rPr>
          <w:b/>
          <w:bCs/>
        </w:rPr>
        <w:t xml:space="preserve">Подотчётность и аудит ИИ. </w:t>
      </w:r>
      <w:r>
        <w:t xml:space="preserve">Ведётся отдельный аудиторский след решений ИИ (какая модель, версия, входные признаки, результат, влияние на решение) — дополнительно к WORM-аудиту (раздел 4Б.10).</w:t>
      </w:r>
    </w:p>
    <w:p>
      <w:pPr>
        <w:pStyle w:val="ListParagraph"/>
        <w:numPr>
          <w:ilvl w:val="0"/>
          <w:numId w:val="2"/>
        </w:numPr>
        <w:spacing w:after="80" w:line="264"/>
      </w:pPr>
      <w:r>
        <w:rPr>
          <w:b/>
          <w:bCs/>
        </w:rPr>
        <w:t xml:space="preserve">Управление моделями (MLOps). </w:t>
      </w:r>
      <w:r>
        <w:t xml:space="preserve">Версионирование моделей и данных обучения, контроль качества перед выпуском, мониторинг деградации (model drift), возможность отката модели.</w:t>
      </w:r>
    </w:p>
    <w:p>
      <w:pPr>
        <w:pStyle w:val="ListParagraph"/>
        <w:numPr>
          <w:ilvl w:val="0"/>
          <w:numId w:val="2"/>
        </w:numPr>
        <w:spacing w:after="80" w:line="264"/>
      </w:pPr>
      <w:r>
        <w:rPr>
          <w:b/>
          <w:bCs/>
        </w:rPr>
        <w:t xml:space="preserve">Приватность данных обучения. </w:t>
      </w:r>
      <w:r>
        <w:t xml:space="preserve">Для обучения и оценки используются обезличенные или агрегированные данные (раздел 5Е.3); суверенитет данных соблюдается (раздел 11А.6А).</w:t>
      </w:r>
    </w:p>
    <w:p>
      <w:pPr>
        <w:pStyle w:val="ListParagraph"/>
        <w:numPr>
          <w:ilvl w:val="0"/>
          <w:numId w:val="2"/>
        </w:numPr>
        <w:spacing w:after="80" w:line="264"/>
      </w:pPr>
      <w:r>
        <w:rPr>
          <w:b/>
          <w:bCs/>
        </w:rPr>
        <w:t xml:space="preserve">Безопасность ИИ. </w:t>
      </w:r>
      <w:r>
        <w:t xml:space="preserve">Учитываются специфические угрозы (некорректные/состязательные входные данные, prompt injection для агентов); ввод проверяется, вывод не считается доверенным по умолчанию (раздел 13Б.4).</w:t>
      </w:r>
    </w:p>
    <w:p>
      <w:pPr>
        <w:pStyle w:val="ListParagraph"/>
        <w:numPr>
          <w:ilvl w:val="0"/>
          <w:numId w:val="2"/>
        </w:numPr>
        <w:spacing w:after="80" w:line="264"/>
      </w:pPr>
      <w:r>
        <w:rPr>
          <w:b/>
          <w:bCs/>
        </w:rPr>
        <w:t xml:space="preserve">Защита от формального подтверждения («слепого клика»). </w:t>
      </w:r>
      <w:r>
        <w:t xml:space="preserve">Чтобы участие человека не сводилось к механическому подтверждению рекомендаций ИИ, отслеживается метрика согласия специалиста с ИИ: доля случаев, когда специалист соглашается с рекомендацией. Аномальные показатели (как чрезмерно высокое согласие — признак «слепого клика», так и высокая доля отклонений — признак неадекватной модели; ориентировочный порог отклонений — от 30%) выносятся на комитет для разбора и дообучения модели. Интерфейс АРМ не предлагает «массовое подтверждение» рекомендаций ИИ по юридически значимым решениям.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Принцип</w:t>
            </w:r>
          </w:p>
        </w:tc>
        <w:tc>
          <w:tcPr>
            <w:tcW w:type="dxa" w:w="4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Контроль</w:t>
            </w:r>
          </w:p>
        </w:tc>
        <w:tc>
          <w:tcPr>
            <w:tcW w:type="dxa" w:w="2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Связь с разделами</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Человек в контуре</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Обязательное подтверждение специалистом значимых решений</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7Б, 22.3</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Защита от «слепого клика»</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Метрика согласия с ИИ; разбор аномалий комитетом; без массового подтверждения</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7Б, 14А</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Объяснимость</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Обоснование решения, доступное гражданину</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22.3</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Контроль предвзятости</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Тестирование на bias до и в ходе эксплуатации</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20А</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Аудит ИИ</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Отдельный журнал решений ИИ</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4Б.10</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Управление моделями</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MLOps: версии, мониторинг drift, откат</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12А, 14А</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Приватность</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Обезличивание данных обучения; данные в РТ</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5Е.3, 11А.6А</w:t>
            </w:r>
          </w:p>
        </w:tc>
      </w:tr>
    </w:tbl>
    <w:p>
      <w:pPr>
        <w:spacing w:after="160" w:before="60" w:line="240"/>
      </w:pPr>
      <w:r>
        <w:rPr>
          <w:i/>
          <w:iCs/>
          <w:color w:val="5A6B7B"/>
          <w:sz w:val="18"/>
          <w:szCs w:val="18"/>
        </w:rPr>
        <w:t xml:space="preserve">Таблица 22.2 — Принципы управления ИИ и контроли.</w:t>
      </w:r>
    </w:p>
    <w:p>
      <w:pPr>
        <w:pStyle w:val="Heading2"/>
      </w:pPr>
      <w:r>
        <w:t xml:space="preserve">22.3. Права граждан в отношении автоматизированных решений</w:t>
      </w:r>
    </w:p>
    <w:p>
      <w:pPr>
        <w:spacing w:after="120" w:line="276"/>
      </w:pPr>
      <w:r>
        <w:t xml:space="preserve">Отдельные сценарии Платформы предполагают автоматическое принятие решений или предзаполнение на основании правил и данных — например, автоматические проверки и расчёты (правила DMN, раздел 5А.3.1) и проактивные услуги (сценарий UC-C). В отношении таких автоматизированных решений гражданину гарантируются права, согласованные с Законом РТ № 1537 и направлением развития регулирования:</w:t>
      </w:r>
    </w:p>
    <w:p>
      <w:pPr>
        <w:pStyle w:val="ListParagraph"/>
        <w:numPr>
          <w:ilvl w:val="0"/>
          <w:numId w:val="2"/>
        </w:numPr>
        <w:spacing w:after="80" w:line="264"/>
      </w:pPr>
      <w:r>
        <w:rPr>
          <w:b/>
          <w:bCs/>
        </w:rPr>
        <w:t xml:space="preserve">Право на информирование. </w:t>
      </w:r>
      <w:r>
        <w:t xml:space="preserve">Гражданин уведомляется, если решение по его обращению принято автоматически или с участием ИИ.</w:t>
      </w:r>
    </w:p>
    <w:p>
      <w:pPr>
        <w:pStyle w:val="ListParagraph"/>
        <w:numPr>
          <w:ilvl w:val="0"/>
          <w:numId w:val="2"/>
        </w:numPr>
        <w:spacing w:after="80" w:line="264"/>
      </w:pPr>
      <w:r>
        <w:rPr>
          <w:b/>
          <w:bCs/>
        </w:rPr>
        <w:t xml:space="preserve">Право на объяснение. </w:t>
      </w:r>
      <w:r>
        <w:t xml:space="preserve">По запросу предоставляется понятное обоснование автоматизированного решения.</w:t>
      </w:r>
    </w:p>
    <w:p>
      <w:pPr>
        <w:pStyle w:val="ListParagraph"/>
        <w:numPr>
          <w:ilvl w:val="0"/>
          <w:numId w:val="2"/>
        </w:numPr>
        <w:spacing w:after="80" w:line="264"/>
      </w:pPr>
      <w:r>
        <w:rPr>
          <w:b/>
          <w:bCs/>
        </w:rPr>
        <w:t xml:space="preserve">Право на пересмотр человеком. </w:t>
      </w:r>
      <w:r>
        <w:t xml:space="preserve">Гражданин вправе запросить рассмотрение решения уполномоченным специалистом (человеком), а не только автоматизированной системой.</w:t>
      </w:r>
    </w:p>
    <w:p>
      <w:pPr>
        <w:pStyle w:val="ListParagraph"/>
        <w:numPr>
          <w:ilvl w:val="0"/>
          <w:numId w:val="2"/>
        </w:numPr>
        <w:spacing w:after="80" w:line="264"/>
      </w:pPr>
      <w:r>
        <w:rPr>
          <w:b/>
          <w:bCs/>
        </w:rPr>
        <w:t xml:space="preserve">Право на возражение. </w:t>
      </w:r>
      <w:r>
        <w:t xml:space="preserve">Гражданин вправе оспорить автоматизированное решение в установленном порядке.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Применение к проактивным услугам и правилам. </w:t>
            </w:r>
            <w:r>
              <w:rPr>
                <w:sz w:val="21"/>
                <w:szCs w:val="21"/>
              </w:rPr>
              <w:t xml:space="preserve">Проактивные услуги (UC-C) и автоматические решения по правилам (DMN) реализуют права из настоящего подраздела: гражданин может отказаться от проактивного предложения, запросить пересмотр человеком и получить обоснование. Это обеспечивает законность автоматизированной обработки.</w:t>
            </w:r>
          </w:p>
        </w:tc>
      </w:tr>
    </w:tbl>
    <w:p>
      <w:pPr>
        <w:pStyle w:val="Heading2"/>
      </w:pPr>
      <w:r>
        <w:t xml:space="preserve">22.4. Ограничение нагрузки со стороны AI-потребителей</w:t>
      </w:r>
    </w:p>
    <w:p>
      <w:pPr>
        <w:spacing w:after="120" w:line="276"/>
      </w:pPr>
      <w:r>
        <w:t xml:space="preserve">AI-агенты способны обращаться к интерфейсам Платформы многократно интенсивнее человека. Чтобы единичный сбойный или агрессивный агент не деградировал Платформу, для AI- и MCP-потребителей вводятся отдельные ограничения, дополняющие политики шлюза (раздел 5А.4) и устойчивость (раздел 4А.3).</w:t>
      </w:r>
    </w:p>
    <w:p>
      <w:pPr>
        <w:pStyle w:val="ListParagraph"/>
        <w:numPr>
          <w:ilvl w:val="0"/>
          <w:numId w:val="2"/>
        </w:numPr>
        <w:spacing w:after="80" w:line="264"/>
      </w:pPr>
      <w:r>
        <w:rPr>
          <w:b/>
          <w:bCs/>
        </w:rPr>
        <w:t xml:space="preserve">Отдельные квоты. </w:t>
      </w:r>
      <w:r>
        <w:t xml:space="preserve">Для MCP-серверов и AI-клиентов задаются собственные лимиты частоты запросов и квоты, отдельные от пользовательского трафика.</w:t>
      </w:r>
    </w:p>
    <w:p>
      <w:pPr>
        <w:pStyle w:val="ListParagraph"/>
        <w:numPr>
          <w:ilvl w:val="0"/>
          <w:numId w:val="2"/>
        </w:numPr>
        <w:spacing w:after="80" w:line="264"/>
      </w:pPr>
      <w:r>
        <w:rPr>
          <w:b/>
          <w:bCs/>
        </w:rPr>
        <w:t xml:space="preserve">Идентификация потребителя. </w:t>
      </w:r>
      <w:r>
        <w:t xml:space="preserve">Каждый AI-клиент аутентифицируется (OAuth 2.1, раздел 13Б.4); лимиты применяются по клиенту.</w:t>
      </w:r>
    </w:p>
    <w:p>
      <w:pPr>
        <w:pStyle w:val="ListParagraph"/>
        <w:numPr>
          <w:ilvl w:val="0"/>
          <w:numId w:val="2"/>
        </w:numPr>
        <w:spacing w:after="80" w:line="264"/>
      </w:pPr>
      <w:r>
        <w:rPr>
          <w:b/>
          <w:bCs/>
        </w:rPr>
        <w:t xml:space="preserve">Защита от всплесков. </w:t>
      </w:r>
      <w:r>
        <w:t xml:space="preserve">Ограничение пиковой интенсивности (burst), сброс нагрузки и приоритезация интерактивного пользовательского трафика над фоновым AI.</w:t>
      </w:r>
    </w:p>
    <w:p>
      <w:pPr>
        <w:pStyle w:val="ListParagraph"/>
        <w:numPr>
          <w:ilvl w:val="0"/>
          <w:numId w:val="2"/>
        </w:numPr>
        <w:spacing w:after="80" w:line="264"/>
      </w:pPr>
      <w:r>
        <w:rPr>
          <w:b/>
          <w:bCs/>
        </w:rPr>
        <w:t xml:space="preserve">Изоляция ресурсов. </w:t>
      </w:r>
      <w:r>
        <w:t xml:space="preserve">Перегородки (bulkhead) не позволяют AI-нагрузке исчерпать ресурсы, нужные пользовательским сценариям.</w:t>
      </w:r>
    </w:p>
    <w:p>
      <w:pPr>
        <w:pStyle w:val="ListParagraph"/>
        <w:numPr>
          <w:ilvl w:val="0"/>
          <w:numId w:val="2"/>
        </w:numPr>
        <w:spacing w:after="80" w:line="264"/>
      </w:pPr>
      <w:r>
        <w:rPr>
          <w:b/>
          <w:bCs/>
        </w:rPr>
        <w:t xml:space="preserve">Наблюдаемость. </w:t>
      </w:r>
      <w:r>
        <w:t xml:space="preserve">Нагрузка AI-потребителей отслеживается отдельными метриками; аномальный рост порождает оповещение (раздел 14А.4).</w:t>
      </w:r>
    </w:p>
    <w:p>
      <w:r>
        <w:br w:type="page"/>
      </w:r>
    </w:p>
    <w:p>
      <w:pPr>
        <w:pStyle w:val="Heading1"/>
      </w:pPr>
      <w:r>
        <w:t xml:space="preserve">Приложение А. Расширенный глоссарий</w:t>
      </w:r>
    </w:p>
    <w:p>
      <w:pPr>
        <w:spacing w:after="120" w:line="276"/>
      </w:pPr>
      <w:r>
        <w:t xml:space="preserve">Расширенный перечень терминов, дополняющий раздел 1.3. Термины упорядочены по алфавиту в пределах групп (латиница, затем кириллица).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Термин</w:t>
            </w:r>
          </w:p>
        </w:tc>
        <w:tc>
          <w:tcPr>
            <w:tcW w:type="dxa" w:w="6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Определение</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ACL (Anti-Corruption Layer)</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Антикоррупционный слой — преобразует внешние модели данных во внутренние, защищая доменную модель.</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 (Architecture Decision Record)</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Запись архитектурного решения: контекст, решение, альтернативы, последствия.</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Avro</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Формат сериализации данных со схемой; применяется для тел доменных событий.</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Backpressure</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Механизм сдерживания источника при перегрузке потребителя.</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Bounded Context</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Ограниченный контекст — граница применимости доменной модели (DDD).</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Canary</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Постепенный вывод новой версии на долю трафика для снижения риска.</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Circuit Breaker</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Размыкатель — прекращает вызовы к недоступной зависимости на время восстановления.</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Consumer-Driven Contract</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Контракт, определяемый ожиданиями потребителя API; проверяется у поставщика.</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DLQ (Dead Letter Queue)</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Очередь сообщений, которые не удалось обработать после повторов.</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Expand–Contract</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Стратегия миграции схемы БД без простоя (расширение, переход, сжатие).</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Feature Flag</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Признак функциональности — включение/выключение функции без передеплоя.</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GitOps</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Управление состоянием систем декларативно через Git как единый источник истины.</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HPA (Horizontal Pod Autoscaler)</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Горизонтальное автомасштабирование подов в Kubernetes.</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Idempotency Key</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Ключ идемпотентности — обеспечивает однократный эффект повторяемого запроса.</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JWT (JSON Web Token)</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Подписанный токен с утверждениями (claims) для аутентификации/авторизации.</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mTLS</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Взаимная аутентификация сторон по TLS-сертификатам.</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Outbox/Inbox</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Шаблоны надёжной публикации/обработки событий совместно с транзакцией БД.</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PITR (Point-in-Time Recovery)</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Восстановление БД на произвольный момент времени.</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Problem Details (RFC 9457)</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Стандартный машиночитаемый формат ошибок HTTP.</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Runbook</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Эксплуатационная инструкция с шагами диагностики и устранения.</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Saga</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Управление распределённой транзакцией через локальные шаги и компенсации.</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Service Mesh</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Слой управления межсервисным трафиком (mTLS, повторы, наблюдаемость).</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SLI / SLO / SLA</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Индикатор / цель / соглашение об уровне обслуживания.</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STRIDE</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Методология классификации угроз безопасности.</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Trunk-Based Development</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Разработка с частыми вливаниями в основную ветку и короткими ветками.</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Антикоррупционный слой</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См. ACL.</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Бюджет ошибок</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Допустимый объём сбоев за период, производный от SLO.</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Деградация</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Сохранение основной функциональности при отказе второстепенной.</w:t>
            </w:r>
          </w:p>
        </w:tc>
      </w:tr>
      <w:tr>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Идемпотентность</w:t>
            </w:r>
          </w:p>
        </w:tc>
        <w:tc>
          <w:tcPr>
            <w:tcW w:type="dxa" w:w="6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Свойство операции давать один эффект при повторном выполнении.</w:t>
            </w:r>
          </w:p>
        </w:tc>
      </w:tr>
      <w:tr>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Наблюдаемость</w:t>
            </w:r>
          </w:p>
        </w:tc>
        <w:tc>
          <w:tcPr>
            <w:tcW w:type="dxa" w:w="6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Способность понять состояние системы по метрикам, логам и трассам.</w:t>
            </w:r>
          </w:p>
        </w:tc>
      </w:tr>
    </w:tbl>
    <w:p>
      <w:r>
        <w:br w:type="page"/>
      </w:r>
    </w:p>
    <w:p>
      <w:pPr>
        <w:pStyle w:val="Heading1"/>
      </w:pPr>
      <w:r>
        <w:t xml:space="preserve">Приложение Б. Матрица трассируемости требований (RTM)</w:t>
      </w:r>
    </w:p>
    <w:p>
      <w:pPr>
        <w:spacing w:after="120" w:line="276"/>
      </w:pPr>
      <w:r>
        <w:t xml:space="preserve">Матрица связывает цели и требования с реализующими их разделами, компонентами и способами проверки. RTM обеспечивает прослеживаемость: каждое требование имеет реализацию и метод верификации. Идентификаторы требований используются в задачах и тестах.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300"/>
        <w:gridCol w:w="2500"/>
        <w:gridCol w:w="1460"/>
      </w:tblGrid>
      <w:tr>
        <w:trPr>
          <w:tblHeader/>
        </w:trPr>
        <w:tc>
          <w:tcPr>
            <w:tcW w:type="dxa" w:w="11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ID</w:t>
            </w:r>
          </w:p>
        </w:tc>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c>
          <w:tcPr>
            <w:tcW w:type="dxa" w:w="13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Раздел</w:t>
            </w:r>
          </w:p>
        </w:tc>
        <w:tc>
          <w:tcPr>
            <w:tcW w:type="dxa" w:w="25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Компонент/решение</w:t>
            </w:r>
          </w:p>
        </w:tc>
        <w:tc>
          <w:tcPr>
            <w:tcW w:type="dxa" w:w="14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Проверка</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FR-01</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Информирование об услугах</w:t>
            </w:r>
          </w:p>
        </w:tc>
        <w:tc>
          <w:tcPr>
            <w:tcW w:type="dxa" w:w="1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2.1, 7.1</w:t>
            </w:r>
          </w:p>
        </w:tc>
        <w:tc>
          <w:tcPr>
            <w:tcW w:type="dxa" w:w="2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Каталог услуг</w:t>
            </w:r>
          </w:p>
        </w:tc>
        <w:tc>
          <w:tcPr>
            <w:tcW w:type="dxa" w:w="1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E2E, функц.</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FR-02</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Подача заявления с автозаполнением</w:t>
            </w:r>
          </w:p>
        </w:tc>
        <w:tc>
          <w:tcPr>
            <w:tcW w:type="dxa" w:w="1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7.1, 7.3</w:t>
            </w:r>
          </w:p>
        </w:tc>
        <w:tc>
          <w:tcPr>
            <w:tcW w:type="dxa" w:w="2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 Формы, Межвед.</w:t>
            </w:r>
          </w:p>
        </w:tc>
        <w:tc>
          <w:tcPr>
            <w:tcW w:type="dxa" w:w="1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E2E (UC-A/B)</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FR-03</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Оплата пошлины</w:t>
            </w:r>
          </w:p>
        </w:tc>
        <w:tc>
          <w:tcPr>
            <w:tcW w:type="dxa" w:w="1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7.4</w:t>
            </w:r>
          </w:p>
        </w:tc>
        <w:tc>
          <w:tcPr>
            <w:tcW w:type="dxa" w:w="2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Платежи</w:t>
            </w:r>
          </w:p>
        </w:tc>
        <w:tc>
          <w:tcPr>
            <w:tcW w:type="dxa" w:w="1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E2E (UC-B)</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FR-04</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Межведомственные запросы</w:t>
            </w:r>
          </w:p>
        </w:tc>
        <w:tc>
          <w:tcPr>
            <w:tcW w:type="dxa" w:w="1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3.1, 13</w:t>
            </w:r>
          </w:p>
        </w:tc>
        <w:tc>
          <w:tcPr>
            <w:tcW w:type="dxa" w:w="2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 Smart Bridge</w:t>
            </w:r>
          </w:p>
        </w:tc>
        <w:tc>
          <w:tcPr>
            <w:tcW w:type="dxa" w:w="1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Интеграц.</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FR-05</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Решение специалиста (АРМ)</w:t>
            </w:r>
          </w:p>
        </w:tc>
        <w:tc>
          <w:tcPr>
            <w:tcW w:type="dxa" w:w="1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7.3.3</w:t>
            </w:r>
          </w:p>
        </w:tc>
        <w:tc>
          <w:tcPr>
            <w:tcW w:type="dxa" w:w="2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АРМ, BPM</w:t>
            </w:r>
          </w:p>
        </w:tc>
        <w:tc>
          <w:tcPr>
            <w:tcW w:type="dxa" w:w="1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E2E (UC-B)</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FR-06</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Результат с ЭЦП</w:t>
            </w:r>
          </w:p>
        </w:tc>
        <w:tc>
          <w:tcPr>
            <w:tcW w:type="dxa" w:w="1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7.1</w:t>
            </w:r>
          </w:p>
        </w:tc>
        <w:tc>
          <w:tcPr>
            <w:tcW w:type="dxa" w:w="2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Документы, ЭЦП</w:t>
            </w:r>
          </w:p>
        </w:tc>
        <w:tc>
          <w:tcPr>
            <w:tcW w:type="dxa" w:w="1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Функц., безоп.</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FR-07</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Уведомления</w:t>
            </w:r>
          </w:p>
        </w:tc>
        <w:tc>
          <w:tcPr>
            <w:tcW w:type="dxa" w:w="1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7.1</w:t>
            </w:r>
          </w:p>
        </w:tc>
        <w:tc>
          <w:tcPr>
            <w:tcW w:type="dxa" w:w="2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Уведомления</w:t>
            </w:r>
          </w:p>
        </w:tc>
        <w:tc>
          <w:tcPr>
            <w:tcW w:type="dxa" w:w="1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Функц.</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FR-08</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Проактивная услуга</w:t>
            </w:r>
          </w:p>
        </w:tc>
        <w:tc>
          <w:tcPr>
            <w:tcW w:type="dxa" w:w="1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3.7, 7.4</w:t>
            </w:r>
          </w:p>
        </w:tc>
        <w:tc>
          <w:tcPr>
            <w:tcW w:type="dxa" w:w="2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 Межвед.</w:t>
            </w:r>
          </w:p>
        </w:tc>
        <w:tc>
          <w:tcPr>
            <w:tcW w:type="dxa" w:w="1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E2E (UC-C)</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FR-09</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Создание услуг (Low-Code)</w:t>
            </w:r>
          </w:p>
        </w:tc>
        <w:tc>
          <w:tcPr>
            <w:tcW w:type="dxa" w:w="1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 6А</w:t>
            </w:r>
          </w:p>
        </w:tc>
        <w:tc>
          <w:tcPr>
            <w:tcW w:type="dxa" w:w="2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Конструкторы</w:t>
            </w:r>
          </w:p>
        </w:tc>
        <w:tc>
          <w:tcPr>
            <w:tcW w:type="dxa" w:w="1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Функц.</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FR-10</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Управление согласиями</w:t>
            </w:r>
          </w:p>
        </w:tc>
        <w:tc>
          <w:tcPr>
            <w:tcW w:type="dxa" w:w="1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11А.6</w:t>
            </w:r>
          </w:p>
        </w:tc>
        <w:tc>
          <w:tcPr>
            <w:tcW w:type="dxa" w:w="2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Профиль</w:t>
            </w:r>
          </w:p>
        </w:tc>
        <w:tc>
          <w:tcPr>
            <w:tcW w:type="dxa" w:w="1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Функц., безоп.</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NFR-01</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отклика P95 ≤ 1,5 с</w:t>
            </w:r>
          </w:p>
        </w:tc>
        <w:tc>
          <w:tcPr>
            <w:tcW w:type="dxa" w:w="1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12.1</w:t>
            </w:r>
          </w:p>
        </w:tc>
        <w:tc>
          <w:tcPr>
            <w:tcW w:type="dxa" w:w="2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Все, BFF, кэш</w:t>
            </w:r>
          </w:p>
        </w:tc>
        <w:tc>
          <w:tcPr>
            <w:tcW w:type="dxa" w:w="1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Нагруз.</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NFR-02</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 ≥ 99,95 %</w:t>
            </w:r>
          </w:p>
        </w:tc>
        <w:tc>
          <w:tcPr>
            <w:tcW w:type="dxa" w:w="1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12.2</w:t>
            </w:r>
          </w:p>
        </w:tc>
        <w:tc>
          <w:tcPr>
            <w:tcW w:type="dxa" w:w="2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K8s, 2 ЦОД</w:t>
            </w:r>
          </w:p>
        </w:tc>
        <w:tc>
          <w:tcPr>
            <w:tcW w:type="dxa" w:w="1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Chaos, мониторинг</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NFR-03</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RTO ≤ 1 ч / RPO ≤ 5 мин</w:t>
            </w:r>
          </w:p>
        </w:tc>
        <w:tc>
          <w:tcPr>
            <w:tcW w:type="dxa" w:w="1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12.2</w:t>
            </w:r>
          </w:p>
        </w:tc>
        <w:tc>
          <w:tcPr>
            <w:tcW w:type="dxa" w:w="2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pgBackRest, репликация</w:t>
            </w:r>
          </w:p>
        </w:tc>
        <w:tc>
          <w:tcPr>
            <w:tcW w:type="dxa" w:w="1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DR-учения</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NFR-04</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Масштаб ×10</w:t>
            </w:r>
          </w:p>
        </w:tc>
        <w:tc>
          <w:tcPr>
            <w:tcW w:type="dxa" w:w="1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12.3</w:t>
            </w:r>
          </w:p>
        </w:tc>
        <w:tc>
          <w:tcPr>
            <w:tcW w:type="dxa" w:w="2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HPA, автоскейл</w:t>
            </w:r>
          </w:p>
        </w:tc>
        <w:tc>
          <w:tcPr>
            <w:tcW w:type="dxa" w:w="1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Пиковый тест</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SEC-01</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Защита ПДн, суверенитет</w:t>
            </w:r>
          </w:p>
        </w:tc>
        <w:tc>
          <w:tcPr>
            <w:tcW w:type="dxa" w:w="1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11, 11А.6</w:t>
            </w:r>
          </w:p>
        </w:tc>
        <w:tc>
          <w:tcPr>
            <w:tcW w:type="dxa" w:w="2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Шифрование, RLS, 2 ЦОД РТ</w:t>
            </w:r>
          </w:p>
        </w:tc>
        <w:tc>
          <w:tcPr>
            <w:tcW w:type="dxa" w:w="1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Аудит безоп.</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SEC-02</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Нулевое доверие, mTLS</w:t>
            </w:r>
          </w:p>
        </w:tc>
        <w:tc>
          <w:tcPr>
            <w:tcW w:type="dxa" w:w="1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11А.1</w:t>
            </w:r>
          </w:p>
        </w:tc>
        <w:tc>
          <w:tcPr>
            <w:tcW w:type="dxa" w:w="2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Service mesh, IAM</w:t>
            </w:r>
          </w:p>
        </w:tc>
        <w:tc>
          <w:tcPr>
            <w:tcW w:type="dxa" w:w="1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Пентест</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SEC-03</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WORM-аудит</w:t>
            </w:r>
          </w:p>
        </w:tc>
        <w:tc>
          <w:tcPr>
            <w:tcW w:type="dxa" w:w="1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10, 4Б.10</w:t>
            </w:r>
          </w:p>
        </w:tc>
        <w:tc>
          <w:tcPr>
            <w:tcW w:type="dxa" w:w="2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Аудит</w:t>
            </w:r>
          </w:p>
        </w:tc>
        <w:tc>
          <w:tcPr>
            <w:tcW w:type="dxa" w:w="1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Функц., безоп.</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INT-01</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Только через Smart Bridge</w:t>
            </w:r>
          </w:p>
        </w:tc>
        <w:tc>
          <w:tcPr>
            <w:tcW w:type="dxa" w:w="1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13.1</w:t>
            </w:r>
          </w:p>
        </w:tc>
        <w:tc>
          <w:tcPr>
            <w:tcW w:type="dxa" w:w="2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 (ACL)</w:t>
            </w:r>
          </w:p>
        </w:tc>
        <w:tc>
          <w:tcPr>
            <w:tcW w:type="dxa" w:w="1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Интеграц.</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OPS-01</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CI/CD, GitOps</w:t>
            </w:r>
          </w:p>
        </w:tc>
        <w:tc>
          <w:tcPr>
            <w:tcW w:type="dxa" w:w="1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12А.4–5</w:t>
            </w:r>
          </w:p>
        </w:tc>
        <w:tc>
          <w:tcPr>
            <w:tcW w:type="dxa" w:w="2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GitLab CI, ArgoCD</w:t>
            </w:r>
          </w:p>
        </w:tc>
        <w:tc>
          <w:tcPr>
            <w:tcW w:type="dxa" w:w="1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Демонстрация</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OPS-02</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Наблюдаемость</w:t>
            </w:r>
          </w:p>
        </w:tc>
        <w:tc>
          <w:tcPr>
            <w:tcW w:type="dxa" w:w="1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14, 14А</w:t>
            </w:r>
          </w:p>
        </w:tc>
        <w:tc>
          <w:tcPr>
            <w:tcW w:type="dxa" w:w="2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Prometheus, OpenSearch, Jaeger</w:t>
            </w:r>
          </w:p>
        </w:tc>
        <w:tc>
          <w:tcPr>
            <w:tcW w:type="dxa" w:w="1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Демонстрация</w:t>
            </w:r>
          </w:p>
        </w:tc>
      </w:tr>
    </w:tbl>
    <w:p>
      <w:r>
        <w:br w:type="page"/>
      </w:r>
    </w:p>
    <w:p>
      <w:pPr>
        <w:pStyle w:val="Heading1"/>
      </w:pPr>
      <w:r>
        <w:t xml:space="preserve">Приложение В. Реестр рисков</w:t>
      </w:r>
    </w:p>
    <w:p>
      <w:pPr>
        <w:spacing w:after="120" w:line="276"/>
      </w:pPr>
      <w:r>
        <w:t xml:space="preserve">Расширенный реестр рисков с оценкой вероятности и воздействия (Н/С/В — низкое/среднее/высокое), мерами и владельцем. Реестр актуализируется на протяжении проекта.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700"/>
        <w:gridCol w:w="700"/>
        <w:gridCol w:w="3300"/>
        <w:gridCol w:w="1160"/>
      </w:tblGrid>
      <w:tr>
        <w:trPr>
          <w:tblHeader/>
        </w:trPr>
        <w:tc>
          <w:tcPr>
            <w:tcW w:type="dxa" w:w="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ID</w:t>
            </w:r>
          </w:p>
        </w:tc>
        <w:tc>
          <w:tcPr>
            <w:tcW w:type="dxa" w:w="2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Риск</w:t>
            </w:r>
          </w:p>
        </w:tc>
        <w:tc>
          <w:tcPr>
            <w:tcW w:type="dxa" w:w="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Вер.</w:t>
            </w:r>
          </w:p>
        </w:tc>
        <w:tc>
          <w:tcPr>
            <w:tcW w:type="dxa" w:w="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Возд.</w:t>
            </w:r>
          </w:p>
        </w:tc>
        <w:tc>
          <w:tcPr>
            <w:tcW w:type="dxa" w:w="33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Меры реагирования</w:t>
            </w:r>
          </w:p>
        </w:tc>
        <w:tc>
          <w:tcPr>
            <w:tcW w:type="dxa" w:w="1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Владелец</w:t>
            </w:r>
          </w:p>
        </w:tc>
      </w:tr>
      <w:tr>
        <w:tc>
          <w:tcPr>
            <w:tcW w:type="dxa" w:w="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R-01</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Сопровождение/EOL BPM-движка</w:t>
            </w:r>
          </w:p>
        </w:tc>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3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Open-source Camunda 7-совместимый движок (CIB seven / Operaton) либо Flowable; движок-нейтральные BPMN-модели</w:t>
            </w:r>
          </w:p>
        </w:tc>
        <w:tc>
          <w:tcPr>
            <w:tcW w:type="dxa" w:w="1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Архитектор</w:t>
            </w:r>
          </w:p>
        </w:tc>
      </w:tr>
      <w:tr>
        <w:tc>
          <w:tcPr>
            <w:tcW w:type="dxa" w:w="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R-02</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Недоступность Smart Bridge</w:t>
            </w:r>
          </w:p>
        </w:tc>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w:t>
            </w:r>
          </w:p>
        </w:tc>
        <w:tc>
          <w:tcPr>
            <w:tcW w:type="dxa" w:w="3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Circuit breaker, retry, DLQ, кэш</w:t>
            </w:r>
          </w:p>
        </w:tc>
        <w:tc>
          <w:tcPr>
            <w:tcW w:type="dxa" w:w="1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Тимлид интеграций</w:t>
            </w:r>
          </w:p>
        </w:tc>
      </w:tr>
      <w:tr>
        <w:tc>
          <w:tcPr>
            <w:tcW w:type="dxa" w:w="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R-03</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Ошибки миграции данных</w:t>
            </w:r>
          </w:p>
        </w:tc>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w:t>
            </w:r>
          </w:p>
        </w:tc>
        <w:tc>
          <w:tcPr>
            <w:tcW w:type="dxa" w:w="3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PITR, план отката, поэтапность</w:t>
            </w:r>
          </w:p>
        </w:tc>
        <w:tc>
          <w:tcPr>
            <w:tcW w:type="dxa" w:w="1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DBA</w:t>
            </w:r>
          </w:p>
        </w:tc>
      </w:tr>
      <w:tr>
        <w:tc>
          <w:tcPr>
            <w:tcW w:type="dxa" w:w="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R-04</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Дефицит кадров</w:t>
            </w:r>
          </w:p>
        </w:tc>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w:t>
            </w:r>
          </w:p>
        </w:tc>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3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Единый стек, Low-Code, обучение</w:t>
            </w:r>
          </w:p>
        </w:tc>
        <w:tc>
          <w:tcPr>
            <w:tcW w:type="dxa" w:w="1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Руководитель</w:t>
            </w:r>
          </w:p>
        </w:tc>
      </w:tr>
      <w:tr>
        <w:tc>
          <w:tcPr>
            <w:tcW w:type="dxa" w:w="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R-05</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DDoS/взлом</w:t>
            </w:r>
          </w:p>
        </w:tc>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w:t>
            </w:r>
          </w:p>
        </w:tc>
        <w:tc>
          <w:tcPr>
            <w:tcW w:type="dxa" w:w="3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WAF, anti-DDoS, SIEM/SOC, пентест</w:t>
            </w:r>
          </w:p>
        </w:tc>
        <w:tc>
          <w:tcPr>
            <w:tcW w:type="dxa" w:w="1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ИБ</w:t>
            </w:r>
          </w:p>
        </w:tc>
      </w:tr>
      <w:tr>
        <w:tc>
          <w:tcPr>
            <w:tcW w:type="dxa" w:w="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R-06</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Низкое принятие пользователями</w:t>
            </w:r>
          </w:p>
        </w:tc>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3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Mobile-first, жизненные ситуации</w:t>
            </w:r>
          </w:p>
        </w:tc>
        <w:tc>
          <w:tcPr>
            <w:tcW w:type="dxa" w:w="1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Продукт</w:t>
            </w:r>
          </w:p>
        </w:tc>
      </w:tr>
      <w:tr>
        <w:tc>
          <w:tcPr>
            <w:tcW w:type="dxa" w:w="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R-07</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Несоответствие SLA ведомств</w:t>
            </w:r>
          </w:p>
        </w:tc>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3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Деградация, SLA-таймеры, эскалация</w:t>
            </w:r>
          </w:p>
        </w:tc>
        <w:tc>
          <w:tcPr>
            <w:tcW w:type="dxa" w:w="1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Эксплуатация</w:t>
            </w:r>
          </w:p>
        </w:tc>
      </w:tr>
      <w:tr>
        <w:tc>
          <w:tcPr>
            <w:tcW w:type="dxa" w:w="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R-08</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Рост технического долга</w:t>
            </w:r>
          </w:p>
        </w:tc>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3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Контроль долга, рефакторинг</w:t>
            </w:r>
          </w:p>
        </w:tc>
        <w:tc>
          <w:tcPr>
            <w:tcW w:type="dxa" w:w="1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Тимлиды</w:t>
            </w:r>
          </w:p>
        </w:tc>
      </w:tr>
      <w:tr>
        <w:tc>
          <w:tcPr>
            <w:tcW w:type="dxa" w:w="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R-09</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Утечка ПДн</w:t>
            </w:r>
          </w:p>
        </w:tc>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w:t>
            </w:r>
          </w:p>
        </w:tc>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w:t>
            </w:r>
          </w:p>
        </w:tc>
        <w:tc>
          <w:tcPr>
            <w:tcW w:type="dxa" w:w="3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Шифрование, RLS, минимизация, аудит</w:t>
            </w:r>
          </w:p>
        </w:tc>
        <w:tc>
          <w:tcPr>
            <w:tcW w:type="dxa" w:w="1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ИБ</w:t>
            </w:r>
          </w:p>
        </w:tc>
      </w:tr>
      <w:tr>
        <w:tc>
          <w:tcPr>
            <w:tcW w:type="dxa" w:w="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R-10</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Превышение нагрузки в пик</w:t>
            </w:r>
          </w:p>
        </w:tc>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3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Автоскейл, нагрузочные тесты</w:t>
            </w:r>
          </w:p>
        </w:tc>
        <w:tc>
          <w:tcPr>
            <w:tcW w:type="dxa" w:w="1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SRE</w:t>
            </w:r>
          </w:p>
        </w:tc>
      </w:tr>
      <w:tr>
        <w:tc>
          <w:tcPr>
            <w:tcW w:type="dxa" w:w="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R-11</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 ЦОД</w:t>
            </w:r>
          </w:p>
        </w:tc>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w:t>
            </w:r>
          </w:p>
        </w:tc>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w:t>
            </w:r>
          </w:p>
        </w:tc>
        <w:tc>
          <w:tcPr>
            <w:tcW w:type="dxa" w:w="3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Active-Passive (Primary/Standby), DR-учения</w:t>
            </w:r>
          </w:p>
        </w:tc>
        <w:tc>
          <w:tcPr>
            <w:tcW w:type="dxa" w:w="1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SRE</w:t>
            </w:r>
          </w:p>
        </w:tc>
      </w:tr>
      <w:tr>
        <w:tc>
          <w:tcPr>
            <w:tcW w:type="dxa" w:w="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R-12</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Несовместимые изменения API</w:t>
            </w:r>
          </w:p>
        </w:tc>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3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Pact, версионирование, реестр схем</w:t>
            </w:r>
          </w:p>
        </w:tc>
        <w:tc>
          <w:tcPr>
            <w:tcW w:type="dxa" w:w="1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Архитектор</w:t>
            </w:r>
          </w:p>
        </w:tc>
      </w:tr>
      <w:tr>
        <w:tc>
          <w:tcPr>
            <w:tcW w:type="dxa" w:w="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R-13</w:t>
            </w:r>
          </w:p>
        </w:tc>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Задержка подключения ведомств</w:t>
            </w:r>
          </w:p>
        </w:tc>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3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Поэтапные волны, типовой коннектор</w:t>
            </w:r>
          </w:p>
        </w:tc>
        <w:tc>
          <w:tcPr>
            <w:tcW w:type="dxa" w:w="1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Интеграции</w:t>
            </w:r>
          </w:p>
        </w:tc>
      </w:tr>
      <w:tr>
        <w:tc>
          <w:tcPr>
            <w:tcW w:type="dxa" w:w="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R-14</w:t>
            </w:r>
          </w:p>
        </w:tc>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Сложность сопровождения</w:t>
            </w:r>
          </w:p>
        </w:tc>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w:t>
            </w:r>
          </w:p>
        </w:tc>
        <w:tc>
          <w:tcPr>
            <w:tcW w:type="dxa" w:w="3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Платформенная команда, стандарты</w:t>
            </w:r>
          </w:p>
        </w:tc>
        <w:tc>
          <w:tcPr>
            <w:tcW w:type="dxa" w:w="1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Руководитель</w:t>
            </w:r>
          </w:p>
        </w:tc>
      </w:tr>
    </w:tbl>
    <w:p>
      <w:r>
        <w:br w:type="page"/>
      </w:r>
    </w:p>
    <w:p>
      <w:pPr>
        <w:pStyle w:val="Heading1"/>
      </w:pPr>
      <w:r>
        <w:t xml:space="preserve">Приложение Г. Матрица ответственности (RACI)</w:t>
      </w:r>
    </w:p>
    <w:p>
      <w:pPr>
        <w:spacing w:after="120" w:line="276"/>
      </w:pPr>
      <w:r>
        <w:t xml:space="preserve">Распределение ответственности по ключевым процессам. R — исполнитель (Responsible), A — ответственный (Accountable), C — консультируемый (Consulted), I — информируемый (Informed). Роли: ПК — продуктовая команда, ПЛ — платформенная команда, АК — архитектурный комитет, ИБ — информационная безопасность, ЭК — эксплуатация/SRE, ЗК — заказчик.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000"/>
        <w:gridCol w:w="1000"/>
        <w:gridCol w:w="1000"/>
        <w:gridCol w:w="1000"/>
        <w:gridCol w:w="1000"/>
        <w:gridCol w:w="1000"/>
      </w:tblGrid>
      <w:tr>
        <w:trPr>
          <w:tblHeader/>
        </w:trPr>
        <w:tc>
          <w:tcPr>
            <w:tcW w:type="dxa" w:w="3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Процесс / решение</w:t>
            </w:r>
          </w:p>
        </w:tc>
        <w:tc>
          <w:tcPr>
            <w:tcW w:type="dxa" w:w="1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ПК</w:t>
            </w:r>
          </w:p>
        </w:tc>
        <w:tc>
          <w:tcPr>
            <w:tcW w:type="dxa" w:w="1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ПЛ</w:t>
            </w:r>
          </w:p>
        </w:tc>
        <w:tc>
          <w:tcPr>
            <w:tcW w:type="dxa" w:w="1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АК</w:t>
            </w:r>
          </w:p>
        </w:tc>
        <w:tc>
          <w:tcPr>
            <w:tcW w:type="dxa" w:w="1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ИБ</w:t>
            </w:r>
          </w:p>
        </w:tc>
        <w:tc>
          <w:tcPr>
            <w:tcW w:type="dxa" w:w="1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ЭК</w:t>
            </w:r>
          </w:p>
        </w:tc>
        <w:tc>
          <w:tcPr>
            <w:tcW w:type="dxa" w:w="1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ЗК</w:t>
            </w:r>
          </w:p>
        </w:tc>
      </w:tr>
      <w:tr>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Архитектурные решения (ADR)</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A/R</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r>
      <w:tr>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Разработка доменных сервисов</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A/R</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r>
      <w:tr>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Платформенные возможности</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A/R</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r>
      <w:tr>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Контракты API/событий</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r>
      <w:tr>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Модель угроз и контроли ИБ</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A/R</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r>
      <w:tr>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Развёртывание в PROD</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A/R</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r>
      <w:tr>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Управление инцидентами</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A/R</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r>
      <w:tr>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DR-учения</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A/R</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r>
      <w:tr>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Приёмка системы</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A/R</w:t>
            </w:r>
          </w:p>
        </w:tc>
      </w:tr>
      <w:tr>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Создание/изменение услуг (Low-Code)</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A/R</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w:t>
            </w:r>
          </w:p>
        </w:tc>
        <w:tc>
          <w:tcPr>
            <w:tcW w:type="dxa" w:w="1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r>
      <w:tr>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Подключение ведомств</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w:t>
            </w:r>
          </w:p>
        </w:tc>
        <w:tc>
          <w:tcPr>
            <w:tcW w:type="dxa" w:w="1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w:t>
            </w:r>
          </w:p>
        </w:tc>
      </w:tr>
    </w:tbl>
    <w:p>
      <w:r>
        <w:br w:type="page"/>
      </w:r>
    </w:p>
    <w:p>
      <w:pPr>
        <w:pStyle w:val="Heading1"/>
      </w:pPr>
      <w:r>
        <w:t xml:space="preserve">Приложение Д. Каталог нефункциональных требований</w:t>
      </w:r>
    </w:p>
    <w:p>
      <w:pPr>
        <w:spacing w:after="120" w:line="276"/>
      </w:pPr>
      <w:r>
        <w:t xml:space="preserve">Сводный каталог нефункциональных требований (НФТ) по категориям качества. Дополняет раздел 12; служит чек-листом при проектировании и приёмке.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Категория</w:t>
            </w:r>
          </w:p>
        </w:tc>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Требование</w:t>
            </w:r>
          </w:p>
        </w:tc>
        <w:tc>
          <w:tcPr>
            <w:tcW w:type="dxa" w:w="3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Целевое значение / критерий</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Производительность</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отклика веб (P95)</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1,5 с</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Производительность</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отклика API (P95)</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500 мс</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Производительность</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Пропускная способность</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3 000 rps (×10 в пик)</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Масштабируемость</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Горизонтальное масштабирование</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Автоматическое (HPA, узлы)</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Годовой Uptime</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99,95 %</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Надёжность</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RTO / RPO</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1 ч / ≤ 5 мин</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Отказоустойчивость</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 ЦОД</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Переключение ≤ 30 с</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Безопасность</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Шифрование, нулевое доверие</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TLS/mTLS, HSM, RBAC/ABAC</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Приватность</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Защита и суверенитет ПДн</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Хранение в РТ, согласия</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Сопровождаемость</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Единый стек, модульность</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DDD, контракты, стандарты</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Наблюдаемость</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Метрики/логи/трассы</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Полное покрытие, корреляция</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Совместимость</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Версионирование интерфейсов</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Совместимость в пределах vN</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Локализация</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Мультиязычность</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tg, ru (как минимум)</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 (a11y)</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 интерфейсов</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Соответствие признанным критериям</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Переносимость</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Опора на свободное ПО</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Минимизация vendor lock-in</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Тестируемость</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Автотесты всех уровней</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Покрытие ≥ порога</w:t>
            </w:r>
          </w:p>
        </w:tc>
      </w:tr>
    </w:tbl>
    <w:p>
      <w:r>
        <w:br w:type="page"/>
      </w:r>
    </w:p>
    <w:p>
      <w:pPr>
        <w:pStyle w:val="Heading1"/>
      </w:pPr>
      <w:r>
        <w:t xml:space="preserve">Приложение Е. Шаблон архитектурного решения (ADR)</w:t>
      </w:r>
    </w:p>
    <w:p>
      <w:pPr>
        <w:spacing w:after="120" w:line="276"/>
      </w:pPr>
      <w:r>
        <w:t xml:space="preserve">Архитектурные решения фиксируются по единому шаблону и хранятся в реестре ADR. Шаблон: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 ADR-NNNN: &lt;краткое название решения&gt;</w:t>
            </w:r>
          </w:p>
          <w:p>
            <w:pPr>
              <w:spacing w:after="0" w:line="240"/>
            </w:pPr>
            <w:r>
              <w:rPr>
                <w:rFonts w:ascii="Courier New" w:cs="Courier New" w:eastAsia="Courier New" w:hAnsi="Courier New"/>
                <w:color w:val="24292E"/>
                <w:sz w:val="17"/>
                <w:szCs w:val="17"/>
              </w:rPr>
              <w:t xml:space="preserve">Статус: предложено | принято | заменено (→ ADR-XXXX) | отклонено</w:t>
            </w:r>
          </w:p>
          <w:p>
            <w:pPr>
              <w:spacing w:after="0" w:line="240"/>
            </w:pPr>
            <w:r>
              <w:rPr>
                <w:rFonts w:ascii="Courier New" w:cs="Courier New" w:eastAsia="Courier New" w:hAnsi="Courier New"/>
                <w:color w:val="24292E"/>
                <w:sz w:val="17"/>
                <w:szCs w:val="17"/>
              </w:rPr>
              <w:t xml:space="preserve">Дата: ГГГГ-ММ-ДД</w:t>
            </w:r>
          </w:p>
          <w:p>
            <w:pPr>
              <w:spacing w:after="0" w:line="240"/>
            </w:pPr>
            <w:r>
              <w:rPr>
                <w:rFonts w:ascii="Courier New" w:cs="Courier New" w:eastAsia="Courier New" w:hAnsi="Courier New"/>
                <w:color w:val="24292E"/>
                <w:sz w:val="17"/>
                <w:szCs w:val="17"/>
              </w:rPr>
              <w:t xml:space="preserve">Контекст:</w:t>
            </w:r>
          </w:p>
          <w:p>
            <w:pPr>
              <w:spacing w:after="0" w:line="240"/>
            </w:pPr>
            <w:r>
              <w:rPr>
                <w:rFonts w:ascii="Courier New" w:cs="Courier New" w:eastAsia="Courier New" w:hAnsi="Courier New"/>
                <w:color w:val="24292E"/>
                <w:sz w:val="17"/>
                <w:szCs w:val="17"/>
              </w:rPr>
              <w:t xml:space="preserve">  &lt;какая проблема решается, какие силы и ограничения действуют&gt;</w:t>
            </w:r>
          </w:p>
          <w:p>
            <w:pPr>
              <w:spacing w:after="0" w:line="240"/>
            </w:pPr>
            <w:r>
              <w:rPr>
                <w:rFonts w:ascii="Courier New" w:cs="Courier New" w:eastAsia="Courier New" w:hAnsi="Courier New"/>
                <w:color w:val="24292E"/>
                <w:sz w:val="17"/>
                <w:szCs w:val="17"/>
              </w:rPr>
              <w:t xml:space="preserve">Решение:</w:t>
            </w:r>
          </w:p>
          <w:p>
            <w:pPr>
              <w:spacing w:after="0" w:line="240"/>
            </w:pPr>
            <w:r>
              <w:rPr>
                <w:rFonts w:ascii="Courier New" w:cs="Courier New" w:eastAsia="Courier New" w:hAnsi="Courier New"/>
                <w:color w:val="24292E"/>
                <w:sz w:val="17"/>
                <w:szCs w:val="17"/>
              </w:rPr>
              <w:t xml:space="preserve">  &lt;что именно решено сделать&gt;</w:t>
            </w:r>
          </w:p>
          <w:p>
            <w:pPr>
              <w:spacing w:after="0" w:line="240"/>
            </w:pPr>
            <w:r>
              <w:rPr>
                <w:rFonts w:ascii="Courier New" w:cs="Courier New" w:eastAsia="Courier New" w:hAnsi="Courier New"/>
                <w:color w:val="24292E"/>
                <w:sz w:val="17"/>
                <w:szCs w:val="17"/>
              </w:rPr>
              <w:t xml:space="preserve">Рассмотренные альтернативы:</w:t>
            </w:r>
          </w:p>
          <w:p>
            <w:pPr>
              <w:spacing w:after="0" w:line="240"/>
            </w:pPr>
            <w:r>
              <w:rPr>
                <w:rFonts w:ascii="Courier New" w:cs="Courier New" w:eastAsia="Courier New" w:hAnsi="Courier New"/>
                <w:color w:val="24292E"/>
                <w:sz w:val="17"/>
                <w:szCs w:val="17"/>
              </w:rPr>
              <w:t xml:space="preserve">  - Вариант А — плюсы/минусы, причина отклонения</w:t>
            </w:r>
          </w:p>
          <w:p>
            <w:pPr>
              <w:spacing w:after="0" w:line="240"/>
            </w:pPr>
            <w:r>
              <w:rPr>
                <w:rFonts w:ascii="Courier New" w:cs="Courier New" w:eastAsia="Courier New" w:hAnsi="Courier New"/>
                <w:color w:val="24292E"/>
                <w:sz w:val="17"/>
                <w:szCs w:val="17"/>
              </w:rPr>
              <w:t xml:space="preserve">  - Вариант Б — плюсы/минусы, причина отклонения</w:t>
            </w:r>
          </w:p>
          <w:p>
            <w:pPr>
              <w:spacing w:after="0" w:line="240"/>
            </w:pPr>
            <w:r>
              <w:rPr>
                <w:rFonts w:ascii="Courier New" w:cs="Courier New" w:eastAsia="Courier New" w:hAnsi="Courier New"/>
                <w:color w:val="24292E"/>
                <w:sz w:val="17"/>
                <w:szCs w:val="17"/>
              </w:rPr>
              <w:t xml:space="preserve">Последствия:</w:t>
            </w:r>
          </w:p>
          <w:p>
            <w:pPr>
              <w:spacing w:after="0" w:line="240"/>
            </w:pPr>
            <w:r>
              <w:rPr>
                <w:rFonts w:ascii="Courier New" w:cs="Courier New" w:eastAsia="Courier New" w:hAnsi="Courier New"/>
                <w:color w:val="24292E"/>
                <w:sz w:val="17"/>
                <w:szCs w:val="17"/>
              </w:rPr>
              <w:t xml:space="preserve">  Положительные: &lt;...&gt;</w:t>
            </w:r>
          </w:p>
          <w:p>
            <w:pPr>
              <w:spacing w:after="0" w:line="240"/>
            </w:pPr>
            <w:r>
              <w:rPr>
                <w:rFonts w:ascii="Courier New" w:cs="Courier New" w:eastAsia="Courier New" w:hAnsi="Courier New"/>
                <w:color w:val="24292E"/>
                <w:sz w:val="17"/>
                <w:szCs w:val="17"/>
              </w:rPr>
              <w:t xml:space="preserve">  Отрицательные / компромиссы: &lt;...&gt;</w:t>
            </w:r>
          </w:p>
          <w:p>
            <w:pPr>
              <w:spacing w:after="0" w:line="240"/>
            </w:pPr>
            <w:r>
              <w:rPr>
                <w:rFonts w:ascii="Courier New" w:cs="Courier New" w:eastAsia="Courier New" w:hAnsi="Courier New"/>
                <w:color w:val="24292E"/>
                <w:sz w:val="17"/>
                <w:szCs w:val="17"/>
              </w:rPr>
              <w:t xml:space="preserve">Связанные решения: ADR-..., требования: FR-.../NFR-...</w:t>
            </w:r>
          </w:p>
        </w:tc>
      </w:tr>
    </w:tbl>
    <w:p>
      <w:pPr>
        <w:spacing w:after="160" w:before="60" w:line="240"/>
      </w:pPr>
      <w:r>
        <w:rPr>
          <w:i/>
          <w:iCs/>
          <w:color w:val="5A6B7B"/>
          <w:sz w:val="18"/>
          <w:szCs w:val="18"/>
        </w:rPr>
        <w:t xml:space="preserve">Листинг Е.1 — Шаблон записи архитектурного решения.</w:t>
      </w:r>
    </w:p>
    <w:p>
      <w:pPr>
        <w:pStyle w:val="Heading2"/>
      </w:pPr>
      <w:r>
        <w:t xml:space="preserve">Е.1. Реестр принятых решений (выдержка)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1960"/>
      </w:tblGrid>
      <w:tr>
        <w:trPr>
          <w:tblHeader/>
        </w:trPr>
        <w:tc>
          <w:tcPr>
            <w:tcW w:type="dxa" w:w="1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ADR</w:t>
            </w:r>
          </w:p>
        </w:tc>
        <w:tc>
          <w:tcPr>
            <w:tcW w:type="dxa" w:w="5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Решение</w:t>
            </w:r>
          </w:p>
        </w:tc>
        <w:tc>
          <w:tcPr>
            <w:tcW w:type="dxa" w:w="1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Статус</w:t>
            </w:r>
          </w:p>
        </w:tc>
      </w:tr>
      <w:tr>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ADR-0001</w:t>
            </w:r>
          </w:p>
        </w:tc>
        <w:tc>
          <w:tcPr>
            <w:tcW w:type="dxa" w:w="5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Микросервисная архитектура (DDD)</w:t>
            </w:r>
          </w:p>
        </w:tc>
        <w:tc>
          <w:tcPr>
            <w:tcW w:type="dxa" w:w="1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w:t>
            </w:r>
          </w:p>
        </w:tc>
      </w:tr>
      <w:tr>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ADR-0002</w:t>
            </w:r>
          </w:p>
        </w:tc>
        <w:tc>
          <w:tcPr>
            <w:tcW w:type="dxa" w:w="5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BPM-движок: Camunda 7 / альт. open-source (без Camunda 8)</w:t>
            </w:r>
          </w:p>
        </w:tc>
        <w:tc>
          <w:tcPr>
            <w:tcW w:type="dxa" w:w="1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w:t>
            </w:r>
          </w:p>
        </w:tc>
      </w:tr>
      <w:tr>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ADR-0003</w:t>
            </w:r>
          </w:p>
        </w:tc>
        <w:tc>
          <w:tcPr>
            <w:tcW w:type="dxa" w:w="5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Form.io как конструктор форм</w:t>
            </w:r>
          </w:p>
        </w:tc>
        <w:tc>
          <w:tcPr>
            <w:tcW w:type="dxa" w:w="1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w:t>
            </w:r>
          </w:p>
        </w:tc>
      </w:tr>
      <w:tr>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ADR-0004</w:t>
            </w:r>
          </w:p>
        </w:tc>
        <w:tc>
          <w:tcPr>
            <w:tcW w:type="dxa" w:w="5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Kafka как событийная шина</w:t>
            </w:r>
          </w:p>
        </w:tc>
        <w:tc>
          <w:tcPr>
            <w:tcW w:type="dxa" w:w="1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w:t>
            </w:r>
          </w:p>
        </w:tc>
      </w:tr>
      <w:tr>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ADR-0005</w:t>
            </w:r>
          </w:p>
        </w:tc>
        <w:tc>
          <w:tcPr>
            <w:tcW w:type="dxa" w:w="5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PostgreSQL (коммерческая) как основная СУБД</w:t>
            </w:r>
          </w:p>
        </w:tc>
        <w:tc>
          <w:tcPr>
            <w:tcW w:type="dxa" w:w="1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w:t>
            </w:r>
          </w:p>
        </w:tc>
      </w:tr>
      <w:tr>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ADR-0006</w:t>
            </w:r>
          </w:p>
        </w:tc>
        <w:tc>
          <w:tcPr>
            <w:tcW w:type="dxa" w:w="5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Kong как Ingress + API Gateway</w:t>
            </w:r>
          </w:p>
        </w:tc>
        <w:tc>
          <w:tcPr>
            <w:tcW w:type="dxa" w:w="1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w:t>
            </w:r>
          </w:p>
        </w:tc>
      </w:tr>
      <w:tr>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ADR-0007</w:t>
            </w:r>
          </w:p>
        </w:tc>
        <w:tc>
          <w:tcPr>
            <w:tcW w:type="dxa" w:w="5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Keycloak как IAM (OIDC)</w:t>
            </w:r>
          </w:p>
        </w:tc>
        <w:tc>
          <w:tcPr>
            <w:tcW w:type="dxa" w:w="1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w:t>
            </w:r>
          </w:p>
        </w:tc>
      </w:tr>
      <w:tr>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ADR-0008</w:t>
            </w:r>
          </w:p>
        </w:tc>
        <w:tc>
          <w:tcPr>
            <w:tcW w:type="dxa" w:w="5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GitOps (ArgoCD) для развёртывания</w:t>
            </w:r>
          </w:p>
        </w:tc>
        <w:tc>
          <w:tcPr>
            <w:tcW w:type="dxa" w:w="1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w:t>
            </w:r>
          </w:p>
        </w:tc>
      </w:tr>
      <w:tr>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ADR-0009</w:t>
            </w:r>
          </w:p>
        </w:tc>
        <w:tc>
          <w:tcPr>
            <w:tcW w:type="dxa" w:w="5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Active-Passive (write) в двух ЦОД; чтение в обоих</w:t>
            </w:r>
          </w:p>
        </w:tc>
        <w:tc>
          <w:tcPr>
            <w:tcW w:type="dxa" w:w="1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w:t>
            </w:r>
          </w:p>
        </w:tc>
      </w:tr>
      <w:tr>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ADR-0010</w:t>
            </w:r>
          </w:p>
        </w:tc>
        <w:tc>
          <w:tcPr>
            <w:tcW w:type="dxa" w:w="5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Итоговая согласованность + Saga; идемпотентность в PostgreSQL</w:t>
            </w:r>
          </w:p>
        </w:tc>
        <w:tc>
          <w:tcPr>
            <w:tcW w:type="dxa" w:w="1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w:t>
            </w:r>
          </w:p>
        </w:tc>
      </w:tr>
      <w:tr>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ADR-0011</w:t>
            </w:r>
          </w:p>
        </w:tc>
        <w:tc>
          <w:tcPr>
            <w:tcW w:type="dxa" w:w="5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Transactional Outbox для событий</w:t>
            </w:r>
          </w:p>
        </w:tc>
        <w:tc>
          <w:tcPr>
            <w:tcW w:type="dxa" w:w="1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w:t>
            </w:r>
          </w:p>
        </w:tc>
      </w:tr>
      <w:tr>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ADR-0012</w:t>
            </w:r>
          </w:p>
        </w:tc>
        <w:tc>
          <w:tcPr>
            <w:tcW w:type="dxa" w:w="5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Версионирование API в пути (/vN)</w:t>
            </w:r>
          </w:p>
        </w:tc>
        <w:tc>
          <w:tcPr>
            <w:tcW w:type="dxa" w:w="1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w:t>
            </w:r>
          </w:p>
        </w:tc>
      </w:tr>
      <w:tr>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ADR-0013</w:t>
            </w:r>
          </w:p>
        </w:tc>
        <w:tc>
          <w:tcPr>
            <w:tcW w:type="dxa" w:w="5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Согласия (consent) — модуль в profile-service, не отдельный сервис</w:t>
            </w:r>
          </w:p>
        </w:tc>
        <w:tc>
          <w:tcPr>
            <w:tcW w:type="dxa" w:w="1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w:t>
            </w:r>
          </w:p>
        </w:tc>
      </w:tr>
      <w:tr>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ADR-0014</w:t>
            </w:r>
          </w:p>
        </w:tc>
        <w:tc>
          <w:tcPr>
            <w:tcW w:type="dxa" w:w="5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Человек в контуре для юридически значимых решений ИИ</w:t>
            </w:r>
          </w:p>
        </w:tc>
        <w:tc>
          <w:tcPr>
            <w:tcW w:type="dxa" w:w="1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w:t>
            </w:r>
          </w:p>
        </w:tc>
      </w:tr>
      <w:tr>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ADR-0015</w:t>
            </w:r>
          </w:p>
        </w:tc>
        <w:tc>
          <w:tcPr>
            <w:tcW w:type="dxa" w:w="5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Аналитика на ClickHouse (OLAP); OpenSearch — только логи (раздел 5Е, перспектива)</w:t>
            </w:r>
          </w:p>
        </w:tc>
        <w:tc>
          <w:tcPr>
            <w:tcW w:type="dxa" w:w="1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w:t>
            </w:r>
          </w:p>
        </w:tc>
      </w:tr>
      <w:tr>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ADR-0016</w:t>
            </w:r>
          </w:p>
        </w:tc>
        <w:tc>
          <w:tcPr>
            <w:tcW w:type="dxa" w:w="5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AI-доступ: REST/OpenAPI (Tools) в фазе 1; полный MCP — этап 6</w:t>
            </w:r>
          </w:p>
        </w:tc>
        <w:tc>
          <w:tcPr>
            <w:tcW w:type="dxa" w:w="1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принято</w:t>
            </w:r>
          </w:p>
        </w:tc>
      </w:tr>
    </w:tbl>
    <w:p>
      <w:r>
        <w:br w:type="page"/>
      </w:r>
    </w:p>
    <w:p>
      <w:pPr>
        <w:pStyle w:val="Heading1"/>
      </w:pPr>
      <w:r>
        <w:t xml:space="preserve">Приложение Ж. Шаблон описания услуги</w:t>
      </w:r>
    </w:p>
    <w:p>
      <w:pPr>
        <w:spacing w:after="120" w:line="276"/>
      </w:pPr>
      <w:r>
        <w:t xml:space="preserve">Каждая услуга описывается по единому шаблону при создании в каталоге (раздел 4Б.1). Шаблон обеспечивает полноту и единообразие описаний для всех 700+ услуг.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Поле</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Наименование</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Мультиязычное (tg, ru) наименование услуги.</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Ведомство-владелец</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Орган, ответственный за оказание.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Категория / жизненная ситуация</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Классификация для навигации.</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Получатели</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Граждане / организации / оба.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Регламент: срок</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Нормативный срок оказания.</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Регламент: стоимость</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Размер пошлины или бесплатно (правило DMN).</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Необходимые документы</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Перечень (с учётом Once-Only — что получается из реестров).</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Процесс (BPMN)</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Привязка к версии процесса.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Форма (Form.io)</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Привязка к версии формы.</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Правила (DMN)</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Привязка к версиям правил.</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Маршрут и роли</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Исполнители, сроки шагов (SLA), эскалации.</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Результат</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Тип результирующего документа, необходимость ЭЦП.</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Основания для отказа</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Перечень оснований.</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Межведомственные запросы</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Какие сведения и из каких реестров.</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Шаблоны уведомлений</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Привязка по событиям и каналам.</w:t>
            </w:r>
          </w:p>
        </w:tc>
      </w:tr>
    </w:tbl>
    <w:p>
      <w:r>
        <w:br w:type="page"/>
      </w:r>
    </w:p>
    <w:p>
      <w:pPr>
        <w:pStyle w:val="Heading1"/>
      </w:pPr>
      <w:r>
        <w:t xml:space="preserve">Приложение И. Реестр интеграций</w:t>
      </w:r>
    </w:p>
    <w:p>
      <w:pPr>
        <w:spacing w:after="120" w:line="276"/>
      </w:pPr>
      <w:r>
        <w:t xml:space="preserve">Сводный реестр интеграций через Smart Bridge (дополняет раздел 13). Для каждого подключения указываются предоставляемые сведения и статус.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1100"/>
        <w:gridCol w:w="16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Ведомство</w:t>
            </w:r>
          </w:p>
        </w:tc>
        <w:tc>
          <w:tcPr>
            <w:tcW w:type="dxa" w:w="4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Предоставляемые сведения</w:t>
            </w:r>
          </w:p>
        </w:tc>
        <w:tc>
          <w:tcPr>
            <w:tcW w:type="dxa" w:w="11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Волна</w:t>
            </w:r>
          </w:p>
        </w:tc>
        <w:tc>
          <w:tcPr>
            <w:tcW w:type="dxa" w:w="16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Статус</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МВД</w:t>
            </w:r>
          </w:p>
        </w:tc>
        <w:tc>
          <w:tcPr>
            <w:tcW w:type="dxa" w:w="4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Личность, паспортные данные, справки</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1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Подключено</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Минюст / ЗАГС</w:t>
            </w:r>
          </w:p>
        </w:tc>
        <w:tc>
          <w:tcPr>
            <w:tcW w:type="dxa" w:w="4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Юрлица, акты гражданского состояния</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1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Подключено</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Минтранс</w:t>
            </w:r>
          </w:p>
        </w:tc>
        <w:tc>
          <w:tcPr>
            <w:tcW w:type="dxa" w:w="4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Водительские удостоверения, регистрация ТС</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1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Подключено</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Минздрав</w:t>
            </w:r>
          </w:p>
        </w:tc>
        <w:tc>
          <w:tcPr>
            <w:tcW w:type="dxa" w:w="4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Медицинские справки, лицензии</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1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Подключено</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Налоговый комитет</w:t>
            </w:r>
          </w:p>
        </w:tc>
        <w:tc>
          <w:tcPr>
            <w:tcW w:type="dxa" w:w="4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ИНН, сведения о задолженности</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1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Подключено</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Таможня</w:t>
            </w:r>
          </w:p>
        </w:tc>
        <w:tc>
          <w:tcPr>
            <w:tcW w:type="dxa" w:w="4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Декларации</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1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Подключено</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Соцзащита</w:t>
            </w:r>
          </w:p>
        </w:tc>
        <w:tc>
          <w:tcPr>
            <w:tcW w:type="dxa" w:w="4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Пенсии, пособия</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1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Подключено</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Нацбанк</w:t>
            </w:r>
          </w:p>
        </w:tc>
        <w:tc>
          <w:tcPr>
            <w:tcW w:type="dxa" w:w="4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Платежи, курсы валют</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1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Подключено</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ГАИ</w:t>
            </w:r>
          </w:p>
        </w:tc>
        <w:tc>
          <w:tcPr>
            <w:tcW w:type="dxa" w:w="4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Штрафы, техосмотр</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1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Подключено</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Миграционная служба</w:t>
            </w:r>
          </w:p>
        </w:tc>
        <w:tc>
          <w:tcPr>
            <w:tcW w:type="dxa" w:w="4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Визы, виды на жительство</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1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План Q1 2027</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Служба занятости</w:t>
            </w:r>
          </w:p>
        </w:tc>
        <w:tc>
          <w:tcPr>
            <w:tcW w:type="dxa" w:w="4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Вакансии, регистрация</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1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План Q2 2027</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Образование</w:t>
            </w:r>
          </w:p>
        </w:tc>
        <w:tc>
          <w:tcPr>
            <w:tcW w:type="dxa" w:w="4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Дипломы, сведения об обучении</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1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План Q2 2027</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Земельный комитет</w:t>
            </w:r>
          </w:p>
        </w:tc>
        <w:tc>
          <w:tcPr>
            <w:tcW w:type="dxa" w:w="4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Кадастровые сведения</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1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План Q3 2027</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Энергетика</w:t>
            </w:r>
          </w:p>
        </w:tc>
        <w:tc>
          <w:tcPr>
            <w:tcW w:type="dxa" w:w="4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Лицензии</w:t>
            </w:r>
          </w:p>
        </w:tc>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16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План Q3 2027</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Муниципалитеты</w:t>
            </w:r>
          </w:p>
        </w:tc>
        <w:tc>
          <w:tcPr>
            <w:tcW w:type="dxa" w:w="4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Разрешения</w:t>
            </w:r>
          </w:p>
        </w:tc>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16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План Q4 2027</w:t>
            </w:r>
          </w:p>
        </w:tc>
      </w:tr>
    </w:tbl>
    <w:p>
      <w:r>
        <w:br w:type="page"/>
      </w:r>
    </w:p>
    <w:p>
      <w:pPr>
        <w:pStyle w:val="Heading1"/>
      </w:pPr>
      <w:r>
        <w:t xml:space="preserve">Приложение К. Чек-листы готовности</w:t>
      </w:r>
    </w:p>
    <w:p>
      <w:pPr>
        <w:pStyle w:val="Heading2"/>
      </w:pPr>
      <w:r>
        <w:t xml:space="preserve">К.1. Чек-лист готовности сервиса к выпуску</w:t>
      </w:r>
    </w:p>
    <w:p>
      <w:pPr>
        <w:pStyle w:val="ListParagraph"/>
        <w:numPr>
          <w:ilvl w:val="0"/>
          <w:numId w:val="2"/>
        </w:numPr>
        <w:spacing w:after="80" w:line="264"/>
      </w:pPr>
      <w:r>
        <w:t xml:space="preserve">контракт API (OpenAPI) опубликован и совместим;</w:t>
      </w:r>
    </w:p>
    <w:p>
      <w:pPr>
        <w:pStyle w:val="ListParagraph"/>
        <w:numPr>
          <w:ilvl w:val="0"/>
          <w:numId w:val="2"/>
        </w:numPr>
        <w:spacing w:after="80" w:line="264"/>
      </w:pPr>
      <w:r>
        <w:t xml:space="preserve">схемы событий зарегистрированы и обратно-совместимы;</w:t>
      </w:r>
    </w:p>
    <w:p>
      <w:pPr>
        <w:pStyle w:val="ListParagraph"/>
        <w:numPr>
          <w:ilvl w:val="0"/>
          <w:numId w:val="2"/>
        </w:numPr>
        <w:spacing w:after="80" w:line="264"/>
      </w:pPr>
      <w:r>
        <w:t xml:space="preserve">модульные, интеграционные и контрактные тесты пройдены, покрытие ≥ порога;</w:t>
      </w:r>
    </w:p>
    <w:p>
      <w:pPr>
        <w:pStyle w:val="ListParagraph"/>
        <w:numPr>
          <w:ilvl w:val="0"/>
          <w:numId w:val="2"/>
        </w:numPr>
        <w:spacing w:after="80" w:line="264"/>
      </w:pPr>
      <w:r>
        <w:t xml:space="preserve">нет критических уязвимостей (SAST/SCA/DAST), образ подписан и просканирован;</w:t>
      </w:r>
    </w:p>
    <w:p>
      <w:pPr>
        <w:pStyle w:val="ListParagraph"/>
        <w:numPr>
          <w:ilvl w:val="0"/>
          <w:numId w:val="2"/>
        </w:numPr>
        <w:spacing w:after="80" w:line="264"/>
      </w:pPr>
      <w:r>
        <w:t xml:space="preserve">заданы requests/limits, probes, PDB, анти-аффинити;</w:t>
      </w:r>
    </w:p>
    <w:p>
      <w:pPr>
        <w:pStyle w:val="ListParagraph"/>
        <w:numPr>
          <w:ilvl w:val="0"/>
          <w:numId w:val="2"/>
        </w:numPr>
        <w:spacing w:after="80" w:line="264"/>
      </w:pPr>
      <w:r>
        <w:t xml:space="preserve">настроены метрики, логи, трассировка, дашборд и алерты;</w:t>
      </w:r>
    </w:p>
    <w:p>
      <w:pPr>
        <w:pStyle w:val="ListParagraph"/>
        <w:numPr>
          <w:ilvl w:val="0"/>
          <w:numId w:val="2"/>
        </w:numPr>
        <w:spacing w:after="80" w:line="264"/>
      </w:pPr>
      <w:r>
        <w:t xml:space="preserve">подготовлен runbook; определены SLO;</w:t>
      </w:r>
    </w:p>
    <w:p>
      <w:pPr>
        <w:pStyle w:val="ListParagraph"/>
        <w:numPr>
          <w:ilvl w:val="0"/>
          <w:numId w:val="2"/>
        </w:numPr>
        <w:spacing w:after="80" w:line="264"/>
      </w:pPr>
      <w:r>
        <w:t xml:space="preserve">секреты вынесены в OpenBao; конфигурация по средам;</w:t>
      </w:r>
    </w:p>
    <w:p>
      <w:pPr>
        <w:pStyle w:val="ListParagraph"/>
        <w:numPr>
          <w:ilvl w:val="0"/>
          <w:numId w:val="2"/>
        </w:numPr>
        <w:spacing w:after="80" w:line="264"/>
      </w:pPr>
      <w:r>
        <w:t xml:space="preserve">миграции БД по стратегии expand–contract; план отката.</w:t>
      </w:r>
    </w:p>
    <w:p>
      <w:pPr>
        <w:pStyle w:val="Heading2"/>
      </w:pPr>
      <w:r>
        <w:t xml:space="preserve">К.2. Чек-лист готовности услуги к публикации</w:t>
      </w:r>
    </w:p>
    <w:p>
      <w:pPr>
        <w:pStyle w:val="ListParagraph"/>
        <w:numPr>
          <w:ilvl w:val="0"/>
          <w:numId w:val="2"/>
        </w:numPr>
        <w:spacing w:after="80" w:line="264"/>
      </w:pPr>
      <w:r>
        <w:t xml:space="preserve">заполнено описание по шаблону (Приложение Ж), мультиязычность;</w:t>
      </w:r>
    </w:p>
    <w:p>
      <w:pPr>
        <w:pStyle w:val="ListParagraph"/>
        <w:numPr>
          <w:ilvl w:val="0"/>
          <w:numId w:val="2"/>
        </w:numPr>
        <w:spacing w:after="80" w:line="264"/>
      </w:pPr>
      <w:r>
        <w:t xml:space="preserve">процесс (BPMN), форма (Form.io), правила (DMN) привязаны и валидны;</w:t>
      </w:r>
    </w:p>
    <w:p>
      <w:pPr>
        <w:pStyle w:val="ListParagraph"/>
        <w:numPr>
          <w:ilvl w:val="0"/>
          <w:numId w:val="2"/>
        </w:numPr>
        <w:spacing w:after="80" w:line="264"/>
      </w:pPr>
      <w:r>
        <w:t xml:space="preserve">маршрут, роли, сроки (SLA) и эскалации настроены;</w:t>
      </w:r>
    </w:p>
    <w:p>
      <w:pPr>
        <w:pStyle w:val="ListParagraph"/>
        <w:numPr>
          <w:ilvl w:val="0"/>
          <w:numId w:val="2"/>
        </w:numPr>
        <w:spacing w:after="80" w:line="264"/>
      </w:pPr>
      <w:r>
        <w:t xml:space="preserve">межведомственные запросы настроены; согласия учтены;</w:t>
      </w:r>
    </w:p>
    <w:p>
      <w:pPr>
        <w:pStyle w:val="ListParagraph"/>
        <w:numPr>
          <w:ilvl w:val="0"/>
          <w:numId w:val="2"/>
        </w:numPr>
        <w:spacing w:after="80" w:line="264"/>
      </w:pPr>
      <w:r>
        <w:t xml:space="preserve">шаблоны уведомлений и результирующих документов готовы;</w:t>
      </w:r>
    </w:p>
    <w:p>
      <w:pPr>
        <w:pStyle w:val="ListParagraph"/>
        <w:numPr>
          <w:ilvl w:val="0"/>
          <w:numId w:val="2"/>
        </w:numPr>
        <w:spacing w:after="80" w:line="264"/>
      </w:pPr>
      <w:r>
        <w:t xml:space="preserve">услуга проверена по эталонным сценариям (UC-A/B/C) в песочнице;</w:t>
      </w:r>
    </w:p>
    <w:p>
      <w:pPr>
        <w:pStyle w:val="ListParagraph"/>
        <w:numPr>
          <w:ilvl w:val="0"/>
          <w:numId w:val="2"/>
        </w:numPr>
        <w:spacing w:after="80" w:line="264"/>
      </w:pPr>
      <w:r>
        <w:t xml:space="preserve">публикация через feature flag (canary), план отката.</w:t>
      </w:r>
    </w:p>
    <w:p>
      <w:pPr>
        <w:pStyle w:val="Heading2"/>
      </w:pPr>
      <w:r>
        <w:t xml:space="preserve">К.3. Чек-лист приёмки в эксплуатацию</w:t>
      </w:r>
    </w:p>
    <w:p>
      <w:pPr>
        <w:pStyle w:val="ListParagraph"/>
        <w:numPr>
          <w:ilvl w:val="0"/>
          <w:numId w:val="2"/>
        </w:numPr>
        <w:spacing w:after="80" w:line="264"/>
      </w:pPr>
      <w:r>
        <w:t xml:space="preserve">целевые показатели раздела 2.2 достигнуты в опытной эксплуатации;</w:t>
      </w:r>
    </w:p>
    <w:p>
      <w:pPr>
        <w:pStyle w:val="ListParagraph"/>
        <w:numPr>
          <w:ilvl w:val="0"/>
          <w:numId w:val="2"/>
        </w:numPr>
        <w:spacing w:after="80" w:line="264"/>
      </w:pPr>
      <w:r>
        <w:t xml:space="preserve">все виды испытаний (раздел 20) пройдены;</w:t>
      </w:r>
    </w:p>
    <w:p>
      <w:pPr>
        <w:pStyle w:val="ListParagraph"/>
        <w:numPr>
          <w:ilvl w:val="0"/>
          <w:numId w:val="2"/>
        </w:numPr>
        <w:spacing w:after="80" w:line="264"/>
      </w:pPr>
      <w:r>
        <w:t xml:space="preserve">DR-учения проведены, RTO/RPO подтверждены;</w:t>
      </w:r>
    </w:p>
    <w:p>
      <w:pPr>
        <w:pStyle w:val="ListParagraph"/>
        <w:numPr>
          <w:ilvl w:val="0"/>
          <w:numId w:val="2"/>
        </w:numPr>
        <w:spacing w:after="80" w:line="264"/>
      </w:pPr>
      <w:r>
        <w:t xml:space="preserve">аудит безопасности и пентест без критических замечаний;</w:t>
      </w:r>
    </w:p>
    <w:p>
      <w:pPr>
        <w:pStyle w:val="ListParagraph"/>
        <w:numPr>
          <w:ilvl w:val="0"/>
          <w:numId w:val="2"/>
        </w:numPr>
        <w:spacing w:after="80" w:line="264"/>
      </w:pPr>
      <w:r>
        <w:t xml:space="preserve">документация, runbook, база знаний переданы заказчику;</w:t>
      </w:r>
    </w:p>
    <w:p>
      <w:pPr>
        <w:pStyle w:val="ListParagraph"/>
        <w:numPr>
          <w:ilvl w:val="0"/>
          <w:numId w:val="2"/>
        </w:numPr>
        <w:spacing w:after="80" w:line="264"/>
      </w:pPr>
      <w:r>
        <w:t xml:space="preserve">обучение специалистов и администраторов проведено.</w:t>
      </w:r>
    </w:p>
    <w:p>
      <w:r>
        <w:br w:type="page"/>
      </w:r>
    </w:p>
    <w:p>
      <w:pPr>
        <w:pStyle w:val="Heading1"/>
      </w:pPr>
      <w:r>
        <w:t xml:space="preserve">Приложение Л. Каталог кодов ошибок</w:t>
      </w:r>
    </w:p>
    <w:p>
      <w:pPr>
        <w:spacing w:after="120" w:line="276"/>
      </w:pPr>
      <w:r>
        <w:t xml:space="preserve">Сводный каталог кодов ошибок Платформы (дополняет раздел 5В.2). Коды единообразны для всех сервисов; каналы отображают локализованные сообщения по коду.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900"/>
        <w:gridCol w:w="39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Код</w:t>
            </w:r>
          </w:p>
        </w:tc>
        <w:tc>
          <w:tcPr>
            <w:tcW w:type="dxa" w:w="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HTTP</w:t>
            </w:r>
          </w:p>
        </w:tc>
        <w:tc>
          <w:tcPr>
            <w:tcW w:type="dxa" w:w="1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Категория</w:t>
            </w:r>
          </w:p>
        </w:tc>
        <w:tc>
          <w:tcPr>
            <w:tcW w:type="dxa" w:w="3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 / условие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AUTH_REQUIRED</w:t>
            </w:r>
          </w:p>
        </w:tc>
        <w:tc>
          <w:tcPr>
            <w:tcW w:type="dxa" w:w="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401</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Аутентификация</w:t>
            </w:r>
          </w:p>
        </w:tc>
        <w:tc>
          <w:tcPr>
            <w:tcW w:type="dxa" w:w="3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Отсутствует или недействителен токен.</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AUTH_EXPIRED</w:t>
            </w:r>
          </w:p>
        </w:tc>
        <w:tc>
          <w:tcPr>
            <w:tcW w:type="dxa" w:w="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401</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Аутентификация</w:t>
            </w:r>
          </w:p>
        </w:tc>
        <w:tc>
          <w:tcPr>
            <w:tcW w:type="dxa" w:w="3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Срок действия токена истёк.</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FORBIDDEN</w:t>
            </w:r>
          </w:p>
        </w:tc>
        <w:tc>
          <w:tcPr>
            <w:tcW w:type="dxa" w:w="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403</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Авторизация</w:t>
            </w:r>
          </w:p>
        </w:tc>
        <w:tc>
          <w:tcPr>
            <w:tcW w:type="dxa" w:w="3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Недостаточно прав для операции.</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CONSENT_REQUIRED</w:t>
            </w:r>
          </w:p>
        </w:tc>
        <w:tc>
          <w:tcPr>
            <w:tcW w:type="dxa" w:w="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403</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Приватность</w:t>
            </w:r>
          </w:p>
        </w:tc>
        <w:tc>
          <w:tcPr>
            <w:tcW w:type="dxa" w:w="3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Нет действующего согласия на обработку/передачу.</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NOT_FOUND</w:t>
            </w:r>
          </w:p>
        </w:tc>
        <w:tc>
          <w:tcPr>
            <w:tcW w:type="dxa" w:w="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404</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Ресурс</w:t>
            </w:r>
          </w:p>
        </w:tc>
        <w:tc>
          <w:tcPr>
            <w:tcW w:type="dxa" w:w="3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Запрошенный ресурс не найден.</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CONFLICT_STATE</w:t>
            </w:r>
          </w:p>
        </w:tc>
        <w:tc>
          <w:tcPr>
            <w:tcW w:type="dxa" w:w="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409</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Состояние</w:t>
            </w:r>
          </w:p>
        </w:tc>
        <w:tc>
          <w:tcPr>
            <w:tcW w:type="dxa" w:w="3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Операция недопустима в текущем статусе.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DUPLICATE_REQUEST</w:t>
            </w:r>
          </w:p>
        </w:tc>
        <w:tc>
          <w:tcPr>
            <w:tcW w:type="dxa" w:w="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409</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Идемпотентность</w:t>
            </w:r>
          </w:p>
        </w:tc>
        <w:tc>
          <w:tcPr>
            <w:tcW w:type="dxa" w:w="3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Повтор с тем же ключом идемпотентности.</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PRECONDITION_FAILED</w:t>
            </w:r>
          </w:p>
        </w:tc>
        <w:tc>
          <w:tcPr>
            <w:tcW w:type="dxa" w:w="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412</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Конкурентность</w:t>
            </w:r>
          </w:p>
        </w:tc>
        <w:tc>
          <w:tcPr>
            <w:tcW w:type="dxa" w:w="3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Несовпадение версии (ETag/If-Match).</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PAYLOAD_TOO_LARGE</w:t>
            </w:r>
          </w:p>
        </w:tc>
        <w:tc>
          <w:tcPr>
            <w:tcW w:type="dxa" w:w="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413</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Запрос</w:t>
            </w:r>
          </w:p>
        </w:tc>
        <w:tc>
          <w:tcPr>
            <w:tcW w:type="dxa" w:w="3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Превышен допустимый размер тела.</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VALIDATION_FAILED</w:t>
            </w:r>
          </w:p>
        </w:tc>
        <w:tc>
          <w:tcPr>
            <w:tcW w:type="dxa" w:w="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422</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Валидация</w:t>
            </w:r>
          </w:p>
        </w:tc>
        <w:tc>
          <w:tcPr>
            <w:tcW w:type="dxa" w:w="3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Данные не прошли проверку (см. errors[]).</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RATE_LIMITED</w:t>
            </w:r>
          </w:p>
        </w:tc>
        <w:tc>
          <w:tcPr>
            <w:tcW w:type="dxa" w:w="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429</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Ограничение</w:t>
            </w:r>
          </w:p>
        </w:tc>
        <w:tc>
          <w:tcPr>
            <w:tcW w:type="dxa" w:w="3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Превышена частота запросов.</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INTERNAL_ERROR</w:t>
            </w:r>
          </w:p>
        </w:tc>
        <w:tc>
          <w:tcPr>
            <w:tcW w:type="dxa" w:w="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500</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Сервер</w:t>
            </w:r>
          </w:p>
        </w:tc>
        <w:tc>
          <w:tcPr>
            <w:tcW w:type="dxa" w:w="3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Внутренняя ошибка; зафиксирована, алерт.</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DEPENDENCY_UNAVAILABLE</w:t>
            </w:r>
          </w:p>
        </w:tc>
        <w:tc>
          <w:tcPr>
            <w:tcW w:type="dxa" w:w="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503</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Зависимость</w:t>
            </w:r>
          </w:p>
        </w:tc>
        <w:tc>
          <w:tcPr>
            <w:tcW w:type="dxa" w:w="3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Зависимость недоступна; деградация.</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UPSTREAM_TIMEOUT</w:t>
            </w:r>
          </w:p>
        </w:tc>
        <w:tc>
          <w:tcPr>
            <w:tcW w:type="dxa" w:w="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504</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Интеграция</w:t>
            </w:r>
          </w:p>
        </w:tc>
        <w:tc>
          <w:tcPr>
            <w:tcW w:type="dxa" w:w="3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Тайм-аут внешней системы (ведомства).</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PAYMENT_DECLINED</w:t>
            </w:r>
          </w:p>
        </w:tc>
        <w:tc>
          <w:tcPr>
            <w:tcW w:type="dxa" w:w="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402</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Платежи</w:t>
            </w:r>
          </w:p>
        </w:tc>
        <w:tc>
          <w:tcPr>
            <w:tcW w:type="dxa" w:w="3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Оплата отклонена провайдером.</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SIGNATURE_INVALID</w:t>
            </w:r>
          </w:p>
        </w:tc>
        <w:tc>
          <w:tcPr>
            <w:tcW w:type="dxa" w:w="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422</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ЭЦП</w:t>
            </w:r>
          </w:p>
        </w:tc>
        <w:tc>
          <w:tcPr>
            <w:tcW w:type="dxa" w:w="3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Недействительная подпись/сертификат.</w:t>
            </w:r>
          </w:p>
        </w:tc>
      </w:tr>
    </w:tbl>
    <w:p>
      <w:r>
        <w:br w:type="page"/>
      </w:r>
    </w:p>
    <w:p>
      <w:pPr>
        <w:pStyle w:val="Heading1"/>
      </w:pPr>
      <w:r>
        <w:t xml:space="preserve">Приложение М. Каталог метрик и индикаторов</w:t>
      </w:r>
    </w:p>
    <w:p>
      <w:pPr>
        <w:spacing w:after="120" w:line="276"/>
      </w:pPr>
      <w:r>
        <w:t xml:space="preserve">Сводный каталог ключевых метрик (дополняет разделы 14, 14А). Метрики собираются единообразно (Prometheus) и используются в дашбордах и оповещениях.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Метрика</w:t>
            </w:r>
          </w:p>
        </w:tc>
        <w:tc>
          <w:tcPr>
            <w:tcW w:type="dxa" w:w="1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Тип</w:t>
            </w:r>
          </w:p>
        </w:tc>
        <w:tc>
          <w:tcPr>
            <w:tcW w:type="dxa" w:w="4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http_request_duration_seconds</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гистограмма</w:t>
            </w:r>
          </w:p>
        </w:tc>
        <w:tc>
          <w:tcPr>
            <w:tcW w:type="dxa" w:w="4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Задержка ответов (P50/P95/P99).</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http_requests_total</w:t>
            </w:r>
          </w:p>
        </w:tc>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счётчик</w:t>
            </w:r>
          </w:p>
        </w:tc>
        <w:tc>
          <w:tcPr>
            <w:tcW w:type="dxa" w:w="4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Трафик и доля ошибок (по коду).</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service_up</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индикатор</w:t>
            </w:r>
          </w:p>
        </w:tc>
        <w:tc>
          <w:tcPr>
            <w:tcW w:type="dxa" w:w="4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 экземпляра сервиса.</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cpu/memory_utilization</w:t>
            </w:r>
          </w:p>
        </w:tc>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индикатор</w:t>
            </w:r>
          </w:p>
        </w:tc>
        <w:tc>
          <w:tcPr>
            <w:tcW w:type="dxa" w:w="4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Насыщенность ресурсов.</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kafka_consumer_lag</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индикатор</w:t>
            </w:r>
          </w:p>
        </w:tc>
        <w:tc>
          <w:tcPr>
            <w:tcW w:type="dxa" w:w="4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Отставание обработки событий.</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kafka_consumer_dlq_messages</w:t>
            </w:r>
          </w:p>
        </w:tc>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счётчик</w:t>
            </w:r>
          </w:p>
        </w:tc>
        <w:tc>
          <w:tcPr>
            <w:tcW w:type="dxa" w:w="4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Сообщения в DLQ (рост → алерт).</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db_connections_active</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индикатор</w:t>
            </w:r>
          </w:p>
        </w:tc>
        <w:tc>
          <w:tcPr>
            <w:tcW w:type="dxa" w:w="4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Использование пула соединений БД.</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sla_breach_total</w:t>
            </w:r>
          </w:p>
        </w:tc>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счётчик</w:t>
            </w:r>
          </w:p>
        </w:tc>
        <w:tc>
          <w:tcPr>
            <w:tcW w:type="dxa" w:w="4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Нарушения SLA по шагам услуг.</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application_submitted_total</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счётчик</w:t>
            </w:r>
          </w:p>
        </w:tc>
        <w:tc>
          <w:tcPr>
            <w:tcW w:type="dxa" w:w="4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Бизнес: поданные заявления.</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payment_confirmed_total</w:t>
            </w:r>
          </w:p>
        </w:tc>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счётчик</w:t>
            </w:r>
          </w:p>
        </w:tc>
        <w:tc>
          <w:tcPr>
            <w:tcW w:type="dxa" w:w="4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Бизнес: подтверждённые оплаты.</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interop_request_duration</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гистограмма</w:t>
            </w:r>
          </w:p>
        </w:tc>
        <w:tc>
          <w:tcPr>
            <w:tcW w:type="dxa" w:w="4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Длительность межвед. запросов.</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error_budget_remaining</w:t>
            </w:r>
          </w:p>
        </w:tc>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индикатор</w:t>
            </w:r>
          </w:p>
        </w:tc>
        <w:tc>
          <w:tcPr>
            <w:tcW w:type="dxa" w:w="4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Остаток бюджета ошибок по SLO.</w:t>
            </w:r>
          </w:p>
        </w:tc>
      </w:tr>
    </w:tbl>
    <w:p>
      <w:r>
        <w:br w:type="page"/>
      </w:r>
    </w:p>
    <w:p>
      <w:pPr>
        <w:pStyle w:val="Heading1"/>
      </w:pPr>
      <w:r>
        <w:t xml:space="preserve">Приложение Н. Словарь данных ключевых сущностей</w:t>
      </w:r>
    </w:p>
    <w:p>
      <w:pPr>
        <w:spacing w:after="120" w:line="276"/>
      </w:pPr>
      <w:r>
        <w:t xml:space="preserve">Словарь данных описывает ключевые атрибуты основных сущностей (дополняет разделы 4Б и 5Б). Полные физические модели разрабатываются по каждому сервису на этапе проектирования.</w:t>
      </w:r>
    </w:p>
    <w:p>
      <w:pPr>
        <w:pStyle w:val="Heading2"/>
      </w:pPr>
      <w:r>
        <w:t xml:space="preserve">Н.1. Заявление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Атрибут</w:t>
            </w:r>
          </w:p>
        </w:tc>
        <w:tc>
          <w:tcPr>
            <w:tcW w:type="dxa" w:w="1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Тип</w:t>
            </w:r>
          </w:p>
        </w:tc>
        <w:tc>
          <w:tcPr>
            <w:tcW w:type="dxa" w:w="5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id</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UUID</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Идентификатор заявления.</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serviceId</w:t>
            </w:r>
          </w:p>
        </w:tc>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string</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Идентификатор услуги.</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serviceVersion</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Версия услуги на момент подачи.</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applicantId</w:t>
            </w:r>
          </w:p>
        </w:tc>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UUID</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Идентификатор заявителя.</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status</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enum</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Текущий статус (раздел 7.2).</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processInstanceId</w:t>
            </w:r>
          </w:p>
        </w:tc>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string</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Идентификатор экземпляра процесса BPM.</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createdAt / submittedAt</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timestamp</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Метки создания и подачи.</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data</w:t>
            </w:r>
          </w:p>
        </w:tc>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JSON</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Значения полей формы (по версии формы).</w:t>
            </w:r>
          </w:p>
        </w:tc>
      </w:tr>
    </w:tbl>
    <w:p>
      <w:pPr>
        <w:pStyle w:val="Heading2"/>
      </w:pPr>
      <w:r>
        <w:t xml:space="preserve">Н.2. Платёж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Атрибут</w:t>
            </w:r>
          </w:p>
        </w:tc>
        <w:tc>
          <w:tcPr>
            <w:tcW w:type="dxa" w:w="1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Тип</w:t>
            </w:r>
          </w:p>
        </w:tc>
        <w:tc>
          <w:tcPr>
            <w:tcW w:type="dxa" w:w="5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id</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UUID</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Идентификатор платежа.</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chargeId</w:t>
            </w:r>
          </w:p>
        </w:tc>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UUID</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Идентификатор начисления.</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amount / currency</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 / string</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Сумма (в мин. единицах) и валюта.</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provider</w:t>
            </w:r>
          </w:p>
        </w:tc>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string</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Платёжный провайдер.</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status</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enum</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PENDING/CONFIRMED/FAILED/REFUNDED.</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idempotencyKey</w:t>
            </w:r>
          </w:p>
        </w:tc>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string</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Ключ идемпотентности операции.</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createdAt / confirmedAt</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timestamp</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Метки времени.</w:t>
            </w:r>
          </w:p>
        </w:tc>
      </w:tr>
    </w:tbl>
    <w:p>
      <w:pPr>
        <w:pStyle w:val="Heading2"/>
      </w:pPr>
      <w:r>
        <w:t xml:space="preserve">Н.3. Документ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Атрибут</w:t>
            </w:r>
          </w:p>
        </w:tc>
        <w:tc>
          <w:tcPr>
            <w:tcW w:type="dxa" w:w="1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Тип</w:t>
            </w:r>
          </w:p>
        </w:tc>
        <w:tc>
          <w:tcPr>
            <w:tcW w:type="dxa" w:w="5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Описание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id</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UUID</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Идентификатор документа.</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applicationId</w:t>
            </w:r>
          </w:p>
        </w:tc>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UUID</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Связанное заявление.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type</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enum</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Вложение / результат.</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storageRef</w:t>
            </w:r>
          </w:p>
        </w:tc>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string</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Ссылка в объектном хранилище.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checksum</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string</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Контрольная сумма (целостность).</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signatureStatus</w:t>
            </w:r>
          </w:p>
        </w:tc>
        <w:tc>
          <w:tcPr>
            <w:tcW w:type="dxa" w:w="1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enum</w:t>
            </w:r>
          </w:p>
        </w:tc>
        <w:tc>
          <w:tcPr>
            <w:tcW w:type="dxa" w:w="5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NONE/SIGNED.</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createdAt</w:t>
            </w:r>
          </w:p>
        </w:tc>
        <w:tc>
          <w:tcPr>
            <w:tcW w:type="dxa" w:w="1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timestamp</w:t>
            </w:r>
          </w:p>
        </w:tc>
        <w:tc>
          <w:tcPr>
            <w:tcW w:type="dxa" w:w="5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Метка создания.</w:t>
            </w:r>
          </w:p>
        </w:tc>
      </w:tr>
    </w:tbl>
    <w:p>
      <w:r>
        <w:br w:type="page"/>
      </w:r>
    </w:p>
    <w:p>
      <w:pPr>
        <w:pStyle w:val="Heading1"/>
      </w:pPr>
      <w:r>
        <w:t xml:space="preserve">Приложение П. Справочник элементов процессов</w:t>
      </w:r>
    </w:p>
    <w:p>
      <w:pPr>
        <w:spacing w:after="120" w:line="276"/>
      </w:pPr>
      <w:r>
        <w:t xml:space="preserve">Перечень типовых элементов BPMN, применяемых при моделировании услуг (дополняет раздел 5А.2), с рекомендациями по использованию.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Элемент</w:t>
            </w:r>
          </w:p>
        </w:tc>
        <w:tc>
          <w:tcPr>
            <w:tcW w:type="dxa" w:w="3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Когда применять</w:t>
            </w:r>
          </w:p>
        </w:tc>
        <w:tc>
          <w:tcPr>
            <w:tcW w:type="dxa" w:w="30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Примечание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Start Event</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Начало процесса услуги</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заявлению или по сообщению (проактивно).</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User Task</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Действие человека</w:t>
            </w:r>
          </w:p>
        </w:tc>
        <w:tc>
          <w:tcPr>
            <w:tcW w:type="dxa" w:w="3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Привязка к форме; назначение по роли.</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Service Task</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Автоматический вызов</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Реализуется воркером доменного сервиса.</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Business Rule Task</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Применение правила DMN</w:t>
            </w:r>
          </w:p>
        </w:tc>
        <w:tc>
          <w:tcPr>
            <w:tcW w:type="dxa" w:w="3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Расчёты, проверки условий.</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Exclusive Gateway</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Выбор одной ветви</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условию (данные/решение).</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Parallel Gateway</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Параллельные ветви</w:t>
            </w:r>
          </w:p>
        </w:tc>
        <w:tc>
          <w:tcPr>
            <w:tcW w:type="dxa" w:w="3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Синхронизация на слиянии.</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Timer Boundary Event</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Контроль SLA</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Напоминание/эскалация/просрочка.</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Message Event</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Ожидание внешнего сигнала</w:t>
            </w:r>
          </w:p>
        </w:tc>
        <w:tc>
          <w:tcPr>
            <w:tcW w:type="dxa" w:w="3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Оплата, ответ ведомства.</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Compensation</w:t>
            </w:r>
          </w:p>
        </w:tc>
        <w:tc>
          <w:tcPr>
            <w:tcW w:type="dxa" w:w="3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Откат (Saga)</w:t>
            </w:r>
          </w:p>
        </w:tc>
        <w:tc>
          <w:tcPr>
            <w:tcW w:type="dxa" w:w="30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Компенсирующие действия.</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End Event</w:t>
            </w:r>
          </w:p>
        </w:tc>
        <w:tc>
          <w:tcPr>
            <w:tcW w:type="dxa" w:w="3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Завершение</w:t>
            </w:r>
          </w:p>
        </w:tc>
        <w:tc>
          <w:tcPr>
            <w:tcW w:type="dxa" w:w="30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Исполнено/отказано/отозвано.</w:t>
            </w:r>
          </w:p>
        </w:tc>
      </w:tr>
    </w:tbl>
    <w:p>
      <w:r>
        <w:br w:type="page"/>
      </w:r>
    </w:p>
    <w:p>
      <w:pPr>
        <w:pStyle w:val="Heading1"/>
      </w:pPr>
      <w:r>
        <w:t xml:space="preserve">Приложение Р. Роли проектной команды</w:t>
      </w:r>
    </w:p>
    <w:p>
      <w:pPr>
        <w:spacing w:after="120" w:line="276"/>
      </w:pPr>
      <w:r>
        <w:t xml:space="preserve">Типовой состав ролей для реализации и сопровождения Платформы (дополняет раздел 15). Конкретная численность определяется планом работ.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Роль</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Зона ответственности</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Руководитель проекта</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Планирование, координация, отчётность, риски.</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Архитектор решения</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Целостность архитектуры, ADR, ключевые решения.</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Системный аналитик</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Требования, регламенты услуг, описания по шаблону.</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Тимлид доменной команды</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Руководство разработкой набора сервисов.</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Разработчик (backend)</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Реализация доменных и платформенных сервисов.</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Разработчик (frontend)</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Веб-портал, BFF, интерфейсы.</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Разработчик (mobile)</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Мобильные приложения.</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Инженер Low-Code</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Сборка услуг (процессы, формы, правила).</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Инженер по данным (DBA)</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Модель данных, миграции, производительность БД.</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Инженер DevOps/SRE</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Инфраструктура, CI/CD, наблюдаемость, надёжность.</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Инженер по безопасности</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Модель угроз, контроли, аудит, пентесты.</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Инженер по тестированию (QA)</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Стратегия и автоматизация тестирования.</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Специалист поддержки</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Линии поддержки пользователей.</w:t>
            </w:r>
          </w:p>
        </w:tc>
      </w:tr>
    </w:tbl>
    <w:p>
      <w:r>
        <w:br w:type="page"/>
      </w:r>
    </w:p>
    <w:p>
      <w:pPr>
        <w:pStyle w:val="Heading1"/>
      </w:pPr>
      <w:r>
        <w:t xml:space="preserve">Приложение С. Каталог приёмочных проверок</w:t>
      </w:r>
    </w:p>
    <w:p>
      <w:pPr>
        <w:spacing w:after="120" w:line="276"/>
      </w:pPr>
      <w:r>
        <w:t xml:space="preserve">Перечень проверок, выполняемых при приёмке (дополняет раздел 20). Каждая проверка связана с требованием (Приложение Б) и имеет критерий прохождения.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1860"/>
        <w:gridCol w:w="3000"/>
      </w:tblGrid>
      <w:tr>
        <w:trPr>
          <w:tblHeader/>
        </w:trPr>
        <w:tc>
          <w:tcPr>
            <w:tcW w:type="dxa" w:w="11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ID</w:t>
            </w:r>
          </w:p>
        </w:tc>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Проверка</w:t>
            </w:r>
          </w:p>
        </w:tc>
        <w:tc>
          <w:tcPr>
            <w:tcW w:type="dxa" w:w="18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Связь (RTM)</w:t>
            </w:r>
          </w:p>
        </w:tc>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Критерий</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AC-01</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Сценарий UC-A (справка)</w:t>
            </w:r>
          </w:p>
        </w:tc>
        <w:tc>
          <w:tcPr>
            <w:tcW w:type="dxa" w:w="18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FR-02,06,07</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Сценарий проходит полностью</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AC-02</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Сценарий UC-B (оплата+специалист)</w:t>
            </w:r>
          </w:p>
        </w:tc>
        <w:tc>
          <w:tcPr>
            <w:tcW w:type="dxa" w:w="18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FR-03,05</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Сценарий + корректные проводки</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AC-03</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Сценарий UC-C (проактивная)</w:t>
            </w:r>
          </w:p>
        </w:tc>
        <w:tc>
          <w:tcPr>
            <w:tcW w:type="dxa" w:w="18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FR-08</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Предложение и обработка</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AC-04</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Создание услуги в Low-Code ≤ 10 дн.</w:t>
            </w:r>
          </w:p>
        </w:tc>
        <w:tc>
          <w:tcPr>
            <w:tcW w:type="dxa" w:w="18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FR-09</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Услуга собрана и опубликована</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AC-05</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Нагрузка 3 000 rps, P95</w:t>
            </w:r>
          </w:p>
        </w:tc>
        <w:tc>
          <w:tcPr>
            <w:tcW w:type="dxa" w:w="18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NFR-01</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SLO достигнуты</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AC-06</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Пиковая нагрузка ×10</w:t>
            </w:r>
          </w:p>
        </w:tc>
        <w:tc>
          <w:tcPr>
            <w:tcW w:type="dxa" w:w="18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NFR-04</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Автоскейл удерживает SLO</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AC-07</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 ЦОД (переключение)</w:t>
            </w:r>
          </w:p>
        </w:tc>
        <w:tc>
          <w:tcPr>
            <w:tcW w:type="dxa" w:w="18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NFR-02,03</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RTO/RPO в норме</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AC-08</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Восстановление из бэкапа (PITR)</w:t>
            </w:r>
          </w:p>
        </w:tc>
        <w:tc>
          <w:tcPr>
            <w:tcW w:type="dxa" w:w="18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NFR-03</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RPO ≤ 5 мин</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AC-09</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Пентест и аудит ИБ</w:t>
            </w:r>
          </w:p>
        </w:tc>
        <w:tc>
          <w:tcPr>
            <w:tcW w:type="dxa" w:w="18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SEC-01,02</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Нет критических замечаний</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AC-10</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WORM-аудит значимых действий</w:t>
            </w:r>
          </w:p>
        </w:tc>
        <w:tc>
          <w:tcPr>
            <w:tcW w:type="dxa" w:w="18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SEC-03</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Полнота и неизменяемость</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AC-11</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 через Smart Bridge</w:t>
            </w:r>
          </w:p>
        </w:tc>
        <w:tc>
          <w:tcPr>
            <w:tcW w:type="dxa" w:w="18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INT-01</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Запросы проходят, журналируются</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AC-12</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Наблюдаемость (дашборды, алерты)</w:t>
            </w:r>
          </w:p>
        </w:tc>
        <w:tc>
          <w:tcPr>
            <w:tcW w:type="dxa" w:w="18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OPS-02</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Демонстрация</w:t>
            </w:r>
          </w:p>
        </w:tc>
      </w:tr>
    </w:tbl>
    <w:p>
      <w:r>
        <w:br w:type="page"/>
      </w:r>
    </w:p>
    <w:p>
      <w:pPr>
        <w:pStyle w:val="Heading1"/>
      </w:pPr>
      <w:r>
        <w:t xml:space="preserve">Приложение Т. Журнал ключевых проектных решений</w:t>
      </w:r>
    </w:p>
    <w:p>
      <w:pPr>
        <w:spacing w:after="120" w:line="276"/>
      </w:pPr>
      <w:r>
        <w:t xml:space="preserve">Сводка ключевых решений по объёму и подходу настоящего ТЗ (для прослеживаемости при согласовании).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Решение</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Обоснование</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 перечислять 700+ услуг поимённо</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ТЗ задаёт типовую модель и эталонные сценарии; каталог услуг ведётся в Low-Code.</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Типовая модель услуги из 10 этапов</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Единый шаблон для всех услуг; ускоряет создание и приёмку.</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Согласия (consent) — модуль в profile-service</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Согласие даётся однократно (не на каждом шаге); отдельный сервис не даёт выигрыша по нагрузке. Граница оставлена под вынос.</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Три эталонных сценария (UC-A/B/C)</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Покрывают основные классы услуг; основа E2E-тестов.</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Структура затрат без сумм</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Стоимость определяется на сметном этапе и в конкурсе.</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Active-Passive (write) в двух ЦОД</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Высокая доступность без рисков и стоимости multi-master записи; чтение масштабируется в обоих ЦОД.</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Опора на свободное ПО</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Технологический суверенитет, снижение vendor lock-in.</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Итоговая согласованность + Saga (идемпотентность в PostgreSQL, Redis — кэш/lock)</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Масштабируемость и устойчивость вместо распределённых транзакций и блокировок в кэше.</w:t>
            </w:r>
          </w:p>
        </w:tc>
      </w:tr>
    </w:tbl>
    <w:p>
      <w:r>
        <w:br w:type="page"/>
      </w:r>
    </w:p>
    <w:p>
      <w:pPr>
        <w:pStyle w:val="Heading1"/>
      </w:pPr>
      <w:r>
        <w:t xml:space="preserve">Приложение Э. Каталог тест-кейсов эталонных сценариев</w:t>
      </w:r>
    </w:p>
    <w:p>
      <w:pPr>
        <w:spacing w:after="120" w:line="276"/>
      </w:pPr>
      <w:r>
        <w:t xml:space="preserve">Детальные тест-кейсы для эталонных сценариев (раздел 7.4, 7А). Тест-кейсы являются основой автоматизированных E2E-тестов и приёмочных проверок (Приложение С). Каждый тест-кейс содержит предусловия, шаги и ожидаемый результат.</w:t>
      </w:r>
    </w:p>
    <w:p>
      <w:pPr>
        <w:pStyle w:val="Heading2"/>
      </w:pPr>
      <w:r>
        <w:t xml:space="preserve">Э.1. TC-A: выдача справки (UC-A)</w:t>
      </w:r>
    </w:p>
    <w:p>
      <w:pPr>
        <w:spacing w:after="120" w:line="276"/>
      </w:pPr>
      <w:r>
        <w:rPr>
          <w:i/>
          <w:iCs/>
          <w:color w:val="5A6B7B"/>
        </w:rPr>
        <w:t xml:space="preserve">Предусловие: гражданин идентифицирован (eID), согласие на обработку ПДн действует, сведения имеются в реестре.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Шаг</w:t>
            </w:r>
          </w:p>
        </w:tc>
        <w:tc>
          <w:tcPr>
            <w:tcW w:type="dxa" w:w="4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Действие</w:t>
            </w:r>
          </w:p>
        </w:tc>
        <w:tc>
          <w:tcPr>
            <w:tcW w:type="dxa" w:w="44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Ожидаемый результат</w:t>
            </w:r>
          </w:p>
        </w:tc>
      </w:tr>
      <w:tr>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Гражданин выбирает услугу и подтверждает запрос</w:t>
            </w:r>
          </w:p>
        </w:tc>
        <w:tc>
          <w:tcPr>
            <w:tcW w:type="dxa" w:w="4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Заявление создано, статус «Подано»</w:t>
            </w:r>
          </w:p>
        </w:tc>
      </w:tr>
      <w:tr>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Система проверяет идентификацию и согласие</w:t>
            </w:r>
          </w:p>
        </w:tc>
        <w:tc>
          <w:tcPr>
            <w:tcW w:type="dxa" w:w="4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Проверки пройдены</w:t>
            </w:r>
          </w:p>
        </w:tc>
      </w:tr>
      <w:tr>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Система запрашивает сведения через Smart Bridge</w:t>
            </w:r>
          </w:p>
        </w:tc>
        <w:tc>
          <w:tcPr>
            <w:tcW w:type="dxa" w:w="4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Запрос отправлен, статус корректен</w:t>
            </w:r>
          </w:p>
        </w:tc>
      </w:tr>
      <w:tr>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Реестр возвращает сведения</w:t>
            </w:r>
          </w:p>
        </w:tc>
        <w:tc>
          <w:tcPr>
            <w:tcW w:type="dxa" w:w="4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Данные получены и валидны</w:t>
            </w:r>
          </w:p>
        </w:tc>
      </w:tr>
      <w:tr>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Система формирует справку и подписывает ЭЦП</w:t>
            </w:r>
          </w:p>
        </w:tc>
        <w:tc>
          <w:tcPr>
            <w:tcW w:type="dxa" w:w="4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PDF сформирован и подписан</w:t>
            </w:r>
          </w:p>
        </w:tc>
      </w:tr>
      <w:tr>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Справка размещается в кабинете</w:t>
            </w:r>
          </w:p>
        </w:tc>
        <w:tc>
          <w:tcPr>
            <w:tcW w:type="dxa" w:w="4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 доступен, уведомление получено</w:t>
            </w:r>
          </w:p>
        </w:tc>
      </w:tr>
      <w:tr>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Проверка журнала аудита</w:t>
            </w:r>
          </w:p>
        </w:tc>
        <w:tc>
          <w:tcPr>
            <w:tcW w:type="dxa" w:w="4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Все действия зафиксированы (WORM)</w:t>
            </w:r>
          </w:p>
        </w:tc>
      </w:tr>
    </w:tbl>
    <w:p>
      <w:pPr>
        <w:spacing w:after="160" w:before="60" w:line="240"/>
      </w:pPr>
      <w:r>
        <w:rPr>
          <w:i/>
          <w:iCs/>
          <w:color w:val="5A6B7B"/>
          <w:sz w:val="18"/>
          <w:szCs w:val="18"/>
        </w:rPr>
        <w:t xml:space="preserve">Таблица Э.1 — Тест-кейс TC-A (UC-A).</w:t>
      </w:r>
    </w:p>
    <w:p>
      <w:pPr>
        <w:pStyle w:val="Heading2"/>
      </w:pPr>
      <w:r>
        <w:t xml:space="preserve">Э.2. TC-B: услуга с оплатой и решением специалиста (UC-B)</w:t>
      </w:r>
    </w:p>
    <w:p>
      <w:pPr>
        <w:spacing w:after="120" w:line="276"/>
      </w:pPr>
      <w:r>
        <w:rPr>
          <w:i/>
          <w:iCs/>
          <w:color w:val="5A6B7B"/>
        </w:rPr>
        <w:t xml:space="preserve">Предусловие: заявитель идентифицирован, услуга и форма опубликованы, маршрут и SLA настроены.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Шаг</w:t>
            </w:r>
          </w:p>
        </w:tc>
        <w:tc>
          <w:tcPr>
            <w:tcW w:type="dxa" w:w="4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Действие</w:t>
            </w:r>
          </w:p>
        </w:tc>
        <w:tc>
          <w:tcPr>
            <w:tcW w:type="dxa" w:w="44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Ожидаемый результат</w:t>
            </w:r>
          </w:p>
        </w:tc>
      </w:tr>
      <w:tr>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Заявитель заполняет форму и подаёт заявление</w:t>
            </w:r>
          </w:p>
        </w:tc>
        <w:tc>
          <w:tcPr>
            <w:tcW w:type="dxa" w:w="4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Часть полей автозаполнена; заявление подано</w:t>
            </w:r>
          </w:p>
        </w:tc>
      </w:tr>
      <w:tr>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Система рассчитывает пошлину (DMN)</w:t>
            </w:r>
          </w:p>
        </w:tc>
        <w:tc>
          <w:tcPr>
            <w:tcW w:type="dxa" w:w="4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Сумма рассчитана корректно</w:t>
            </w:r>
          </w:p>
        </w:tc>
      </w:tr>
      <w:tr>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Заявитель оплачивает (идемпотентно)</w:t>
            </w:r>
          </w:p>
        </w:tc>
        <w:tc>
          <w:tcPr>
            <w:tcW w:type="dxa" w:w="4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Оплата подтверждена; повтор не списывает дважды</w:t>
            </w:r>
          </w:p>
        </w:tc>
      </w:tr>
      <w:tr>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Запуск процесса, межвед. проверки</w:t>
            </w:r>
          </w:p>
        </w:tc>
        <w:tc>
          <w:tcPr>
            <w:tcW w:type="dxa" w:w="4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Заявление в очереди специалиста</w:t>
            </w:r>
          </w:p>
        </w:tc>
      </w:tr>
      <w:tr>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Специалист рассматривает в АРМ</w:t>
            </w:r>
          </w:p>
        </w:tc>
        <w:tc>
          <w:tcPr>
            <w:tcW w:type="dxa" w:w="4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Данные и сведения отображены</w:t>
            </w:r>
          </w:p>
        </w:tc>
      </w:tr>
      <w:tr>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Специалист принимает решение (4 глаза)</w:t>
            </w:r>
          </w:p>
        </w:tc>
        <w:tc>
          <w:tcPr>
            <w:tcW w:type="dxa" w:w="4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Требуется второе подтверждение</w:t>
            </w:r>
          </w:p>
        </w:tc>
      </w:tr>
      <w:tr>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Формирование и подпись результата</w:t>
            </w:r>
          </w:p>
        </w:tc>
        <w:tc>
          <w:tcPr>
            <w:tcW w:type="dxa" w:w="4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Результат подписан, доступен заявителю</w:t>
            </w:r>
          </w:p>
        </w:tc>
      </w:tr>
      <w:tr>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8</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Сценарий отказа после оплаты</w:t>
            </w:r>
          </w:p>
        </w:tc>
        <w:tc>
          <w:tcPr>
            <w:tcW w:type="dxa" w:w="4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Инициирован возврат (Saga), статус «Отказано»</w:t>
            </w:r>
          </w:p>
        </w:tc>
      </w:tr>
    </w:tbl>
    <w:p>
      <w:pPr>
        <w:spacing w:after="160" w:before="60" w:line="240"/>
      </w:pPr>
      <w:r>
        <w:rPr>
          <w:i/>
          <w:iCs/>
          <w:color w:val="5A6B7B"/>
          <w:sz w:val="18"/>
          <w:szCs w:val="18"/>
        </w:rPr>
        <w:t xml:space="preserve">Таблица Э.2 — Тест-кейс TC-B (UC-B).</w:t>
      </w:r>
    </w:p>
    <w:p>
      <w:pPr>
        <w:pStyle w:val="Heading2"/>
      </w:pPr>
      <w:r>
        <w:t xml:space="preserve">Э.3. TC-C: проактивная услуга (UC-C)</w:t>
      </w:r>
    </w:p>
    <w:p>
      <w:pPr>
        <w:spacing w:after="120" w:line="276"/>
      </w:pPr>
      <w:r>
        <w:rPr>
          <w:i/>
          <w:iCs/>
          <w:color w:val="5A6B7B"/>
        </w:rPr>
        <w:t xml:space="preserve">Предусловие: гражданин дал согласие на проактивное информирование, настроена подписка на событие реестра.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Шаг</w:t>
            </w:r>
          </w:p>
        </w:tc>
        <w:tc>
          <w:tcPr>
            <w:tcW w:type="dxa" w:w="4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Действие</w:t>
            </w:r>
          </w:p>
        </w:tc>
        <w:tc>
          <w:tcPr>
            <w:tcW w:type="dxa" w:w="44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Ожидаемый результат</w:t>
            </w:r>
          </w:p>
        </w:tc>
      </w:tr>
      <w:tr>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 реестре наступает событие</w:t>
            </w:r>
          </w:p>
        </w:tc>
        <w:tc>
          <w:tcPr>
            <w:tcW w:type="dxa" w:w="4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Событие опубликовано в шину</w:t>
            </w:r>
          </w:p>
        </w:tc>
      </w:tr>
      <w:tr>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Платформа сопоставляет с гражданином и услугой</w:t>
            </w:r>
          </w:p>
        </w:tc>
        <w:tc>
          <w:tcPr>
            <w:tcW w:type="dxa" w:w="4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Подобрана подходящая услуга</w:t>
            </w:r>
          </w:p>
        </w:tc>
      </w:tr>
      <w:tr>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Формируется проактивное предложение</w:t>
            </w:r>
          </w:p>
        </w:tc>
        <w:tc>
          <w:tcPr>
            <w:tcW w:type="dxa" w:w="4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Уведомление с черновиком получено</w:t>
            </w:r>
          </w:p>
        </w:tc>
      </w:tr>
      <w:tr>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Гражданин подтверждает одним действием</w:t>
            </w:r>
          </w:p>
        </w:tc>
        <w:tc>
          <w:tcPr>
            <w:tcW w:type="dxa" w:w="4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Заявление создано</w:t>
            </w:r>
          </w:p>
        </w:tc>
      </w:tr>
      <w:tr>
        <w:tc>
          <w:tcPr>
            <w:tcW w:type="dxa" w:w="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Дальнейшая обработка (UC-A/UC-B)</w:t>
            </w:r>
          </w:p>
        </w:tc>
        <w:tc>
          <w:tcPr>
            <w:tcW w:type="dxa" w:w="44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Услуга оказана</w:t>
            </w:r>
          </w:p>
        </w:tc>
      </w:tr>
      <w:tr>
        <w:tc>
          <w:tcPr>
            <w:tcW w:type="dxa" w:w="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Сценарий отозванного согласия</w:t>
            </w:r>
          </w:p>
        </w:tc>
        <w:tc>
          <w:tcPr>
            <w:tcW w:type="dxa" w:w="44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Проактивные предложения не формируются</w:t>
            </w:r>
          </w:p>
        </w:tc>
      </w:tr>
    </w:tbl>
    <w:p>
      <w:pPr>
        <w:spacing w:after="160" w:before="60" w:line="240"/>
      </w:pPr>
      <w:r>
        <w:rPr>
          <w:i/>
          <w:iCs/>
          <w:color w:val="5A6B7B"/>
          <w:sz w:val="18"/>
          <w:szCs w:val="18"/>
        </w:rPr>
        <w:t xml:space="preserve">Таблица Э.3 — Тест-кейс TC-C (UC-C).</w:t>
      </w:r>
    </w:p>
    <w:p>
      <w:pPr>
        <w:pStyle w:val="Heading2"/>
      </w:pPr>
      <w:r>
        <w:t xml:space="preserve">Э.4. Негативные и граничные тест-кейсы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260"/>
      </w:tblGrid>
      <w:tr>
        <w:trPr>
          <w:tblHeader/>
        </w:trPr>
        <w:tc>
          <w:tcPr>
            <w:tcW w:type="dxa" w:w="11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ID</w:t>
            </w:r>
          </w:p>
        </w:tc>
        <w:tc>
          <w:tcPr>
            <w:tcW w:type="dxa" w:w="4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Сценарий</w:t>
            </w:r>
          </w:p>
        </w:tc>
        <w:tc>
          <w:tcPr>
            <w:tcW w:type="dxa" w:w="42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Ожидаемый результат</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TC-N1</w:t>
            </w:r>
          </w:p>
        </w:tc>
        <w:tc>
          <w:tcPr>
            <w:tcW w:type="dxa" w:w="4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Подача без согласия на ПДн</w:t>
            </w:r>
          </w:p>
        </w:tc>
        <w:tc>
          <w:tcPr>
            <w:tcW w:type="dxa" w:w="4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 с понятным сообщением</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TC-N2</w:t>
            </w:r>
          </w:p>
        </w:tc>
        <w:tc>
          <w:tcPr>
            <w:tcW w:type="dxa" w:w="4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Реестр недоступен при запросе</w:t>
            </w:r>
          </w:p>
        </w:tc>
        <w:tc>
          <w:tcPr>
            <w:tcW w:type="dxa" w:w="4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Деградация, статус «Запрошены сведения», повтор</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TC-N3</w:t>
            </w:r>
          </w:p>
        </w:tc>
        <w:tc>
          <w:tcPr>
            <w:tcW w:type="dxa" w:w="4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Повторная оплата с тем же ключом</w:t>
            </w:r>
          </w:p>
        </w:tc>
        <w:tc>
          <w:tcPr>
            <w:tcW w:type="dxa" w:w="4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Двойного списания нет (идемпотентность)</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TC-N4</w:t>
            </w:r>
          </w:p>
        </w:tc>
        <w:tc>
          <w:tcPr>
            <w:tcW w:type="dxa" w:w="4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Превышение SLA специалистом</w:t>
            </w:r>
          </w:p>
        </w:tc>
        <w:tc>
          <w:tcPr>
            <w:tcW w:type="dxa" w:w="4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Эскалация руководителю</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TC-N5</w:t>
            </w:r>
          </w:p>
        </w:tc>
        <w:tc>
          <w:tcPr>
            <w:tcW w:type="dxa" w:w="4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Возврат на уточнение</w:t>
            </w:r>
          </w:p>
        </w:tc>
        <w:tc>
          <w:tcPr>
            <w:tcW w:type="dxa" w:w="4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Статус «Требует уточнения», заявитель уведомлён</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TC-N6</w:t>
            </w:r>
          </w:p>
        </w:tc>
        <w:tc>
          <w:tcPr>
            <w:tcW w:type="dxa" w:w="4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Отзыв заявления до решения</w:t>
            </w:r>
          </w:p>
        </w:tc>
        <w:tc>
          <w:tcPr>
            <w:tcW w:type="dxa" w:w="4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Процесс остановлен, статус «Отозвано»</w:t>
            </w:r>
          </w:p>
        </w:tc>
      </w:tr>
      <w:tr>
        <w:tc>
          <w:tcPr>
            <w:tcW w:type="dxa" w:w="1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TC-N7</w:t>
            </w:r>
          </w:p>
        </w:tc>
        <w:tc>
          <w:tcPr>
            <w:tcW w:type="dxa" w:w="4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 ЦОД во время сессии</w:t>
            </w:r>
          </w:p>
        </w:tc>
        <w:tc>
          <w:tcPr>
            <w:tcW w:type="dxa" w:w="4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Переключение, сессия не теряется (RTO/RPO)</w:t>
            </w:r>
          </w:p>
        </w:tc>
      </w:tr>
      <w:tr>
        <w:tc>
          <w:tcPr>
            <w:tcW w:type="dxa" w:w="1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TC-N8</w:t>
            </w:r>
          </w:p>
        </w:tc>
        <w:tc>
          <w:tcPr>
            <w:tcW w:type="dxa" w:w="4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Превышение частоты запросов</w:t>
            </w:r>
          </w:p>
        </w:tc>
        <w:tc>
          <w:tcPr>
            <w:tcW w:type="dxa" w:w="4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Ограничение (429), сервис стабилен</w:t>
            </w:r>
          </w:p>
        </w:tc>
      </w:tr>
    </w:tbl>
    <w:p>
      <w:pPr>
        <w:spacing w:after="160" w:before="60" w:line="240"/>
      </w:pPr>
      <w:r>
        <w:rPr>
          <w:i/>
          <w:iCs/>
          <w:color w:val="5A6B7B"/>
          <w:sz w:val="18"/>
          <w:szCs w:val="18"/>
        </w:rPr>
        <w:t xml:space="preserve">Таблица Э.4 — Негативные и граничные тест-кейсы.</w:t>
      </w:r>
    </w:p>
    <w:p>
      <w:r>
        <w:br w:type="page"/>
      </w:r>
    </w:p>
    <w:p>
      <w:pPr>
        <w:pStyle w:val="Heading1"/>
      </w:pPr>
      <w:r>
        <w:t xml:space="preserve">Приложение У. Соглашения об именовании и стиле</w:t>
      </w:r>
    </w:p>
    <w:p>
      <w:pPr>
        <w:spacing w:after="120" w:line="276"/>
      </w:pPr>
      <w:r>
        <w:t xml:space="preserve">Единые соглашения обеспечивают согласованность кодовой базы, API и инфраструктуры. Соглашения обязательны и контролируются автоматическими проверками (линтеры) в конвейере.</w:t>
      </w:r>
    </w:p>
    <w:p>
      <w:pPr>
        <w:pStyle w:val="Heading2"/>
      </w:pPr>
      <w:r>
        <w:t xml:space="preserve">У.1. API и данные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Объект</w:t>
            </w:r>
          </w:p>
        </w:tc>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Соглашение</w:t>
            </w:r>
          </w:p>
        </w:tc>
        <w:tc>
          <w:tcPr>
            <w:tcW w:type="dxa" w:w="3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Пример</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Путь ресурса</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kebab-case, мн. число</w:t>
            </w:r>
          </w:p>
        </w:tc>
        <w:tc>
          <w:tcPr>
            <w:tcW w:type="dxa" w:w="3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/life-events, /applications</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Операция-действие</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двоеточие + глагол</w:t>
            </w:r>
          </w:p>
        </w:tc>
        <w:tc>
          <w:tcPr>
            <w:tcW w:type="dxa" w:w="3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/applications/{id}:submit</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Поле JSON</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camelCase</w:t>
            </w:r>
          </w:p>
        </w:tc>
        <w:tc>
          <w:tcPr>
            <w:tcW w:type="dxa" w:w="3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applicationId, submittedAt</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Перечисления (enum)</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UPPER_SNAKE_CASE</w:t>
            </w:r>
          </w:p>
        </w:tc>
        <w:tc>
          <w:tcPr>
            <w:tcW w:type="dxa" w:w="3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IN_PROGRESS, REJECTED</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Идентификаторы</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строка (UUID/префикс)</w:t>
            </w:r>
          </w:p>
        </w:tc>
        <w:tc>
          <w:tcPr>
            <w:tcW w:type="dxa" w:w="3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app-99312, svc-0421</w:t>
            </w:r>
          </w:p>
        </w:tc>
      </w:tr>
      <w:tr>
        <w:tc>
          <w:tcPr>
            <w:tcW w:type="dxa" w:w="2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Дата/время</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ISO 8601, UTC</w:t>
            </w:r>
          </w:p>
        </w:tc>
        <w:tc>
          <w:tcPr>
            <w:tcW w:type="dxa" w:w="3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2026-05-29T09:14:00Z</w:t>
            </w:r>
          </w:p>
        </w:tc>
      </w:tr>
      <w:tr>
        <w:tc>
          <w:tcPr>
            <w:tcW w:type="dxa" w:w="2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Деньги</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целое + код валюты</w:t>
            </w:r>
          </w:p>
        </w:tc>
        <w:tc>
          <w:tcPr>
            <w:tcW w:type="dxa" w:w="3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 "amount": 0, "currency": "TJS" }</w:t>
            </w:r>
          </w:p>
        </w:tc>
      </w:tr>
    </w:tbl>
    <w:p>
      <w:pPr>
        <w:pStyle w:val="Heading2"/>
      </w:pPr>
      <w:r>
        <w:t xml:space="preserve">У.2. События и топики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Объект</w:t>
            </w:r>
          </w:p>
        </w:tc>
        <w:tc>
          <w:tcPr>
            <w:tcW w:type="dxa" w:w="3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Соглашение</w:t>
            </w:r>
          </w:p>
        </w:tc>
        <w:tc>
          <w:tcPr>
            <w:tcW w:type="dxa" w:w="3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Пример</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Тип события</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PascalCase, прош. время</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ApplicationSubmitted</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Топик</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домен.events (точка)</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applications.events</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Пространство имён Avro</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tj.ekhizmat.&lt;домен&gt;.vN</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tj.ekhizmat.payments.v1</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DLQ</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&lt;топик&gt;.DLQ</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payments.events.DLQ</w:t>
            </w:r>
          </w:p>
        </w:tc>
      </w:tr>
    </w:tbl>
    <w:p>
      <w:pPr>
        <w:pStyle w:val="Heading2"/>
      </w:pPr>
      <w:r>
        <w:t xml:space="preserve">У.3. Инфраструктура и код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Объект</w:t>
            </w:r>
          </w:p>
        </w:tc>
        <w:tc>
          <w:tcPr>
            <w:tcW w:type="dxa" w:w="3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Соглашение</w:t>
            </w:r>
          </w:p>
        </w:tc>
        <w:tc>
          <w:tcPr>
            <w:tcW w:type="dxa" w:w="3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Пример</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Сервис/репозиторий</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kebab-case с суффиксом</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payment-service</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Namespace K8s</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среда-домен</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prod-payments</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Метрика</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snake_case с единицами</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http_request_duration_seconds</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Переменная среды</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UPPER_SNAKE_CASE</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DB_MAX_CONNECTIONS</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Ветка Git</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тип/краткое-описание</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feat/payment-refunds</w:t>
            </w:r>
          </w:p>
        </w:tc>
      </w:tr>
    </w:tbl>
    <w:p>
      <w:r>
        <w:br w:type="page"/>
      </w:r>
    </w:p>
    <w:p>
      <w:pPr>
        <w:pStyle w:val="Heading1"/>
      </w:pPr>
      <w:r>
        <w:t xml:space="preserve">Приложение Ф. Справочник конфигурации</w:t>
      </w:r>
    </w:p>
    <w:p>
      <w:pPr>
        <w:spacing w:after="120" w:line="276"/>
      </w:pPr>
      <w:r>
        <w:t xml:space="preserve">Типовые параметры конфигурации сервиса (значения зависят от среды и уточняются при настройке). Секреты не хранятся в конфигурации — только в OpenBao (раздел 12А.3).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Параметр</w:t>
            </w:r>
          </w:p>
        </w:tc>
        <w:tc>
          <w:tcPr>
            <w:tcW w:type="dxa" w:w="35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c>
          <w:tcPr>
            <w:tcW w:type="dxa" w:w="28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Пример значения</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DB_MAX_CONNECTIONS</w:t>
            </w:r>
          </w:p>
        </w:tc>
        <w:tc>
          <w:tcPr>
            <w:tcW w:type="dxa" w:w="3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Размер пула соединений к БД</w:t>
            </w:r>
          </w:p>
        </w:tc>
        <w:tc>
          <w:tcPr>
            <w:tcW w:type="dxa" w:w="28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20</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HTTP_TIMEOUT_MS</w:t>
            </w:r>
          </w:p>
        </w:tc>
        <w:tc>
          <w:tcPr>
            <w:tcW w:type="dxa" w:w="3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Тайм-аут исходящих вызовов</w:t>
            </w:r>
          </w:p>
        </w:tc>
        <w:tc>
          <w:tcPr>
            <w:tcW w:type="dxa" w:w="28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5000</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RETRY_MAX_ATTEMPTS</w:t>
            </w:r>
          </w:p>
        </w:tc>
        <w:tc>
          <w:tcPr>
            <w:tcW w:type="dxa" w:w="3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Число повторов</w:t>
            </w:r>
          </w:p>
        </w:tc>
        <w:tc>
          <w:tcPr>
            <w:tcW w:type="dxa" w:w="28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CB_FAILURE_THRESHOLD</w:t>
            </w:r>
          </w:p>
        </w:tc>
        <w:tc>
          <w:tcPr>
            <w:tcW w:type="dxa" w:w="3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Порог размыкателя</w:t>
            </w:r>
          </w:p>
        </w:tc>
        <w:tc>
          <w:tcPr>
            <w:tcW w:type="dxa" w:w="28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0.5</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CB_OPEN_DURATION_S</w:t>
            </w:r>
          </w:p>
        </w:tc>
        <w:tc>
          <w:tcPr>
            <w:tcW w:type="dxa" w:w="3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Пауза размыкателя</w:t>
            </w:r>
          </w:p>
        </w:tc>
        <w:tc>
          <w:tcPr>
            <w:tcW w:type="dxa" w:w="28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30</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CACHE_TTL_S</w:t>
            </w:r>
          </w:p>
        </w:tc>
        <w:tc>
          <w:tcPr>
            <w:tcW w:type="dxa" w:w="3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Время жизни кэша</w:t>
            </w:r>
          </w:p>
        </w:tc>
        <w:tc>
          <w:tcPr>
            <w:tcW w:type="dxa" w:w="28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300</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KAFKA_CONSUMER_GROUP</w:t>
            </w:r>
          </w:p>
        </w:tc>
        <w:tc>
          <w:tcPr>
            <w:tcW w:type="dxa" w:w="3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Группа потребителей</w:t>
            </w:r>
          </w:p>
        </w:tc>
        <w:tc>
          <w:tcPr>
            <w:tcW w:type="dxa" w:w="28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payments-svc</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IDEMPOTENCY_TTL_S</w:t>
            </w:r>
          </w:p>
        </w:tc>
        <w:tc>
          <w:tcPr>
            <w:tcW w:type="dxa" w:w="3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Хранение ключей идемпотентности</w:t>
            </w:r>
          </w:p>
        </w:tc>
        <w:tc>
          <w:tcPr>
            <w:tcW w:type="dxa" w:w="28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86400</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LOG_LEVEL</w:t>
            </w:r>
          </w:p>
        </w:tc>
        <w:tc>
          <w:tcPr>
            <w:tcW w:type="dxa" w:w="3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Уровень логирования</w:t>
            </w:r>
          </w:p>
        </w:tc>
        <w:tc>
          <w:tcPr>
            <w:tcW w:type="dxa" w:w="28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INFO</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OTEL_SAMPLING_RATIO</w:t>
            </w:r>
          </w:p>
        </w:tc>
        <w:tc>
          <w:tcPr>
            <w:tcW w:type="dxa" w:w="3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Доля трассируемых запросов</w:t>
            </w:r>
          </w:p>
        </w:tc>
        <w:tc>
          <w:tcPr>
            <w:tcW w:type="dxa" w:w="28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0.1</w:t>
            </w:r>
          </w:p>
        </w:tc>
      </w:tr>
    </w:tbl>
    <w:p>
      <w:r>
        <w:br w:type="page"/>
      </w:r>
    </w:p>
    <w:p>
      <w:pPr>
        <w:pStyle w:val="Heading1"/>
      </w:pPr>
      <w:r>
        <w:t xml:space="preserve">Приложение Х. Примеры моделей процессов и правил</w:t>
      </w:r>
    </w:p>
    <w:p>
      <w:pPr>
        <w:pStyle w:val="Heading2"/>
      </w:pPr>
      <w:r>
        <w:t xml:space="preserve">Х.1. Пример процесса услуги (псевдо-BPMN)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Процесс "Услуга с оплатой" (UC-B):</w:t>
            </w:r>
          </w:p>
          <w:p>
            <w:pPr>
              <w:spacing w:after="0" w:line="240"/>
            </w:pPr>
            <w:r>
              <w:rPr>
                <w:rFonts w:ascii="Courier New" w:cs="Courier New" w:eastAsia="Courier New" w:hAnsi="Courier New"/>
                <w:color w:val="24292E"/>
                <w:sz w:val="17"/>
                <w:szCs w:val="17"/>
              </w:rPr>
              <w:t xml:space="preserve">  start: ApplicationSubmitted</w:t>
            </w:r>
          </w:p>
          <w:p>
            <w:pPr>
              <w:spacing w:after="0" w:line="240"/>
            </w:pPr>
            <w:r>
              <w:rPr>
                <w:rFonts w:ascii="Courier New" w:cs="Courier New" w:eastAsia="Courier New" w:hAnsi="Courier New"/>
                <w:color w:val="24292E"/>
                <w:sz w:val="17"/>
                <w:szCs w:val="17"/>
              </w:rPr>
              <w:t xml:space="preserve">  → businessRule: РассчитатьПошлину (DMN)</w:t>
            </w:r>
          </w:p>
          <w:p>
            <w:pPr>
              <w:spacing w:after="0" w:line="240"/>
            </w:pPr>
            <w:r>
              <w:rPr>
                <w:rFonts w:ascii="Courier New" w:cs="Courier New" w:eastAsia="Courier New" w:hAnsi="Courier New"/>
                <w:color w:val="24292E"/>
                <w:sz w:val="17"/>
                <w:szCs w:val="17"/>
              </w:rPr>
              <w:t xml:space="preserve">  → service: СоздатьНачисление (payment-service)</w:t>
            </w:r>
          </w:p>
          <w:p>
            <w:pPr>
              <w:spacing w:after="0" w:line="240"/>
            </w:pPr>
            <w:r>
              <w:rPr>
                <w:rFonts w:ascii="Courier New" w:cs="Courier New" w:eastAsia="Courier New" w:hAnsi="Courier New"/>
                <w:color w:val="24292E"/>
                <w:sz w:val="17"/>
                <w:szCs w:val="17"/>
              </w:rPr>
              <w:t xml:space="preserve">  → message wait: PaymentConfirmed</w:t>
            </w:r>
          </w:p>
          <w:p>
            <w:pPr>
              <w:spacing w:after="0" w:line="240"/>
            </w:pPr>
            <w:r>
              <w:rPr>
                <w:rFonts w:ascii="Courier New" w:cs="Courier New" w:eastAsia="Courier New" w:hAnsi="Courier New"/>
                <w:color w:val="24292E"/>
                <w:sz w:val="17"/>
                <w:szCs w:val="17"/>
              </w:rPr>
              <w:t xml:space="preserve">       boundary timer PT72H (interrupting) → end: ЗакрытоПоТаймеру</w:t>
            </w:r>
          </w:p>
          <w:p>
            <w:pPr>
              <w:spacing w:after="0" w:line="240"/>
            </w:pPr>
            <w:r>
              <w:rPr>
                <w:rFonts w:ascii="Courier New" w:cs="Courier New" w:eastAsia="Courier New" w:hAnsi="Courier New"/>
                <w:color w:val="24292E"/>
                <w:sz w:val="17"/>
                <w:szCs w:val="17"/>
              </w:rPr>
              <w:t xml:space="preserve">  → service: ЗапроситьСведения (interop-service)</w:t>
            </w:r>
          </w:p>
          <w:p>
            <w:pPr>
              <w:spacing w:after="0" w:line="240"/>
            </w:pPr>
            <w:r>
              <w:rPr>
                <w:rFonts w:ascii="Courier New" w:cs="Courier New" w:eastAsia="Courier New" w:hAnsi="Courier New"/>
                <w:color w:val="24292E"/>
                <w:sz w:val="17"/>
                <w:szCs w:val="17"/>
              </w:rPr>
              <w:t xml:space="preserve">  → user task: РассмотрениеСпециалистом (форма АРМ)</w:t>
            </w:r>
          </w:p>
          <w:p>
            <w:pPr>
              <w:spacing w:after="0" w:line="240"/>
            </w:pPr>
            <w:r>
              <w:rPr>
                <w:rFonts w:ascii="Courier New" w:cs="Courier New" w:eastAsia="Courier New" w:hAnsi="Courier New"/>
                <w:color w:val="24292E"/>
                <w:sz w:val="17"/>
                <w:szCs w:val="17"/>
              </w:rPr>
              <w:t xml:space="preserve">       boundary timer PT48H → escalate</w:t>
            </w:r>
          </w:p>
          <w:p>
            <w:pPr>
              <w:spacing w:after="0" w:line="240"/>
            </w:pPr>
            <w:r>
              <w:rPr>
                <w:rFonts w:ascii="Courier New" w:cs="Courier New" w:eastAsia="Courier New" w:hAnsi="Courier New"/>
                <w:color w:val="24292E"/>
                <w:sz w:val="17"/>
                <w:szCs w:val="17"/>
              </w:rPr>
              <w:t xml:space="preserve">       gateway: Решение?</w:t>
            </w:r>
          </w:p>
          <w:p>
            <w:pPr>
              <w:spacing w:after="0" w:line="240"/>
            </w:pPr>
            <w:r>
              <w:rPr>
                <w:rFonts w:ascii="Courier New" w:cs="Courier New" w:eastAsia="Courier New" w:hAnsi="Courier New"/>
                <w:color w:val="24292E"/>
                <w:sz w:val="17"/>
                <w:szCs w:val="17"/>
              </w:rPr>
              <w:t xml:space="preserve">         положительное → service: СформироватьИПодписать → end: Исполнено</w:t>
            </w:r>
          </w:p>
          <w:p>
            <w:pPr>
              <w:spacing w:after="0" w:line="240"/>
            </w:pPr>
            <w:r>
              <w:rPr>
                <w:rFonts w:ascii="Courier New" w:cs="Courier New" w:eastAsia="Courier New" w:hAnsi="Courier New"/>
                <w:color w:val="24292E"/>
                <w:sz w:val="17"/>
                <w:szCs w:val="17"/>
              </w:rPr>
              <w:t xml:space="preserve">         отрицательное → compensate: ВозвратСредств → end: Отказано</w:t>
            </w:r>
          </w:p>
          <w:p>
            <w:pPr>
              <w:spacing w:after="0" w:line="240"/>
            </w:pPr>
            <w:r>
              <w:rPr>
                <w:rFonts w:ascii="Courier New" w:cs="Courier New" w:eastAsia="Courier New" w:hAnsi="Courier New"/>
                <w:color w:val="24292E"/>
                <w:sz w:val="17"/>
                <w:szCs w:val="17"/>
              </w:rPr>
              <w:t xml:space="preserve">         уточнение     → user task: Уточнение → (назад к рассмотрению)</w:t>
            </w:r>
          </w:p>
        </w:tc>
      </w:tr>
    </w:tbl>
    <w:p>
      <w:pPr>
        <w:spacing w:after="160" w:before="60" w:line="240"/>
      </w:pPr>
      <w:r>
        <w:rPr>
          <w:i/>
          <w:iCs/>
          <w:color w:val="5A6B7B"/>
          <w:sz w:val="18"/>
          <w:szCs w:val="18"/>
        </w:rPr>
        <w:t xml:space="preserve">Листинг Х.1 — Пример структуры процесса услуги (UC-B).</w:t>
      </w:r>
    </w:p>
    <w:p>
      <w:pPr>
        <w:pStyle w:val="Heading2"/>
      </w:pPr>
      <w:r>
        <w:t xml:space="preserve">Х.2. Пример таблицы решений (DMN)</w:t>
      </w:r>
    </w:p>
    <w:p>
      <w:pPr>
        <w:spacing w:after="120" w:line="276"/>
      </w:pPr>
      <w:r>
        <w:t xml:space="preserve">Таблица решений рассчитывает размер пошлины в зависимости от категории заявителя и типа услуги (пример; реальные ставки определяются регламентом).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Категория заявителя</w:t>
            </w:r>
          </w:p>
        </w:tc>
        <w:tc>
          <w:tcPr>
            <w:tcW w:type="dxa" w:w="3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Тип услуги</w:t>
            </w:r>
          </w:p>
        </w:tc>
        <w:tc>
          <w:tcPr>
            <w:tcW w:type="dxa" w:w="2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Пошлина</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Физлицо (льготная)</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Справка</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0</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Физлицо</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Справка</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ставке А</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Физлицо</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Разрешение</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ставке Б</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Организация</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Разрешение</w:t>
            </w:r>
          </w:p>
        </w:tc>
        <w:tc>
          <w:tcPr>
            <w:tcW w:type="dxa" w:w="2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ставке В</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Организация</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Лицензия</w:t>
            </w:r>
          </w:p>
        </w:tc>
        <w:tc>
          <w:tcPr>
            <w:tcW w:type="dxa" w:w="2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ставке Г</w:t>
            </w:r>
          </w:p>
        </w:tc>
      </w:tr>
    </w:tbl>
    <w:p>
      <w:pPr>
        <w:spacing w:after="160" w:before="60" w:line="240"/>
      </w:pPr>
      <w:r>
        <w:rPr>
          <w:i/>
          <w:iCs/>
          <w:color w:val="5A6B7B"/>
          <w:sz w:val="18"/>
          <w:szCs w:val="18"/>
        </w:rPr>
        <w:t xml:space="preserve">Таблица Х.1 — Пример таблицы решений DMN для расчёта пошлины.</w:t>
      </w:r>
    </w:p>
    <w:p>
      <w:r>
        <w:br w:type="page"/>
      </w:r>
    </w:p>
    <w:p>
      <w:pPr>
        <w:pStyle w:val="Heading1"/>
      </w:pPr>
      <w:r>
        <w:t xml:space="preserve">Приложение Ц. График хранения данных</w:t>
      </w:r>
    </w:p>
    <w:p>
      <w:pPr>
        <w:spacing w:after="120" w:line="276"/>
      </w:pPr>
      <w:r>
        <w:t xml:space="preserve">Сводный график хранения по типам данных (детализирует раздел 5Б.4). Конкретные сроки определяются регламентами услуг и законодательством.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Тип данных</w:t>
            </w:r>
          </w:p>
        </w:tc>
        <w:tc>
          <w:tcPr>
            <w:tcW w:type="dxa" w:w="23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Горячее хранение</w:t>
            </w:r>
          </w:p>
        </w:tc>
        <w:tc>
          <w:tcPr>
            <w:tcW w:type="dxa" w:w="23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Архив</w:t>
            </w:r>
          </w:p>
        </w:tc>
        <w:tc>
          <w:tcPr>
            <w:tcW w:type="dxa" w:w="2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 истечении</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Результаты услуг</w:t>
            </w:r>
          </w:p>
        </w:tc>
        <w:tc>
          <w:tcPr>
            <w:tcW w:type="dxa" w:w="2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Активный период</w:t>
            </w:r>
          </w:p>
        </w:tc>
        <w:tc>
          <w:tcPr>
            <w:tcW w:type="dxa" w:w="2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Длительно</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регламенту</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 и история</w:t>
            </w:r>
          </w:p>
        </w:tc>
        <w:tc>
          <w:tcPr>
            <w:tcW w:type="dxa" w:w="2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 завершения + период</w:t>
            </w:r>
          </w:p>
        </w:tc>
        <w:tc>
          <w:tcPr>
            <w:tcW w:type="dxa" w:w="2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Длительно</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Обезличивание/архив</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Платёжные данные</w:t>
            </w:r>
          </w:p>
        </w:tc>
        <w:tc>
          <w:tcPr>
            <w:tcW w:type="dxa" w:w="2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Период фин. учёта</w:t>
            </w:r>
          </w:p>
        </w:tc>
        <w:tc>
          <w:tcPr>
            <w:tcW w:type="dxa" w:w="2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Длительно</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Архив</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Журнал аудита</w:t>
            </w:r>
          </w:p>
        </w:tc>
        <w:tc>
          <w:tcPr>
            <w:tcW w:type="dxa" w:w="2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7 дней (горячее)</w:t>
            </w:r>
          </w:p>
        </w:tc>
        <w:tc>
          <w:tcPr>
            <w:tcW w:type="dxa" w:w="2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Длительно (WORM)</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Архив</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Кэш межвед.</w:t>
            </w:r>
          </w:p>
        </w:tc>
        <w:tc>
          <w:tcPr>
            <w:tcW w:type="dxa" w:w="2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Минуты–часы (TTL)</w:t>
            </w:r>
          </w:p>
        </w:tc>
        <w:tc>
          <w:tcPr>
            <w:tcW w:type="dxa" w:w="2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Автоудаление</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Логи</w:t>
            </w:r>
          </w:p>
        </w:tc>
        <w:tc>
          <w:tcPr>
            <w:tcW w:type="dxa" w:w="2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90 дней</w:t>
            </w:r>
          </w:p>
        </w:tc>
        <w:tc>
          <w:tcPr>
            <w:tcW w:type="dxa" w:w="2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 необходимости</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Удаление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Метрики</w:t>
            </w:r>
          </w:p>
        </w:tc>
        <w:tc>
          <w:tcPr>
            <w:tcW w:type="dxa" w:w="2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365 дней</w:t>
            </w:r>
          </w:p>
        </w:tc>
        <w:tc>
          <w:tcPr>
            <w:tcW w:type="dxa" w:w="23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Агрегаты</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Удаление детализации</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Трассировки</w:t>
            </w:r>
          </w:p>
        </w:tc>
        <w:tc>
          <w:tcPr>
            <w:tcW w:type="dxa" w:w="2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Ограниченно (сэмплинг)</w:t>
            </w:r>
          </w:p>
        </w:tc>
        <w:tc>
          <w:tcPr>
            <w:tcW w:type="dxa" w:w="23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Удаление</w:t>
            </w:r>
          </w:p>
        </w:tc>
      </w:tr>
    </w:tbl>
    <w:p>
      <w:r>
        <w:br w:type="page"/>
      </w:r>
    </w:p>
    <w:p>
      <w:pPr>
        <w:pStyle w:val="Heading1"/>
      </w:pPr>
      <w:r>
        <w:t xml:space="preserve">Приложение Ч. Карта соответствия требованиям</w:t>
      </w:r>
    </w:p>
    <w:p>
      <w:pPr>
        <w:spacing w:after="120" w:line="276"/>
      </w:pPr>
      <w:r>
        <w:t xml:space="preserve">Карта связывает нормативные требования (раздел 1.5) с реализующими их решениями Платформы. Карта используется при аудите соответствия.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7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Норматив / требование</w:t>
            </w:r>
          </w:p>
        </w:tc>
        <w:tc>
          <w:tcPr>
            <w:tcW w:type="dxa" w:w="4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Решение Платформы</w:t>
            </w:r>
          </w:p>
        </w:tc>
        <w:tc>
          <w:tcPr>
            <w:tcW w:type="dxa" w:w="1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Раздел</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Защита персональных данных (№ 1537)</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Шифрование, RLS, согласия, аудит, суверенитет</w:t>
            </w:r>
          </w:p>
        </w:tc>
        <w:tc>
          <w:tcPr>
            <w:tcW w:type="dxa" w:w="1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11, 11А.6</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Электронный документ и ЭЦП (№ 1965)</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Подписание результатов ЭЦП, проверка, HSM</w:t>
            </w:r>
          </w:p>
        </w:tc>
        <w:tc>
          <w:tcPr>
            <w:tcW w:type="dxa" w:w="1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4Б.9, 11А.4</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 информатизации (ГИС)</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Требования к ГИС: доступность, безопасность</w:t>
            </w:r>
          </w:p>
        </w:tc>
        <w:tc>
          <w:tcPr>
            <w:tcW w:type="dxa" w:w="1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11, 12</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Суверенитет данных</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Хранение и обработка ПДн в РТ (2 ЦОД)</w:t>
            </w:r>
          </w:p>
        </w:tc>
        <w:tc>
          <w:tcPr>
            <w:tcW w:type="dxa" w:w="1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1.5, 12.4</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Once-Only (стратегия)</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 через Smart Bridge, автозаполнение</w:t>
            </w:r>
          </w:p>
        </w:tc>
        <w:tc>
          <w:tcPr>
            <w:tcW w:type="dxa" w:w="1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3.1, 13</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Доступность услуг (стратегия)</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Каналы, доступность 99,95 %, a11y</w:t>
            </w:r>
          </w:p>
        </w:tc>
        <w:tc>
          <w:tcPr>
            <w:tcW w:type="dxa" w:w="1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6Б, 6В, 12.2</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Юридическая значимость результата</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ЭЦП, WORM-аудит, штампы времени</w:t>
            </w:r>
          </w:p>
        </w:tc>
        <w:tc>
          <w:tcPr>
            <w:tcW w:type="dxa" w:w="1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4Б.9, 4Б.10</w:t>
            </w:r>
          </w:p>
        </w:tc>
      </w:tr>
    </w:tbl>
    <w:p>
      <w:r>
        <w:br w:type="page"/>
      </w:r>
    </w:p>
    <w:p>
      <w:pPr>
        <w:pStyle w:val="Heading1"/>
      </w:pPr>
      <w:r>
        <w:t xml:space="preserve">Приложение Ш. Глоссарий (дополнение)</w:t>
      </w:r>
    </w:p>
    <w:p>
      <w:pPr>
        <w:spacing w:after="120" w:line="276"/>
      </w:pPr>
      <w:r>
        <w:t xml:space="preserve">Дополнительные термины, встречающиеся в инженерных разделах документа.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Термин</w:t>
            </w:r>
          </w:p>
        </w:tc>
        <w:tc>
          <w:tcPr>
            <w:tcW w:type="dxa" w:w="6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Определение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Anti-affinity</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Правило размещения реплик на разных узлах/зонах для отказоустойчивости.</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Backoff</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Увеличение паузы между повторами (часто экспоненциальное) с разбросом (jitter).</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BFF (Backend for Frontend)</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Слой агрегации API под конкретный канал.</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Bulkhead</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Перегородка — изоляция ресурсов по зависимостям.</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Canary</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Постепенный вывод версии на долю трафика.</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Cutover</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Момент/процедура переключения на новую систему/версию.</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Error budget</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Бюджет ошибок — допустимый объём сбоев за период.</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Golden signals</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Золотые сигналы: задержка, трафик, ошибки, насыщенность.</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HSM</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Аппаратный модуль хранения криптографических ключей.</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Idempotency</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Свойство операции давать один эффект при повторе.</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JWKS</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Набор публичных ключей для проверки подписи JWT.</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KRaft</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Режим Kafka без ZooKeeper (встроенный консенсус).</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LoA (Level of Assurance)</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Уровень доверия к результату аутентификации.</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Multitenancy</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Мультиарендность — обслуживание многих арендаторов одной инсталляцией.</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Observability</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Наблюдаемость — понимание состояния по метрикам/логам/трассам.</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Postmortem</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Разбор инцидента с выявлением системных причин (безобвинительный).</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Rate limiting</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Ограничение частоты запросов.</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RLS (Row-Level Security)</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Разграничение доступа на уровне строк БД.</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Sidecar</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Вспомогательный контейнер рядом с основным (напр., прокси mesh).</w:t>
            </w:r>
          </w:p>
        </w:tc>
      </w:tr>
      <w:tr>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Throttling</w:t>
            </w:r>
          </w:p>
        </w:tc>
        <w:tc>
          <w:tcPr>
            <w:tcW w:type="dxa" w:w="6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Сдерживание интенсивности обработки/запросов.</w:t>
            </w:r>
          </w:p>
        </w:tc>
      </w:tr>
      <w:tr>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WAF</w:t>
            </w:r>
          </w:p>
        </w:tc>
        <w:tc>
          <w:tcPr>
            <w:tcW w:type="dxa" w:w="6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Межсетевой экран уровня приложений.</w:t>
            </w:r>
          </w:p>
        </w:tc>
      </w:tr>
    </w:tbl>
    <w:p>
      <w:r>
        <w:br w:type="page"/>
      </w:r>
    </w:p>
    <w:p>
      <w:pPr>
        <w:pStyle w:val="Heading1"/>
      </w:pPr>
      <w:r>
        <w:t xml:space="preserve">Приложение Щ. О структуре документа</w:t>
      </w:r>
    </w:p>
    <w:p>
      <w:pPr>
        <w:spacing w:after="120" w:line="276"/>
      </w:pPr>
      <w:r>
        <w:t xml:space="preserve">Документ организован по принципу «от общего к частному»: основные разделы (1–21) задают рамку требований, разделы с буквенными индексами (4А, 4Б, 5А–5Г, 6Б–6Г, 7А, 8А, 11А, 12А–12Г, 13А, 14А, 16А, 17А, 20А) раскрывают инженерную глубину, а приложения (А–Щ) содержат справочные материалы, реестры, матрицы и шаблоны.</w:t>
      </w:r>
    </w:p>
    <w:p>
      <w:pPr>
        <w:spacing w:after="120" w:line="276"/>
      </w:pPr>
      <w:r>
        <w:t xml:space="preserve">Принципы навигации по документу:</w:t>
      </w:r>
    </w:p>
    <w:p>
      <w:pPr>
        <w:pStyle w:val="ListParagraph"/>
        <w:numPr>
          <w:ilvl w:val="0"/>
          <w:numId w:val="2"/>
        </w:numPr>
        <w:spacing w:after="80" w:line="264"/>
      </w:pPr>
      <w:r>
        <w:t xml:space="preserve">основные разделы достаточны для согласования объёма и границ системы;</w:t>
      </w:r>
    </w:p>
    <w:p>
      <w:pPr>
        <w:pStyle w:val="ListParagraph"/>
        <w:numPr>
          <w:ilvl w:val="0"/>
          <w:numId w:val="2"/>
        </w:numPr>
        <w:spacing w:after="80" w:line="264"/>
      </w:pPr>
      <w:r>
        <w:t xml:space="preserve">разделы с буквенными индексами предназначены для команды разработки и проектирования;</w:t>
      </w:r>
    </w:p>
    <w:p>
      <w:pPr>
        <w:pStyle w:val="ListParagraph"/>
        <w:numPr>
          <w:ilvl w:val="0"/>
          <w:numId w:val="2"/>
        </w:numPr>
        <w:spacing w:after="80" w:line="264"/>
      </w:pPr>
      <w:r>
        <w:t xml:space="preserve">приложения используются как рабочие справочники и шаблоны на протяжении проекта;</w:t>
      </w:r>
    </w:p>
    <w:p>
      <w:pPr>
        <w:pStyle w:val="ListParagraph"/>
        <w:numPr>
          <w:ilvl w:val="0"/>
          <w:numId w:val="2"/>
        </w:numPr>
        <w:spacing w:after="80" w:line="264"/>
      </w:pPr>
      <w:r>
        <w:t xml:space="preserve">матрица трассируемости (Приложение Б) связывает требования с реализацией и проверкой;</w:t>
      </w:r>
    </w:p>
    <w:p>
      <w:pPr>
        <w:pStyle w:val="ListParagraph"/>
        <w:numPr>
          <w:ilvl w:val="0"/>
          <w:numId w:val="2"/>
        </w:numPr>
        <w:spacing w:after="80" w:line="264"/>
      </w:pPr>
      <w:r>
        <w:t xml:space="preserve">реестр ADR (Приложение Е) фиксирует ключевые решения и их обоснование.</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80"/>
              <w:bottom w:type="dxa" w:w="120"/>
              <w:right w:type="dxa" w:w="160"/>
            </w:tcMar>
          </w:tcPr>
          <w:p>
            <w:pPr>
              <w:spacing w:after="0" w:line="264"/>
            </w:pPr>
            <w:r>
              <w:rPr>
                <w:b/>
                <w:bCs/>
                <w:color w:val="1F4E79"/>
                <w:sz w:val="21"/>
                <w:szCs w:val="21"/>
              </w:rPr>
              <w:t xml:space="preserve">Статус инженерных деталей. </w:t>
            </w:r>
            <w:r>
              <w:rPr>
                <w:sz w:val="21"/>
                <w:szCs w:val="21"/>
              </w:rPr>
              <w:t xml:space="preserve">Приведённые в документе API, схемы, листинги процессов и правил являются нормативными образцами уровня ТЗ. Окончательные артефакты (OpenAPI, Avro, BPMN, DMN) разрабатываются на этапе проектирования и хранятся в соответствующих реестрах с сохранением обратной совместимости.</w:t>
            </w:r>
          </w:p>
        </w:tc>
      </w:tr>
    </w:tbl>
    <w:p>
      <w:r>
        <w:br w:type="page"/>
      </w:r>
    </w:p>
    <w:p>
      <w:pPr>
        <w:pStyle w:val="Heading1"/>
      </w:pPr>
      <w:r>
        <w:t xml:space="preserve">Приложение Ю. Сводный справочник API доменных сервисов</w:t>
      </w:r>
    </w:p>
    <w:p>
      <w:pPr>
        <w:spacing w:after="120" w:line="276"/>
      </w:pPr>
      <w:r>
        <w:t xml:space="preserve">Сводный перечень основных операций API всех доменных сервисов (раздел 4Б). Справочник служит навигацией; полные контракты (OpenAPI 3.1) разрабатываются на этапе проектирования и публикуются на Developer Portal.</w:t>
      </w:r>
    </w:p>
    <w:p>
      <w:pPr>
        <w:pStyle w:val="Heading2"/>
      </w:pPr>
      <w:r>
        <w:t xml:space="preserve">Ю.1. Каталог услуг (catalog-service)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4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/api/v1/services</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Поиск и фильтрация услуг</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/api/v1/services/{id}</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Описание услуги</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/api/v1/services/{id}/versions</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Версии услуги</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/api/v1/services</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Создание черновика</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PUT /api/v1/services/{id}</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Изменение черновика</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/api/v1/services/{id}:publish</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Публикация</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/api/v1/services/{id}:retire</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Вывод из эксплуатации</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/api/v1/life-events</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Жизненные ситуации</w:t>
            </w:r>
          </w:p>
        </w:tc>
      </w:tr>
    </w:tbl>
    <w:p>
      <w:pPr>
        <w:pStyle w:val="Heading2"/>
      </w:pPr>
      <w:r>
        <w:t xml:space="preserve">Ю.2. Управление заявлениями (application-service)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4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/api/v1/applications</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Создание черновика</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PUT /api/v1/applications/{id}</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Сохранение данных</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/api/v1/applications/{id}:submit</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Подача</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/api/v1/applications/{id}:withdraw</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Отзыв</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/api/v1/applications/{id}</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Карточка</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/api/v1/applications</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Список</w:t>
            </w:r>
          </w:p>
        </w:tc>
      </w:tr>
    </w:tbl>
    <w:p>
      <w:pPr>
        <w:pStyle w:val="Heading2"/>
      </w:pPr>
      <w:r>
        <w:t xml:space="preserve">Ю.3. Профиль (profile-service)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4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/api/v1/profile/me</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Профиль</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PUT /api/v1/profile/me/contacts</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Изменение контактов</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/api/v1/profile/me/consents</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Согласия</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/api/v1/profile/me/consents</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Выдача согласия</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DELETE /api/v1/profile/me/consents/{id}</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Отзыв согласия</w:t>
            </w:r>
          </w:p>
        </w:tc>
      </w:tr>
    </w:tbl>
    <w:p>
      <w:pPr>
        <w:pStyle w:val="Heading2"/>
      </w:pPr>
      <w:r>
        <w:t xml:space="preserve">Ю.4. Межведомственное (interop-service)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4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/api/v1/interop/requests</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Создание запроса</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/api/v1/interop/requests/{id}</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Статус/результат</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/api/v1/interop/connectors</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Коннекторы</w:t>
            </w:r>
          </w:p>
        </w:tc>
      </w:tr>
    </w:tbl>
    <w:p>
      <w:pPr>
        <w:pStyle w:val="Heading2"/>
      </w:pPr>
      <w:r>
        <w:t xml:space="preserve">Ю.5. Платежи (payment-service)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4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/api/v1/charges</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Начисление</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/api/v1/payments:charge</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Оплата</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/api/v1/payments/{id}</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Статус платежа</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/api/v1/refunds</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Возврат</w:t>
            </w:r>
          </w:p>
        </w:tc>
      </w:tr>
    </w:tbl>
    <w:p>
      <w:pPr>
        <w:pStyle w:val="Heading2"/>
      </w:pPr>
      <w:r>
        <w:t xml:space="preserve">Ю.6. Документы (document-service)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4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/api/v1/documents</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Загрузка вложения</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/api/v1/documents:render</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Генерация PDF</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/api/v1/documents/{id}</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Метаданные</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/api/v1/documents/{id}:download</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Скачивание</w:t>
            </w:r>
          </w:p>
        </w:tc>
      </w:tr>
    </w:tbl>
    <w:p>
      <w:pPr>
        <w:pStyle w:val="Heading2"/>
      </w:pPr>
      <w:r>
        <w:t xml:space="preserve">Ю.7. Уведомления (notification-service)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4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/api/v1/notifications</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Лента</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/api/v1/notifications:markRead</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Отметка о прочтении</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PUT /api/v1/notifications/preferences</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Предпочтения</w:t>
            </w:r>
          </w:p>
        </w:tc>
      </w:tr>
    </w:tbl>
    <w:p>
      <w:pPr>
        <w:pStyle w:val="Heading2"/>
      </w:pPr>
      <w:r>
        <w:t xml:space="preserve">Ю.8. НСИ (reference-service)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4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/api/v1/references/{code}</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Справочник</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/api/v1/references/{code}/versions</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Версии</w:t>
            </w:r>
          </w:p>
        </w:tc>
      </w:tr>
    </w:tbl>
    <w:p>
      <w:pPr>
        <w:pStyle w:val="Heading2"/>
      </w:pPr>
      <w:r>
        <w:t xml:space="preserve">Ю.9. Электронная подпись (signature-service)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4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/api/v1/signatures:sign</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Подписание</w:t>
            </w:r>
          </w:p>
        </w:tc>
      </w:tr>
      <w:tr>
        <w:tc>
          <w:tcPr>
            <w:tcW w:type="dxa" w:w="4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 /api/v1/signatures:verify</w:t>
            </w:r>
          </w:p>
        </w:tc>
        <w:tc>
          <w:tcPr>
            <w:tcW w:type="dxa" w:w="4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Проверка</w:t>
            </w:r>
          </w:p>
        </w:tc>
      </w:tr>
    </w:tbl>
    <w:p>
      <w:pPr>
        <w:pStyle w:val="Heading2"/>
      </w:pPr>
      <w:r>
        <w:t xml:space="preserve">Ю.10. Аудит (audit-service)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Метод и путь</w:t>
            </w:r>
          </w:p>
        </w:tc>
        <w:tc>
          <w:tcPr>
            <w:tcW w:type="dxa" w:w="4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Назначение</w:t>
            </w:r>
          </w:p>
        </w:tc>
      </w:tr>
      <w:tr>
        <w:tc>
          <w:tcPr>
            <w:tcW w:type="dxa" w:w="4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GET /api/v1/audit</w:t>
            </w:r>
          </w:p>
        </w:tc>
        <w:tc>
          <w:tcPr>
            <w:tcW w:type="dxa" w:w="4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Поиск записей (уполномоченные роли)</w:t>
            </w:r>
          </w:p>
        </w:tc>
      </w:tr>
    </w:tbl>
    <w:p>
      <w:r>
        <w:br w:type="page"/>
      </w:r>
    </w:p>
    <w:p>
      <w:pPr>
        <w:pStyle w:val="Heading1"/>
      </w:pPr>
      <w:r>
        <w:t xml:space="preserve">Приложение Я. Матрица событий «источник — потребители»</w:t>
      </w:r>
    </w:p>
    <w:p>
      <w:pPr>
        <w:spacing w:after="120" w:line="276"/>
      </w:pPr>
      <w:r>
        <w:t xml:space="preserve">Сводная матрица доменных событий с указанием источника и потребителей (дополняет раздел 5Г.4). Используется при проектировании подписок и анализе влияния изменений схем событий.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900"/>
        <w:gridCol w:w="23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Событие</w:t>
            </w:r>
          </w:p>
        </w:tc>
        <w:tc>
          <w:tcPr>
            <w:tcW w:type="dxa" w:w="15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Источник</w:t>
            </w:r>
          </w:p>
        </w:tc>
        <w:tc>
          <w:tcPr>
            <w:tcW w:type="dxa" w:w="2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Потребители</w:t>
            </w:r>
          </w:p>
        </w:tc>
        <w:tc>
          <w:tcPr>
            <w:tcW w:type="dxa" w:w="2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Топик</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ApplicationSubmitted</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 Уведомления, Аудит</w:t>
            </w:r>
          </w:p>
        </w:tc>
        <w:tc>
          <w:tcPr>
            <w:tcW w:type="dxa" w:w="2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applications.events</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ApplicationStatusChanged</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Уведомления, Аудит</w:t>
            </w:r>
          </w:p>
        </w:tc>
        <w:tc>
          <w:tcPr>
            <w:tcW w:type="dxa" w:w="2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applications.events</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ApplicationWithdrawn</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 Аудит</w:t>
            </w:r>
          </w:p>
        </w:tc>
        <w:tc>
          <w:tcPr>
            <w:tcW w:type="dxa" w:w="2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applications.events</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ChargeCreated</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Платежи</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 Уведомления</w:t>
            </w:r>
          </w:p>
        </w:tc>
        <w:tc>
          <w:tcPr>
            <w:tcW w:type="dxa" w:w="2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payments.events</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PaymentConfirmed</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Платежи</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 BPM, Уведомления</w:t>
            </w:r>
          </w:p>
        </w:tc>
        <w:tc>
          <w:tcPr>
            <w:tcW w:type="dxa" w:w="2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payments.events</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PaymentFailed</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Платежи</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 Уведомления</w:t>
            </w:r>
          </w:p>
        </w:tc>
        <w:tc>
          <w:tcPr>
            <w:tcW w:type="dxa" w:w="2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payments.events</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RefundCompleted</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Платежи</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 Аудит</w:t>
            </w:r>
          </w:p>
        </w:tc>
        <w:tc>
          <w:tcPr>
            <w:tcW w:type="dxa" w:w="2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payments.events</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InteropRequested</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Аудит</w:t>
            </w:r>
          </w:p>
        </w:tc>
        <w:tc>
          <w:tcPr>
            <w:tcW w:type="dxa" w:w="2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interop.events</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InteropResponded</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 BPM</w:t>
            </w:r>
          </w:p>
        </w:tc>
        <w:tc>
          <w:tcPr>
            <w:tcW w:type="dxa" w:w="2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interop.events</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InteropFailed</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Заявления, Эксплуатация</w:t>
            </w:r>
          </w:p>
        </w:tc>
        <w:tc>
          <w:tcPr>
            <w:tcW w:type="dxa" w:w="2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interop.events</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DocumentRendered</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Документы</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ЭЦП</w:t>
            </w:r>
          </w:p>
        </w:tc>
        <w:tc>
          <w:tcPr>
            <w:tcW w:type="dxa" w:w="2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documents.events</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DocumentSigned</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ЭЦП</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Документы, Уведомления</w:t>
            </w:r>
          </w:p>
        </w:tc>
        <w:tc>
          <w:tcPr>
            <w:tcW w:type="dxa" w:w="2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documents.events</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ConsentGranted</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Профиль</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w:t>
            </w:r>
          </w:p>
        </w:tc>
        <w:tc>
          <w:tcPr>
            <w:tcW w:type="dxa" w:w="2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profile.events</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ConsentRevoked</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Профиль</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 Уведомления</w:t>
            </w:r>
          </w:p>
        </w:tc>
        <w:tc>
          <w:tcPr>
            <w:tcW w:type="dxa" w:w="2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profile.events</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ContactVerified</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Профиль</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Уведомления</w:t>
            </w:r>
          </w:p>
        </w:tc>
        <w:tc>
          <w:tcPr>
            <w:tcW w:type="dxa" w:w="2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profile.events</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ServicePublished</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Каталог</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Каналы, CDN</w:t>
            </w:r>
          </w:p>
        </w:tc>
        <w:tc>
          <w:tcPr>
            <w:tcW w:type="dxa" w:w="2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catalog.events</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ServiceRetired</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Каталог</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Каналы, Заявления</w:t>
            </w:r>
          </w:p>
        </w:tc>
        <w:tc>
          <w:tcPr>
            <w:tcW w:type="dxa" w:w="2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catalog.events</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ReferenceUpdated</w:t>
            </w:r>
          </w:p>
        </w:tc>
        <w:tc>
          <w:tcPr>
            <w:tcW w:type="dxa" w:w="15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НСИ</w:t>
            </w:r>
          </w:p>
        </w:tc>
        <w:tc>
          <w:tcPr>
            <w:tcW w:type="dxa" w:w="2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Все сервисы</w:t>
            </w:r>
          </w:p>
        </w:tc>
        <w:tc>
          <w:tcPr>
            <w:tcW w:type="dxa" w:w="2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reference.events</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NotificationDelivered</w:t>
            </w:r>
          </w:p>
        </w:tc>
        <w:tc>
          <w:tcPr>
            <w:tcW w:type="dxa" w:w="15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Уведомления</w:t>
            </w:r>
          </w:p>
        </w:tc>
        <w:tc>
          <w:tcPr>
            <w:tcW w:type="dxa" w:w="2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Аудит</w:t>
            </w:r>
          </w:p>
        </w:tc>
        <w:tc>
          <w:tcPr>
            <w:tcW w:type="dxa" w:w="2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notifications.events</w:t>
            </w:r>
          </w:p>
        </w:tc>
      </w:tr>
    </w:tbl>
    <w:p>
      <w:r>
        <w:br w:type="page"/>
      </w:r>
    </w:p>
    <w:p>
      <w:pPr>
        <w:pStyle w:val="Heading1"/>
      </w:pPr>
      <w:r>
        <w:t xml:space="preserve">Приложение АА. Реестр допущений и ограничений</w:t>
      </w:r>
    </w:p>
    <w:p>
      <w:pPr>
        <w:spacing w:after="120" w:line="276"/>
      </w:pPr>
      <w:r>
        <w:t xml:space="preserve">Сводный реестр допущений и ограничений (дополняет раздел 2А.4). Каждому элементу присвоен идентификатор для прослеживаемости; изменение допущения требует пересмотра связанных решений.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400"/>
        <w:gridCol w:w="3360"/>
      </w:tblGrid>
      <w:tr>
        <w:trPr>
          <w:tblHeader/>
        </w:trPr>
        <w:tc>
          <w:tcPr>
            <w:tcW w:type="dxa" w:w="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ID</w:t>
            </w:r>
          </w:p>
        </w:tc>
        <w:tc>
          <w:tcPr>
            <w:tcW w:type="dxa" w:w="1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Тип</w:t>
            </w:r>
          </w:p>
        </w:tc>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Формулировка</w:t>
            </w:r>
          </w:p>
        </w:tc>
        <w:tc>
          <w:tcPr>
            <w:tcW w:type="dxa" w:w="33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Влияние при изменении</w:t>
            </w:r>
          </w:p>
        </w:tc>
      </w:tr>
      <w:tr>
        <w:tc>
          <w:tcPr>
            <w:tcW w:type="dxa" w:w="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AS-01</w:t>
            </w:r>
          </w:p>
        </w:tc>
        <w:tc>
          <w:tcPr>
            <w:tcW w:type="dxa" w:w="1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Допущение</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Smart Bridge доступен и предоставляет сведения</w:t>
            </w:r>
          </w:p>
        </w:tc>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Пересмотр интеграционной модели</w:t>
            </w:r>
          </w:p>
        </w:tc>
      </w:tr>
      <w:tr>
        <w:tc>
          <w:tcPr>
            <w:tcW w:type="dxa" w:w="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AS-02</w:t>
            </w:r>
          </w:p>
        </w:tc>
        <w:tc>
          <w:tcPr>
            <w:tcW w:type="dxa" w:w="1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Допущение</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eID обеспечивает идентификацию</w:t>
            </w:r>
          </w:p>
        </w:tc>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Пересмотр модели аутентификации</w:t>
            </w:r>
          </w:p>
        </w:tc>
      </w:tr>
      <w:tr>
        <w:tc>
          <w:tcPr>
            <w:tcW w:type="dxa" w:w="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AS-03</w:t>
            </w:r>
          </w:p>
        </w:tc>
        <w:tc>
          <w:tcPr>
            <w:tcW w:type="dxa" w:w="1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Допущение</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Ведомства подключаются по волнам</w:t>
            </w:r>
          </w:p>
        </w:tc>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Сдвиг плана миграции</w:t>
            </w:r>
          </w:p>
        </w:tc>
      </w:tr>
      <w:tr>
        <w:tc>
          <w:tcPr>
            <w:tcW w:type="dxa" w:w="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AS-04</w:t>
            </w:r>
          </w:p>
        </w:tc>
        <w:tc>
          <w:tcPr>
            <w:tcW w:type="dxa" w:w="1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Допущение</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Два ЦОД в требуемой конфигурации</w:t>
            </w:r>
          </w:p>
        </w:tc>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Пересмотр модели доступности</w:t>
            </w:r>
          </w:p>
        </w:tc>
      </w:tr>
      <w:tr>
        <w:tc>
          <w:tcPr>
            <w:tcW w:type="dxa" w:w="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CO-01</w:t>
            </w:r>
          </w:p>
        </w:tc>
        <w:tc>
          <w:tcPr>
            <w:tcW w:type="dxa" w:w="1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Ограничение</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Хранение ПДн только в РТ</w:t>
            </w:r>
          </w:p>
        </w:tc>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Архитектура размещения данных</w:t>
            </w:r>
          </w:p>
        </w:tc>
      </w:tr>
      <w:tr>
        <w:tc>
          <w:tcPr>
            <w:tcW w:type="dxa" w:w="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CO-02</w:t>
            </w:r>
          </w:p>
        </w:tc>
        <w:tc>
          <w:tcPr>
            <w:tcW w:type="dxa" w:w="1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Ограничение</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Опора на свободное ПО</w:t>
            </w:r>
          </w:p>
        </w:tc>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Выбор технологий</w:t>
            </w:r>
          </w:p>
        </w:tc>
      </w:tr>
      <w:tr>
        <w:tc>
          <w:tcPr>
            <w:tcW w:type="dxa" w:w="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CO-03</w:t>
            </w:r>
          </w:p>
        </w:tc>
        <w:tc>
          <w:tcPr>
            <w:tcW w:type="dxa" w:w="1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Ограничение</w:t>
            </w:r>
          </w:p>
        </w:tc>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Соответствие законодательству РТ</w:t>
            </w:r>
          </w:p>
        </w:tc>
        <w:tc>
          <w:tcPr>
            <w:tcW w:type="dxa" w:w="33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Требования и контроли</w:t>
            </w:r>
          </w:p>
        </w:tc>
      </w:tr>
      <w:tr>
        <w:tc>
          <w:tcPr>
            <w:tcW w:type="dxa" w:w="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CO-04</w:t>
            </w:r>
          </w:p>
        </w:tc>
        <w:tc>
          <w:tcPr>
            <w:tcW w:type="dxa" w:w="1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Ограничение</w:t>
            </w:r>
          </w:p>
        </w:tc>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Межвед. только через Smart Bridge</w:t>
            </w:r>
          </w:p>
        </w:tc>
        <w:tc>
          <w:tcPr>
            <w:tcW w:type="dxa" w:w="33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Интеграционная архитектура</w:t>
            </w:r>
          </w:p>
        </w:tc>
      </w:tr>
    </w:tbl>
    <w:p>
      <w:r>
        <w:br w:type="page"/>
      </w:r>
    </w:p>
    <w:p>
      <w:pPr>
        <w:pStyle w:val="Heading1"/>
      </w:pPr>
      <w:r>
        <w:t xml:space="preserve">Приложение АБ. Реестр заинтересованных сторон</w:t>
      </w:r>
    </w:p>
    <w:p>
      <w:pPr>
        <w:spacing w:after="120" w:line="276"/>
      </w:pPr>
      <w:r>
        <w:t xml:space="preserve">Расширенный реестр заинтересованных сторон с указанием роли в проекте и способа вовлечения.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Сторона</w:t>
            </w:r>
          </w:p>
        </w:tc>
        <w:tc>
          <w:tcPr>
            <w:tcW w:type="dxa" w:w="30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Роль в проекте</w:t>
            </w:r>
          </w:p>
        </w:tc>
        <w:tc>
          <w:tcPr>
            <w:tcW w:type="dxa" w:w="35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Вовлечение</w:t>
            </w:r>
          </w:p>
        </w:tc>
      </w:tr>
      <w:tr>
        <w:tc>
          <w:tcPr>
            <w:tcW w:type="dxa" w:w="2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Уполномоченный орган</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Заказчик, утверждение</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Согласование, приёмка, отчётность</w:t>
            </w:r>
          </w:p>
        </w:tc>
      </w:tr>
      <w:tr>
        <w:tc>
          <w:tcPr>
            <w:tcW w:type="dxa" w:w="2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Ведомства</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Поставщики сведений, потребители</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Подключение, согласование услуг</w:t>
            </w:r>
          </w:p>
        </w:tc>
      </w:tr>
      <w:tr>
        <w:tc>
          <w:tcPr>
            <w:tcW w:type="dxa" w:w="2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Граждане/организации</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Конечные пользователи</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Обратная связь, юзабилити-тесты</w:t>
            </w:r>
          </w:p>
        </w:tc>
      </w:tr>
      <w:tr>
        <w:tc>
          <w:tcPr>
            <w:tcW w:type="dxa" w:w="2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Команда разработки</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Исполнитель</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Реализация, документация</w:t>
            </w:r>
          </w:p>
        </w:tc>
      </w:tr>
      <w:tr>
        <w:tc>
          <w:tcPr>
            <w:tcW w:type="dxa" w:w="2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Платформенная команда</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Общие возможности</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Стандарты, переиспользование</w:t>
            </w:r>
          </w:p>
        </w:tc>
      </w:tr>
      <w:tr>
        <w:tc>
          <w:tcPr>
            <w:tcW w:type="dxa" w:w="2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Архитектурный комитет</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Целостность решений</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 ревью</w:t>
            </w:r>
          </w:p>
        </w:tc>
      </w:tr>
      <w:tr>
        <w:tc>
          <w:tcPr>
            <w:tcW w:type="dxa" w:w="2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Служба ИБ</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Безопасность</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Модель угроз, аудит, контроли</w:t>
            </w:r>
          </w:p>
        </w:tc>
      </w:tr>
      <w:tr>
        <w:tc>
          <w:tcPr>
            <w:tcW w:type="dxa" w:w="28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Эксплуатация/SRE</w:t>
            </w:r>
          </w:p>
        </w:tc>
        <w:tc>
          <w:tcPr>
            <w:tcW w:type="dxa" w:w="30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Сопровождение</w:t>
            </w:r>
          </w:p>
        </w:tc>
        <w:tc>
          <w:tcPr>
            <w:tcW w:type="dxa" w:w="35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Надёжность, инциденты, DR</w:t>
            </w:r>
          </w:p>
        </w:tc>
      </w:tr>
      <w:tr>
        <w:tc>
          <w:tcPr>
            <w:tcW w:type="dxa" w:w="28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Регуляторы</w:t>
            </w:r>
          </w:p>
        </w:tc>
        <w:tc>
          <w:tcPr>
            <w:tcW w:type="dxa" w:w="30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Надзор соответствия</w:t>
            </w:r>
          </w:p>
        </w:tc>
        <w:tc>
          <w:tcPr>
            <w:tcW w:type="dxa" w:w="35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Проверки, требования</w:t>
            </w:r>
          </w:p>
        </w:tc>
      </w:tr>
    </w:tbl>
    <w:p>
      <w:r>
        <w:br w:type="page"/>
      </w:r>
    </w:p>
    <w:p>
      <w:pPr>
        <w:pStyle w:val="Heading1"/>
      </w:pPr>
      <w:r>
        <w:t xml:space="preserve">Приложение АВ. Журнал открытых вопросов</w:t>
      </w:r>
    </w:p>
    <w:p>
      <w:pPr>
        <w:spacing w:after="120" w:line="276"/>
      </w:pPr>
      <w:r>
        <w:t xml:space="preserve">Журнал вопросов, требующих уточнения на этапе проектирования или согласования. Журнал ведётся на протяжении проекта; закрытые вопросы фиксируются с принятым решением.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100"/>
        <w:gridCol w:w="2160"/>
      </w:tblGrid>
      <w:tr>
        <w:trPr>
          <w:tblHeader/>
        </w:trPr>
        <w:tc>
          <w:tcPr>
            <w:tcW w:type="dxa" w:w="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ID</w:t>
            </w:r>
          </w:p>
        </w:tc>
        <w:tc>
          <w:tcPr>
            <w:tcW w:type="dxa" w:w="4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Вопрос</w:t>
            </w:r>
          </w:p>
        </w:tc>
        <w:tc>
          <w:tcPr>
            <w:tcW w:type="dxa" w:w="21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Категория</w:t>
            </w:r>
          </w:p>
        </w:tc>
        <w:tc>
          <w:tcPr>
            <w:tcW w:type="dxa" w:w="21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Статус</w:t>
            </w:r>
          </w:p>
        </w:tc>
      </w:tr>
      <w:tr>
        <w:tc>
          <w:tcPr>
            <w:tcW w:type="dxa" w:w="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Q-01</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Точный перечень коммерческих лицензий и модель</w:t>
            </w:r>
          </w:p>
        </w:tc>
        <w:tc>
          <w:tcPr>
            <w:tcW w:type="dxa" w:w="2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Закупки</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Открыт</w:t>
            </w:r>
          </w:p>
        </w:tc>
      </w:tr>
      <w:tr>
        <w:tc>
          <w:tcPr>
            <w:tcW w:type="dxa" w:w="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Q-02</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Уточнение SLA каждого ведомства по сведениям</w:t>
            </w:r>
          </w:p>
        </w:tc>
        <w:tc>
          <w:tcPr>
            <w:tcW w:type="dxa" w:w="2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Интеграция</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Открыт</w:t>
            </w:r>
          </w:p>
        </w:tc>
      </w:tr>
      <w:tr>
        <w:tc>
          <w:tcPr>
            <w:tcW w:type="dxa" w:w="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Q-03</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Окончательный перечень алгоритмов криптографии (регулятор)</w:t>
            </w:r>
          </w:p>
        </w:tc>
        <w:tc>
          <w:tcPr>
            <w:tcW w:type="dxa" w:w="2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Безопасность</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Открыт</w:t>
            </w:r>
          </w:p>
        </w:tc>
      </w:tr>
      <w:tr>
        <w:tc>
          <w:tcPr>
            <w:tcW w:type="dxa" w:w="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Q-04</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Детальные сроки хранения по типам данных</w:t>
            </w:r>
          </w:p>
        </w:tc>
        <w:tc>
          <w:tcPr>
            <w:tcW w:type="dxa" w:w="2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Данные</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Открыт</w:t>
            </w:r>
          </w:p>
        </w:tc>
      </w:tr>
      <w:tr>
        <w:tc>
          <w:tcPr>
            <w:tcW w:type="dxa" w:w="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Q-05</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Состав услуг первой волны пилота</w:t>
            </w:r>
          </w:p>
        </w:tc>
        <w:tc>
          <w:tcPr>
            <w:tcW w:type="dxa" w:w="2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Объём</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Открыт</w:t>
            </w:r>
          </w:p>
        </w:tc>
      </w:tr>
      <w:tr>
        <w:tc>
          <w:tcPr>
            <w:tcW w:type="dxa" w:w="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Q-06</w:t>
            </w:r>
          </w:p>
        </w:tc>
        <w:tc>
          <w:tcPr>
            <w:tcW w:type="dxa" w:w="4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Параметры ЦОД и канала между ними</w:t>
            </w:r>
          </w:p>
        </w:tc>
        <w:tc>
          <w:tcPr>
            <w:tcW w:type="dxa" w:w="21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Инфраструктура</w:t>
            </w:r>
          </w:p>
        </w:tc>
        <w:tc>
          <w:tcPr>
            <w:tcW w:type="dxa" w:w="21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Открыт</w:t>
            </w:r>
          </w:p>
        </w:tc>
      </w:tr>
      <w:tr>
        <w:tc>
          <w:tcPr>
            <w:tcW w:type="dxa" w:w="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Q-07</w:t>
            </w:r>
          </w:p>
        </w:tc>
        <w:tc>
          <w:tcPr>
            <w:tcW w:type="dxa" w:w="4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Регламент проактивных услуг и согласий</w:t>
            </w:r>
          </w:p>
        </w:tc>
        <w:tc>
          <w:tcPr>
            <w:tcW w:type="dxa" w:w="21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Продукт</w:t>
            </w:r>
          </w:p>
        </w:tc>
        <w:tc>
          <w:tcPr>
            <w:tcW w:type="dxa" w:w="21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Открыт</w:t>
            </w:r>
          </w:p>
        </w:tc>
      </w:tr>
    </w:tbl>
    <w:p>
      <w:r>
        <w:br w:type="page"/>
      </w:r>
    </w:p>
    <w:p>
      <w:pPr>
        <w:pStyle w:val="Heading1"/>
      </w:pPr>
      <w:r>
        <w:t xml:space="preserve">Приложение АГ. Типовые эксплуатационные процедуры (runbook)</w:t>
      </w:r>
    </w:p>
    <w:p>
      <w:pPr>
        <w:spacing w:after="120" w:line="276"/>
      </w:pPr>
      <w:r>
        <w:t xml:space="preserve">Типовые процедуры эксплуатации (дополняют разделы 12А, 12Б, 14А). Процедуры являются образцами уровня ТЗ; детальные runbook разрабатываются на этапе проектирования и поддерживаются в актуальном состоянии. Каждая процедура содержит цель, предусловия и шаги.</w:t>
      </w:r>
    </w:p>
    <w:p>
      <w:pPr>
        <w:pStyle w:val="Heading2"/>
      </w:pPr>
      <w:r>
        <w:t xml:space="preserve">АГ.1. Переключение между ЦОД (плановое)</w:t>
      </w:r>
    </w:p>
    <w:p>
      <w:pPr>
        <w:spacing w:after="120" w:line="276"/>
      </w:pPr>
      <w:r>
        <w:rPr>
          <w:i/>
          <w:iCs/>
          <w:color w:val="5A6B7B"/>
        </w:rPr>
        <w:t xml:space="preserve">Цель: перевести трафик на один ЦОД для обслуживания или учений. Предусловие: второй ЦОД здоров и несёт нагрузку.</w:t>
      </w:r>
    </w:p>
    <w:p>
      <w:pPr>
        <w:pStyle w:val="ListParagraph"/>
        <w:numPr>
          <w:ilvl w:val="0"/>
          <w:numId w:val="7"/>
        </w:numPr>
        <w:spacing w:after="80" w:line="264"/>
      </w:pPr>
      <w:r>
        <w:t xml:space="preserve">Проверить здоровье целевого ЦОД (метрики, дашборды).</w:t>
      </w:r>
    </w:p>
    <w:p>
      <w:pPr>
        <w:pStyle w:val="ListParagraph"/>
        <w:numPr>
          <w:ilvl w:val="0"/>
          <w:numId w:val="7"/>
        </w:numPr>
        <w:spacing w:after="80" w:line="264"/>
      </w:pPr>
      <w:r>
        <w:t xml:space="preserve">Перевести запись синхронных схем БД на целевой ЦОД (контролируемо).</w:t>
      </w:r>
    </w:p>
    <w:p>
      <w:pPr>
        <w:pStyle w:val="ListParagraph"/>
        <w:numPr>
          <w:ilvl w:val="0"/>
          <w:numId w:val="7"/>
        </w:numPr>
        <w:spacing w:after="80" w:line="264"/>
      </w:pPr>
      <w:r>
        <w:t xml:space="preserve">Сместить распределение GSLB на целевой ЦОД.</w:t>
      </w:r>
    </w:p>
    <w:p>
      <w:pPr>
        <w:pStyle w:val="ListParagraph"/>
        <w:numPr>
          <w:ilvl w:val="0"/>
          <w:numId w:val="7"/>
        </w:numPr>
        <w:spacing w:after="80" w:line="264"/>
      </w:pPr>
      <w:r>
        <w:t xml:space="preserve">Контролировать SLI (ошибки, задержки) в течение окна.</w:t>
      </w:r>
    </w:p>
    <w:p>
      <w:pPr>
        <w:pStyle w:val="ListParagraph"/>
        <w:numPr>
          <w:ilvl w:val="0"/>
          <w:numId w:val="7"/>
        </w:numPr>
        <w:spacing w:after="80" w:line="264"/>
      </w:pPr>
      <w:r>
        <w:t xml:space="preserve">При отклонениях — откат распределения; зафиксировать результат в журнале учений.</w:t>
      </w:r>
    </w:p>
    <w:p>
      <w:pPr>
        <w:pStyle w:val="Heading2"/>
      </w:pPr>
      <w:r>
        <w:t xml:space="preserve">АГ.2. Восстановление БД на момент времени (PITR)</w:t>
      </w:r>
    </w:p>
    <w:p>
      <w:pPr>
        <w:spacing w:after="120" w:line="276"/>
      </w:pPr>
      <w:r>
        <w:rPr>
          <w:i/>
          <w:iCs/>
          <w:color w:val="5A6B7B"/>
        </w:rPr>
        <w:t xml:space="preserve">Цель: восстановить данные после повреждения. Предусловие: доступны базовая копия и архив WAL (pgBackRest).</w:t>
      </w:r>
    </w:p>
    <w:p>
      <w:pPr>
        <w:pStyle w:val="ListParagraph"/>
        <w:numPr>
          <w:ilvl w:val="0"/>
          <w:numId w:val="7"/>
        </w:numPr>
        <w:spacing w:after="80" w:line="264"/>
      </w:pPr>
      <w:r>
        <w:t xml:space="preserve">Определить целевой момент восстановления (до инцидента).</w:t>
      </w:r>
    </w:p>
    <w:p>
      <w:pPr>
        <w:pStyle w:val="ListParagraph"/>
        <w:numPr>
          <w:ilvl w:val="0"/>
          <w:numId w:val="7"/>
        </w:numPr>
        <w:spacing w:after="80" w:line="264"/>
      </w:pPr>
      <w:r>
        <w:t xml:space="preserve">Подготовить целевой экземпляр; восстановить базовую копию.</w:t>
      </w:r>
    </w:p>
    <w:p>
      <w:pPr>
        <w:pStyle w:val="ListParagraph"/>
        <w:numPr>
          <w:ilvl w:val="0"/>
          <w:numId w:val="7"/>
        </w:numPr>
        <w:spacing w:after="80" w:line="264"/>
      </w:pPr>
      <w:r>
        <w:t xml:space="preserve">Применить WAL до целевого момента (PITR).</w:t>
      </w:r>
    </w:p>
    <w:p>
      <w:pPr>
        <w:pStyle w:val="ListParagraph"/>
        <w:numPr>
          <w:ilvl w:val="0"/>
          <w:numId w:val="7"/>
        </w:numPr>
        <w:spacing w:after="80" w:line="264"/>
      </w:pPr>
      <w:r>
        <w:t xml:space="preserve">Проверить целостность и согласованность данных.</w:t>
      </w:r>
    </w:p>
    <w:p>
      <w:pPr>
        <w:pStyle w:val="ListParagraph"/>
        <w:numPr>
          <w:ilvl w:val="0"/>
          <w:numId w:val="7"/>
        </w:numPr>
        <w:spacing w:after="80" w:line="264"/>
      </w:pPr>
      <w:r>
        <w:t xml:space="preserve">Переключить сервисы; зафиксировать RPO/RTO по факту.</w:t>
      </w:r>
    </w:p>
    <w:p>
      <w:pPr>
        <w:pStyle w:val="Heading2"/>
      </w:pPr>
      <w:r>
        <w:t xml:space="preserve">АГ.3. Реагирование на рост DLQ</w:t>
      </w:r>
    </w:p>
    <w:p>
      <w:pPr>
        <w:spacing w:after="120" w:line="276"/>
      </w:pPr>
      <w:r>
        <w:rPr>
          <w:i/>
          <w:iCs/>
          <w:color w:val="5A6B7B"/>
        </w:rPr>
        <w:t xml:space="preserve">Цель: устранить накопление необработанных событий. Предусловие: алерт о росте DLQ (раздел 5Г.3).</w:t>
      </w:r>
    </w:p>
    <w:p>
      <w:pPr>
        <w:pStyle w:val="ListParagraph"/>
        <w:numPr>
          <w:ilvl w:val="0"/>
          <w:numId w:val="7"/>
        </w:numPr>
        <w:spacing w:after="80" w:line="264"/>
      </w:pPr>
      <w:r>
        <w:t xml:space="preserve">Определить топик и причину (по заголовкам x-error в DLQ).</w:t>
      </w:r>
    </w:p>
    <w:p>
      <w:pPr>
        <w:pStyle w:val="ListParagraph"/>
        <w:numPr>
          <w:ilvl w:val="0"/>
          <w:numId w:val="7"/>
        </w:numPr>
        <w:spacing w:after="80" w:line="264"/>
      </w:pPr>
      <w:r>
        <w:t xml:space="preserve">Устранить причину (дефект потребителя, недоступность зависимости).</w:t>
      </w:r>
    </w:p>
    <w:p>
      <w:pPr>
        <w:pStyle w:val="ListParagraph"/>
        <w:numPr>
          <w:ilvl w:val="0"/>
          <w:numId w:val="7"/>
        </w:numPr>
        <w:spacing w:after="80" w:line="264"/>
      </w:pPr>
      <w:r>
        <w:t xml:space="preserve">Повторно обработать сообщения из DLQ инструментом повторной подачи.</w:t>
      </w:r>
    </w:p>
    <w:p>
      <w:pPr>
        <w:pStyle w:val="ListParagraph"/>
        <w:numPr>
          <w:ilvl w:val="0"/>
          <w:numId w:val="7"/>
        </w:numPr>
        <w:spacing w:after="80" w:line="264"/>
      </w:pPr>
      <w:r>
        <w:t xml:space="preserve">Подтвердить снижение DLQ до нуля; зафиксировать инцидент.</w:t>
      </w:r>
    </w:p>
    <w:p>
      <w:pPr>
        <w:pStyle w:val="Heading2"/>
      </w:pPr>
      <w:r>
        <w:t xml:space="preserve">АГ.4. Откат релиза</w:t>
      </w:r>
    </w:p>
    <w:p>
      <w:pPr>
        <w:spacing w:after="120" w:line="276"/>
      </w:pPr>
      <w:r>
        <w:rPr>
          <w:i/>
          <w:iCs/>
          <w:color w:val="5A6B7B"/>
        </w:rPr>
        <w:t xml:space="preserve">Цель: вернуть стабильную версию после неудачного релиза. Предусловие: метрики вышли за пределы (cutover-критерии).</w:t>
      </w:r>
    </w:p>
    <w:p>
      <w:pPr>
        <w:pStyle w:val="ListParagraph"/>
        <w:numPr>
          <w:ilvl w:val="0"/>
          <w:numId w:val="7"/>
        </w:numPr>
        <w:spacing w:after="80" w:line="264"/>
      </w:pPr>
      <w:r>
        <w:t xml:space="preserve">Отключить новую функцию feature flag (Unleash) либо вернуть состояние в Git (ArgoCD revert).</w:t>
      </w:r>
    </w:p>
    <w:p>
      <w:pPr>
        <w:pStyle w:val="ListParagraph"/>
        <w:numPr>
          <w:ilvl w:val="0"/>
          <w:numId w:val="7"/>
        </w:numPr>
        <w:spacing w:after="80" w:line="264"/>
      </w:pPr>
      <w:r>
        <w:t xml:space="preserve">Дождаться синхронизации желаемого состояния в кластерах.</w:t>
      </w:r>
    </w:p>
    <w:p>
      <w:pPr>
        <w:pStyle w:val="ListParagraph"/>
        <w:numPr>
          <w:ilvl w:val="0"/>
          <w:numId w:val="7"/>
        </w:numPr>
        <w:spacing w:after="80" w:line="264"/>
      </w:pPr>
      <w:r>
        <w:t xml:space="preserve">Подтвердить восстановление SLI; уведомить заинтересованных.</w:t>
      </w:r>
    </w:p>
    <w:p>
      <w:pPr>
        <w:pStyle w:val="ListParagraph"/>
        <w:numPr>
          <w:ilvl w:val="0"/>
          <w:numId w:val="7"/>
        </w:numPr>
        <w:spacing w:after="80" w:line="264"/>
      </w:pPr>
      <w:r>
        <w:t xml:space="preserve">Провести разбор (постмортем) причины неудачного релиза.</w:t>
      </w:r>
    </w:p>
    <w:p>
      <w:pPr>
        <w:pStyle w:val="Heading2"/>
      </w:pPr>
      <w:r>
        <w:t xml:space="preserve">АГ.5. Реагирование на инцидент безопасности</w:t>
      </w:r>
    </w:p>
    <w:p>
      <w:pPr>
        <w:spacing w:after="120" w:line="276"/>
      </w:pPr>
      <w:r>
        <w:rPr>
          <w:i/>
          <w:iCs/>
          <w:color w:val="5A6B7B"/>
        </w:rPr>
        <w:t xml:space="preserve">Цель: локализовать и устранить инцидент ИБ. Предусловие: сигнал SIEM/SOC (раздел 11А.8).</w:t>
      </w:r>
    </w:p>
    <w:p>
      <w:pPr>
        <w:pStyle w:val="ListParagraph"/>
        <w:numPr>
          <w:ilvl w:val="0"/>
          <w:numId w:val="7"/>
        </w:numPr>
        <w:spacing w:after="80" w:line="264"/>
      </w:pPr>
      <w:r>
        <w:t xml:space="preserve">Классифицировать инцидент по серьёзности; объявить при необходимости.</w:t>
      </w:r>
    </w:p>
    <w:p>
      <w:pPr>
        <w:pStyle w:val="ListParagraph"/>
        <w:numPr>
          <w:ilvl w:val="0"/>
          <w:numId w:val="7"/>
        </w:numPr>
        <w:spacing w:after="80" w:line="264"/>
      </w:pPr>
      <w:r>
        <w:t xml:space="preserve">Локализовать (изоляция затронутых компонентов/учётных записей).</w:t>
      </w:r>
    </w:p>
    <w:p>
      <w:pPr>
        <w:pStyle w:val="ListParagraph"/>
        <w:numPr>
          <w:ilvl w:val="0"/>
          <w:numId w:val="7"/>
        </w:numPr>
        <w:spacing w:after="80" w:line="264"/>
      </w:pPr>
      <w:r>
        <w:t xml:space="preserve">Устранить причину; восстановить штатную работу.</w:t>
      </w:r>
    </w:p>
    <w:p>
      <w:pPr>
        <w:pStyle w:val="ListParagraph"/>
        <w:numPr>
          <w:ilvl w:val="0"/>
          <w:numId w:val="7"/>
        </w:numPr>
        <w:spacing w:after="80" w:line="264"/>
      </w:pPr>
      <w:r>
        <w:t xml:space="preserve">Уведомить регулятора при наступлении установленных условий (по закону).</w:t>
      </w:r>
    </w:p>
    <w:p>
      <w:pPr>
        <w:pStyle w:val="ListParagraph"/>
        <w:numPr>
          <w:ilvl w:val="0"/>
          <w:numId w:val="7"/>
        </w:numPr>
        <w:spacing w:after="80" w:line="264"/>
      </w:pPr>
      <w:r>
        <w:t xml:space="preserve">Провести разбор; внедрить корректирующие меры.</w:t>
      </w:r>
    </w:p>
    <w:p>
      <w:r>
        <w:br w:type="page"/>
      </w:r>
    </w:p>
    <w:p>
      <w:pPr>
        <w:pStyle w:val="Heading1"/>
      </w:pPr>
      <w:r>
        <w:t xml:space="preserve">Приложение АД. Справочник расчётной ёмкости</w:t>
      </w:r>
    </w:p>
    <w:p>
      <w:pPr>
        <w:spacing w:after="120" w:line="276"/>
      </w:pPr>
      <w:r>
        <w:t xml:space="preserve">Сводная расчётная ёмкость на один ЦОД (детализирует раздел 12.3). Значения минимальны и уточняются по результатам нагрузочного тестирования (этап 2). Каждый ЦОД рассчитан на полную нагрузку при отказе второго (раздел 12В.3).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900"/>
        <w:gridCol w:w="2860"/>
      </w:tblGrid>
      <w:tr>
        <w:trPr>
          <w:tblHeader/>
        </w:trPr>
        <w:tc>
          <w:tcPr>
            <w:tcW w:type="dxa" w:w="2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Компонент</w:t>
            </w:r>
          </w:p>
        </w:tc>
        <w:tc>
          <w:tcPr>
            <w:tcW w:type="dxa" w:w="1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Штатный режим</w:t>
            </w:r>
          </w:p>
        </w:tc>
        <w:tc>
          <w:tcPr>
            <w:tcW w:type="dxa" w:w="19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Пик (×10)</w:t>
            </w:r>
          </w:p>
        </w:tc>
        <w:tc>
          <w:tcPr>
            <w:tcW w:type="dxa" w:w="28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Конфигурация узла</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K8s worker nodes</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12</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30</w:t>
            </w:r>
          </w:p>
        </w:tc>
        <w:tc>
          <w:tcPr>
            <w:tcW w:type="dxa" w:w="28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8 vCPU / 32 GB</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K8s control plane</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w:t>
            </w:r>
          </w:p>
        </w:tc>
        <w:tc>
          <w:tcPr>
            <w:tcW w:type="dxa" w:w="28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 vCPU / 16 GB, etcd на SSD</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PostgreSQL</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w:t>
            </w:r>
          </w:p>
        </w:tc>
        <w:tc>
          <w:tcPr>
            <w:tcW w:type="dxa" w:w="28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16 vCPU / 64 GB, NVMe</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Apache Kafka</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 брокера</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 брокеров</w:t>
            </w:r>
          </w:p>
        </w:tc>
        <w:tc>
          <w:tcPr>
            <w:tcW w:type="dxa" w:w="28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8 vCPU / 32 GB, NVMe</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Redis</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 (Sentinel)</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6 (Cluster)</w:t>
            </w:r>
          </w:p>
        </w:tc>
        <w:tc>
          <w:tcPr>
            <w:tcW w:type="dxa" w:w="28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 vCPU / 16 GB</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OpenSearch</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3</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w:t>
            </w:r>
          </w:p>
        </w:tc>
        <w:tc>
          <w:tcPr>
            <w:tcW w:type="dxa" w:w="28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8 vCPU / 32 GB</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Keycloak</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w:t>
            </w:r>
          </w:p>
        </w:tc>
        <w:tc>
          <w:tcPr>
            <w:tcW w:type="dxa" w:w="28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 vCPU / 16 GB</w:t>
            </w:r>
          </w:p>
        </w:tc>
      </w:tr>
      <w:tr>
        <w:tc>
          <w:tcPr>
            <w:tcW w:type="dxa" w:w="2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BPM-движок (Camunda 7 / альт.)</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2</w:t>
            </w:r>
          </w:p>
        </w:tc>
        <w:tc>
          <w:tcPr>
            <w:tcW w:type="dxa" w:w="19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w:t>
            </w:r>
          </w:p>
        </w:tc>
        <w:tc>
          <w:tcPr>
            <w:tcW w:type="dxa" w:w="28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4 vCPU / 16 GB</w:t>
            </w:r>
          </w:p>
        </w:tc>
      </w:tr>
      <w:tr>
        <w:tc>
          <w:tcPr>
            <w:tcW w:type="dxa" w:w="2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S3/Ceph</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10 TB</w:t>
            </w:r>
          </w:p>
        </w:tc>
        <w:tc>
          <w:tcPr>
            <w:tcW w:type="dxa" w:w="19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50 TB</w:t>
            </w:r>
          </w:p>
        </w:tc>
        <w:tc>
          <w:tcPr>
            <w:tcW w:type="dxa" w:w="28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репликация между ЦОД</w:t>
            </w:r>
          </w:p>
        </w:tc>
      </w:tr>
    </w:tbl>
    <w:p>
      <w:pPr>
        <w:spacing w:after="160" w:before="60" w:line="240"/>
      </w:pPr>
      <w:r>
        <w:rPr>
          <w:i/>
          <w:iCs/>
          <w:color w:val="5A6B7B"/>
          <w:sz w:val="18"/>
          <w:szCs w:val="18"/>
        </w:rPr>
        <w:t xml:space="preserve">Таблица АД.1 — Расчётная ёмкость на один ЦОД.</w:t>
      </w:r>
    </w:p>
    <w:p>
      <w:pPr>
        <w:spacing w:after="120" w:line="276"/>
      </w:pPr>
      <w:r>
        <w:t xml:space="preserve">Суммарный минимум штатного режима на ЦОД: порядка 192 vCPU, 768 GB RAM, 10 TB SSD и 10 TB объектного хранилища. Пиковые потребности покрываются горизонтальным автомасштабированием (HPA и масштабирование узлов). Поскольку применяется модель Active-Passive для критичных write-path с двумя ЦОД, суммарная установленная мощность составляет порядка 200 % пиковой потребности для обеспечения работы при отказе одного ЦОД.</w:t>
      </w:r>
    </w:p>
    <w:p>
      <w:pPr>
        <w:pStyle w:val="Heading2"/>
      </w:pPr>
      <w:r>
        <w:t xml:space="preserve">АД.1. Принципы пересмотра ёмкости</w:t>
      </w:r>
    </w:p>
    <w:p>
      <w:pPr>
        <w:pStyle w:val="ListParagraph"/>
        <w:numPr>
          <w:ilvl w:val="0"/>
          <w:numId w:val="2"/>
        </w:numPr>
        <w:spacing w:after="80" w:line="264"/>
      </w:pPr>
      <w:r>
        <w:t xml:space="preserve">пересмотр при устойчивом приближении утилизации к порогам (раздел 14А);</w:t>
      </w:r>
    </w:p>
    <w:p>
      <w:pPr>
        <w:pStyle w:val="ListParagraph"/>
        <w:numPr>
          <w:ilvl w:val="0"/>
          <w:numId w:val="2"/>
        </w:numPr>
        <w:spacing w:after="80" w:line="264"/>
      </w:pPr>
      <w:r>
        <w:t xml:space="preserve">пересмотр перед подключением новых ведомств и крупных групп услуг;</w:t>
      </w:r>
    </w:p>
    <w:p>
      <w:pPr>
        <w:pStyle w:val="ListParagraph"/>
        <w:numPr>
          <w:ilvl w:val="0"/>
          <w:numId w:val="2"/>
        </w:numPr>
        <w:spacing w:after="80" w:line="264"/>
      </w:pPr>
      <w:r>
        <w:t xml:space="preserve">уточнение профилей автоскейла по фактическим данным нагрузки;</w:t>
      </w:r>
    </w:p>
    <w:p>
      <w:pPr>
        <w:pStyle w:val="ListParagraph"/>
        <w:numPr>
          <w:ilvl w:val="0"/>
          <w:numId w:val="2"/>
        </w:numPr>
        <w:spacing w:after="80" w:line="264"/>
      </w:pPr>
      <w:r>
        <w:t xml:space="preserve">регулярное планирование роста на основании трендов.</w:t>
      </w:r>
    </w:p>
    <w:p>
      <w:r>
        <w:br w:type="page"/>
      </w:r>
    </w:p>
    <w:p>
      <w:pPr>
        <w:pStyle w:val="Heading1"/>
      </w:pPr>
      <w:r>
        <w:t xml:space="preserve">Приложение АЕ. Каталог правил оповещения</w:t>
      </w:r>
    </w:p>
    <w:p>
      <w:pPr>
        <w:spacing w:after="120" w:line="276"/>
      </w:pPr>
      <w:r>
        <w:t xml:space="preserve">Типовые правила оповещения (дополняют разделы 14, 14А.4). Правила ориентированы на нарушение целевых показателей и аномалии золотых сигналов, чтобы минимизировать шум. Конкретные пороги уточняются по результатам эксплуатации.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700"/>
        <w:gridCol w:w="2260"/>
      </w:tblGrid>
      <w:tr>
        <w:trPr>
          <w:tblHeader/>
        </w:trPr>
        <w:tc>
          <w:tcPr>
            <w:tcW w:type="dxa" w:w="2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Правило</w:t>
            </w:r>
          </w:p>
        </w:tc>
        <w:tc>
          <w:tcPr>
            <w:tcW w:type="dxa" w:w="32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Условие (пример)</w:t>
            </w:r>
          </w:p>
        </w:tc>
        <w:tc>
          <w:tcPr>
            <w:tcW w:type="dxa" w:w="17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Серьёзность</w:t>
            </w:r>
          </w:p>
        </w:tc>
        <w:tc>
          <w:tcPr>
            <w:tcW w:type="dxa" w:w="22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Действие</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Высокая доля ошибок</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Доля 5xx превышает порог за окно</w:t>
            </w:r>
          </w:p>
        </w:tc>
        <w:tc>
          <w:tcPr>
            <w:tcW w:type="dxa" w:w="1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Critical</w:t>
            </w:r>
          </w:p>
        </w:tc>
        <w:tc>
          <w:tcPr>
            <w:tcW w:type="dxa" w:w="2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On-call, эскалация</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Рост задержки</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P95 задержки выше SLO за окно</w:t>
            </w:r>
          </w:p>
        </w:tc>
        <w:tc>
          <w:tcPr>
            <w:tcW w:type="dxa" w:w="1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High</w:t>
            </w:r>
          </w:p>
        </w:tc>
        <w:tc>
          <w:tcPr>
            <w:tcW w:type="dxa" w:w="2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Разбор, при росте — эскалация</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Недоступность сервиса</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Реплики недоступны/не готовы</w:t>
            </w:r>
          </w:p>
        </w:tc>
        <w:tc>
          <w:tcPr>
            <w:tcW w:type="dxa" w:w="1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Critical</w:t>
            </w:r>
          </w:p>
        </w:tc>
        <w:tc>
          <w:tcPr>
            <w:tcW w:type="dxa" w:w="2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On-call</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Исчерпание бюджета ошибок</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Остаток бюджета близок к нулю</w:t>
            </w:r>
          </w:p>
        </w:tc>
        <w:tc>
          <w:tcPr>
            <w:tcW w:type="dxa" w:w="1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High</w:t>
            </w:r>
          </w:p>
        </w:tc>
        <w:tc>
          <w:tcPr>
            <w:tcW w:type="dxa" w:w="2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Заморозка рисковых изменений</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Рост DLQ</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Накопление сообщений в DLQ</w:t>
            </w:r>
          </w:p>
        </w:tc>
        <w:tc>
          <w:tcPr>
            <w:tcW w:type="dxa" w:w="1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High</w:t>
            </w:r>
          </w:p>
        </w:tc>
        <w:tc>
          <w:tcPr>
            <w:tcW w:type="dxa" w:w="2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Процедура АГ.3</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Отставание потребителя</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Растущий consumer lag</w:t>
            </w:r>
          </w:p>
        </w:tc>
        <w:tc>
          <w:tcPr>
            <w:tcW w:type="dxa" w:w="1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High</w:t>
            </w:r>
          </w:p>
        </w:tc>
        <w:tc>
          <w:tcPr>
            <w:tcW w:type="dxa" w:w="2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Масштабирование/разбор</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Насыщенность ресурсов</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CPU/память близки к лимитам</w:t>
            </w:r>
          </w:p>
        </w:tc>
        <w:tc>
          <w:tcPr>
            <w:tcW w:type="dxa" w:w="1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Warning</w:t>
            </w:r>
          </w:p>
        </w:tc>
        <w:tc>
          <w:tcPr>
            <w:tcW w:type="dxa" w:w="2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Проверка автоскейла</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Исчерпание соединений БД</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Пул соединений почти исчерпан</w:t>
            </w:r>
          </w:p>
        </w:tc>
        <w:tc>
          <w:tcPr>
            <w:tcW w:type="dxa" w:w="1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High</w:t>
            </w:r>
          </w:p>
        </w:tc>
        <w:tc>
          <w:tcPr>
            <w:tcW w:type="dxa" w:w="2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Разбор, настройка пула</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Нарушение SLA шага</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Рост sla_breach по услуге</w:t>
            </w:r>
          </w:p>
        </w:tc>
        <w:tc>
          <w:tcPr>
            <w:tcW w:type="dxa" w:w="1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Warning</w:t>
            </w:r>
          </w:p>
        </w:tc>
        <w:tc>
          <w:tcPr>
            <w:tcW w:type="dxa" w:w="2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Контроль очередей АРМ</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Отказ ЦОД</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Недоступность компонентов ЦОД</w:t>
            </w:r>
          </w:p>
        </w:tc>
        <w:tc>
          <w:tcPr>
            <w:tcW w:type="dxa" w:w="1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Critical</w:t>
            </w:r>
          </w:p>
        </w:tc>
        <w:tc>
          <w:tcPr>
            <w:tcW w:type="dxa" w:w="2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Процедура АГ.1, on-call</w:t>
            </w:r>
          </w:p>
        </w:tc>
      </w:tr>
      <w:tr>
        <w:tc>
          <w:tcPr>
            <w:tcW w:type="dxa" w:w="2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Событие безопасности</w:t>
            </w:r>
          </w:p>
        </w:tc>
        <w:tc>
          <w:tcPr>
            <w:tcW w:type="dxa" w:w="32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Корреляция SIEM сработала</w:t>
            </w:r>
          </w:p>
        </w:tc>
        <w:tc>
          <w:tcPr>
            <w:tcW w:type="dxa" w:w="17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Critical/High</w:t>
            </w:r>
          </w:p>
        </w:tc>
        <w:tc>
          <w:tcPr>
            <w:tcW w:type="dxa" w:w="22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Процедура АГ.5</w:t>
            </w:r>
          </w:p>
        </w:tc>
      </w:tr>
      <w:tr>
        <w:tc>
          <w:tcPr>
            <w:tcW w:type="dxa" w:w="2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Сбой записи аудита</w:t>
            </w:r>
          </w:p>
        </w:tc>
        <w:tc>
          <w:tcPr>
            <w:tcW w:type="dxa" w:w="32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Ошибка записи в WORM-журнал</w:t>
            </w:r>
          </w:p>
        </w:tc>
        <w:tc>
          <w:tcPr>
            <w:tcW w:type="dxa" w:w="17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Critical</w:t>
            </w:r>
          </w:p>
        </w:tc>
        <w:tc>
          <w:tcPr>
            <w:tcW w:type="dxa" w:w="22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Инцидент ИБ</w:t>
            </w:r>
          </w:p>
        </w:tc>
      </w:tr>
    </w:tbl>
    <w:p>
      <w:r>
        <w:br w:type="page"/>
      </w:r>
    </w:p>
    <w:p>
      <w:pPr>
        <w:pStyle w:val="Heading1"/>
      </w:pPr>
      <w:r>
        <w:t xml:space="preserve">Приложение АЖ. Описание ключевых потоков данных</w:t>
      </w:r>
    </w:p>
    <w:p>
      <w:pPr>
        <w:spacing w:after="120" w:line="276"/>
      </w:pPr>
      <w:r>
        <w:t xml:space="preserve">Текстовое описание ключевых потоков данных между компонентами (дополняет разделы 4А, 5Б). Потоки используются при анализе защиты данных и проектировании интеграций.</w:t>
      </w:r>
    </w:p>
    <w:p>
      <w:pPr>
        <w:pStyle w:val="Heading2"/>
      </w:pPr>
      <w:r>
        <w:t xml:space="preserve">АЖ.1. Поток подачи заявления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Гражданин → web/mobile → BFF → application-service</w:t>
            </w:r>
          </w:p>
          <w:p>
            <w:pPr>
              <w:spacing w:after="0" w:line="240"/>
            </w:pPr>
            <w:r>
              <w:rPr>
                <w:rFonts w:ascii="Courier New" w:cs="Courier New" w:eastAsia="Courier New" w:hAnsi="Courier New"/>
                <w:color w:val="24292E"/>
                <w:sz w:val="17"/>
                <w:szCs w:val="17"/>
              </w:rPr>
              <w:t xml:space="preserve">   ├─ форма (Form.io) валидирует данные на клиенте и сервере</w:t>
            </w:r>
          </w:p>
          <w:p>
            <w:pPr>
              <w:spacing w:after="0" w:line="240"/>
            </w:pPr>
            <w:r>
              <w:rPr>
                <w:rFonts w:ascii="Courier New" w:cs="Courier New" w:eastAsia="Courier New" w:hAnsi="Courier New"/>
                <w:color w:val="24292E"/>
                <w:sz w:val="17"/>
                <w:szCs w:val="17"/>
              </w:rPr>
              <w:t xml:space="preserve">   ├─ автозаполнение: BFF → interop-service → Smart Bridge → реестр</w:t>
            </w:r>
          </w:p>
          <w:p>
            <w:pPr>
              <w:spacing w:after="0" w:line="240"/>
            </w:pPr>
            <w:r>
              <w:rPr>
                <w:rFonts w:ascii="Courier New" w:cs="Courier New" w:eastAsia="Courier New" w:hAnsi="Courier New"/>
                <w:color w:val="24292E"/>
                <w:sz w:val="17"/>
                <w:szCs w:val="17"/>
              </w:rPr>
              <w:t xml:space="preserve">   └─ сохранение: application-service → БД (+ outbox)</w:t>
            </w:r>
          </w:p>
          <w:p>
            <w:pPr>
              <w:spacing w:after="0" w:line="240"/>
            </w:pPr>
            <w:r>
              <w:rPr>
                <w:rFonts w:ascii="Courier New" w:cs="Courier New" w:eastAsia="Courier New" w:hAnsi="Courier New"/>
                <w:color w:val="24292E"/>
                <w:sz w:val="17"/>
                <w:szCs w:val="17"/>
              </w:rPr>
              <w:t xml:space="preserve">application-service → шина: ApplicationSubmitted</w:t>
            </w:r>
          </w:p>
          <w:p>
            <w:pPr>
              <w:spacing w:after="0" w:line="240"/>
            </w:pPr>
            <w:r>
              <w:rPr>
                <w:rFonts w:ascii="Courier New" w:cs="Courier New" w:eastAsia="Courier New" w:hAnsi="Courier New"/>
                <w:color w:val="24292E"/>
                <w:sz w:val="17"/>
                <w:szCs w:val="17"/>
              </w:rPr>
              <w:t xml:space="preserve">   └─ BPM запускает процесс услуги</w:t>
            </w:r>
          </w:p>
        </w:tc>
      </w:tr>
    </w:tbl>
    <w:p>
      <w:pPr>
        <w:spacing w:after="160" w:before="60" w:line="240"/>
      </w:pPr>
      <w:r>
        <w:rPr>
          <w:i/>
          <w:iCs/>
          <w:color w:val="5A6B7B"/>
          <w:sz w:val="18"/>
          <w:szCs w:val="18"/>
        </w:rPr>
        <w:t xml:space="preserve">Листинг АЖ.1 — Поток данных при подаче заявления.</w:t>
      </w:r>
    </w:p>
    <w:p>
      <w:pPr>
        <w:pStyle w:val="Heading2"/>
      </w:pPr>
      <w:r>
        <w:t xml:space="preserve">АЖ.2. Поток оплаты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BPM → payment-service: создать начисление (по DMN)</w:t>
            </w:r>
          </w:p>
          <w:p>
            <w:pPr>
              <w:spacing w:after="0" w:line="240"/>
            </w:pPr>
            <w:r>
              <w:rPr>
                <w:rFonts w:ascii="Courier New" w:cs="Courier New" w:eastAsia="Courier New" w:hAnsi="Courier New"/>
                <w:color w:val="24292E"/>
                <w:sz w:val="17"/>
                <w:szCs w:val="17"/>
              </w:rPr>
              <w:t xml:space="preserve">payment-service → БД (+ outbox): Charge</w:t>
            </w:r>
          </w:p>
          <w:p>
            <w:pPr>
              <w:spacing w:after="0" w:line="240"/>
            </w:pPr>
            <w:r>
              <w:rPr>
                <w:rFonts w:ascii="Courier New" w:cs="Courier New" w:eastAsia="Courier New" w:hAnsi="Courier New"/>
                <w:color w:val="24292E"/>
                <w:sz w:val="17"/>
                <w:szCs w:val="17"/>
              </w:rPr>
              <w:t xml:space="preserve">Гражданин → payment-service: оплата (Idempotency-Key)</w:t>
            </w:r>
          </w:p>
          <w:p>
            <w:pPr>
              <w:spacing w:after="0" w:line="240"/>
            </w:pPr>
            <w:r>
              <w:rPr>
                <w:rFonts w:ascii="Courier New" w:cs="Courier New" w:eastAsia="Courier New" w:hAnsi="Courier New"/>
                <w:color w:val="24292E"/>
                <w:sz w:val="17"/>
                <w:szCs w:val="17"/>
              </w:rPr>
              <w:t xml:space="preserve">payment-service → провайдер (ACL) → подтверждение</w:t>
            </w:r>
          </w:p>
          <w:p>
            <w:pPr>
              <w:spacing w:after="0" w:line="240"/>
            </w:pPr>
            <w:r>
              <w:rPr>
                <w:rFonts w:ascii="Courier New" w:cs="Courier New" w:eastAsia="Courier New" w:hAnsi="Courier New"/>
                <w:color w:val="24292E"/>
                <w:sz w:val="17"/>
                <w:szCs w:val="17"/>
              </w:rPr>
              <w:t xml:space="preserve">payment-service → шина: PaymentConfirmed</w:t>
            </w:r>
          </w:p>
          <w:p>
            <w:pPr>
              <w:spacing w:after="0" w:line="240"/>
            </w:pPr>
            <w:r>
              <w:rPr>
                <w:rFonts w:ascii="Courier New" w:cs="Courier New" w:eastAsia="Courier New" w:hAnsi="Courier New"/>
                <w:color w:val="24292E"/>
                <w:sz w:val="17"/>
                <w:szCs w:val="17"/>
              </w:rPr>
              <w:t xml:space="preserve">   └─ application-service обновляет статус; BPM продолжает</w:t>
            </w:r>
          </w:p>
        </w:tc>
      </w:tr>
    </w:tbl>
    <w:p>
      <w:pPr>
        <w:spacing w:after="160" w:before="60" w:line="240"/>
      </w:pPr>
      <w:r>
        <w:rPr>
          <w:i/>
          <w:iCs/>
          <w:color w:val="5A6B7B"/>
          <w:sz w:val="18"/>
          <w:szCs w:val="18"/>
        </w:rPr>
        <w:t xml:space="preserve">Листинг АЖ.2 — Поток данных при оплате.</w:t>
      </w:r>
    </w:p>
    <w:p>
      <w:pPr>
        <w:pStyle w:val="Heading2"/>
      </w:pPr>
      <w:r>
        <w:t xml:space="preserve">АЖ.3. Поток формирования результата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BPM → document-service: сформировать результат (шаблон)</w:t>
            </w:r>
          </w:p>
          <w:p>
            <w:pPr>
              <w:spacing w:after="0" w:line="240"/>
            </w:pPr>
            <w:r>
              <w:rPr>
                <w:rFonts w:ascii="Courier New" w:cs="Courier New" w:eastAsia="Courier New" w:hAnsi="Courier New"/>
                <w:color w:val="24292E"/>
                <w:sz w:val="17"/>
                <w:szCs w:val="17"/>
              </w:rPr>
              <w:t xml:space="preserve">document-service → Gotenberg: рендеринг PDF</w:t>
            </w:r>
          </w:p>
          <w:p>
            <w:pPr>
              <w:spacing w:after="0" w:line="240"/>
            </w:pPr>
            <w:r>
              <w:rPr>
                <w:rFonts w:ascii="Courier New" w:cs="Courier New" w:eastAsia="Courier New" w:hAnsi="Courier New"/>
                <w:color w:val="24292E"/>
                <w:sz w:val="17"/>
                <w:szCs w:val="17"/>
              </w:rPr>
              <w:t xml:space="preserve">document-service → object storage: сохранить (+ checksum)</w:t>
            </w:r>
          </w:p>
          <w:p>
            <w:pPr>
              <w:spacing w:after="0" w:line="240"/>
            </w:pPr>
            <w:r>
              <w:rPr>
                <w:rFonts w:ascii="Courier New" w:cs="Courier New" w:eastAsia="Courier New" w:hAnsi="Courier New"/>
                <w:color w:val="24292E"/>
                <w:sz w:val="17"/>
                <w:szCs w:val="17"/>
              </w:rPr>
              <w:t xml:space="preserve">document-service → signature-service: подписать (HSM)</w:t>
            </w:r>
          </w:p>
          <w:p>
            <w:pPr>
              <w:spacing w:after="0" w:line="240"/>
            </w:pPr>
            <w:r>
              <w:rPr>
                <w:rFonts w:ascii="Courier New" w:cs="Courier New" w:eastAsia="Courier New" w:hAnsi="Courier New"/>
                <w:color w:val="24292E"/>
                <w:sz w:val="17"/>
                <w:szCs w:val="17"/>
              </w:rPr>
              <w:t xml:space="preserve">signature-service → шина: DocumentSigned</w:t>
            </w:r>
          </w:p>
          <w:p>
            <w:pPr>
              <w:spacing w:after="0" w:line="240"/>
            </w:pPr>
            <w:r>
              <w:rPr>
                <w:rFonts w:ascii="Courier New" w:cs="Courier New" w:eastAsia="Courier New" w:hAnsi="Courier New"/>
                <w:color w:val="24292E"/>
                <w:sz w:val="17"/>
                <w:szCs w:val="17"/>
              </w:rPr>
              <w:t xml:space="preserve">   └─ notification-service уведомляет гражданина</w:t>
            </w:r>
          </w:p>
        </w:tc>
      </w:tr>
    </w:tbl>
    <w:p>
      <w:pPr>
        <w:spacing w:after="160" w:before="60" w:line="240"/>
      </w:pPr>
      <w:r>
        <w:rPr>
          <w:i/>
          <w:iCs/>
          <w:color w:val="5A6B7B"/>
          <w:sz w:val="18"/>
          <w:szCs w:val="18"/>
        </w:rPr>
        <w:t xml:space="preserve">Листинг АЖ.3 — Поток данных при формировании результата.</w:t>
      </w:r>
    </w:p>
    <w:p>
      <w:pPr>
        <w:pStyle w:val="Heading2"/>
      </w:pPr>
      <w:r>
        <w:t xml:space="preserve">АЖ.4. Поток межведомственного запроса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D4" w:sz="4"/>
              <w:left w:val="single" w:color="2E75B6" w:sz="12"/>
              <w:bottom w:val="single" w:color="BFC9D4" w:sz="4"/>
              <w:right w:val="single" w:color="BFC9D4" w:sz="4"/>
            </w:tcBorders>
            <w:shd w:fill="F4F6F8" w:val="clear"/>
            <w:tcMar>
              <w:top w:type="dxa" w:w="100"/>
              <w:left w:type="dxa" w:w="140"/>
              <w:bottom w:type="dxa" w:w="100"/>
              <w:right w:type="dxa" w:w="120"/>
            </w:tcMar>
          </w:tcPr>
          <w:p>
            <w:pPr>
              <w:spacing w:after="0" w:line="240"/>
            </w:pPr>
            <w:r>
              <w:rPr>
                <w:rFonts w:ascii="Courier New" w:cs="Courier New" w:eastAsia="Courier New" w:hAnsi="Courier New"/>
                <w:color w:val="24292E"/>
                <w:sz w:val="17"/>
                <w:szCs w:val="17"/>
              </w:rPr>
              <w:t xml:space="preserve">сервис/BPM → interop-service: запросить сведения</w:t>
            </w:r>
          </w:p>
          <w:p>
            <w:pPr>
              <w:spacing w:after="0" w:line="240"/>
            </w:pPr>
            <w:r>
              <w:rPr>
                <w:rFonts w:ascii="Courier New" w:cs="Courier New" w:eastAsia="Courier New" w:hAnsi="Courier New"/>
                <w:color w:val="24292E"/>
                <w:sz w:val="17"/>
                <w:szCs w:val="17"/>
              </w:rPr>
              <w:t xml:space="preserve">interop-service: проверка согласия (profile-service)</w:t>
            </w:r>
          </w:p>
          <w:p>
            <w:pPr>
              <w:spacing w:after="0" w:line="240"/>
            </w:pPr>
            <w:r>
              <w:rPr>
                <w:rFonts w:ascii="Courier New" w:cs="Courier New" w:eastAsia="Courier New" w:hAnsi="Courier New"/>
                <w:color w:val="24292E"/>
                <w:sz w:val="17"/>
                <w:szCs w:val="17"/>
              </w:rPr>
              <w:t xml:space="preserve">interop-service → Smart Bridge → реестр ведомства</w:t>
            </w:r>
          </w:p>
          <w:p>
            <w:pPr>
              <w:spacing w:after="0" w:line="240"/>
            </w:pPr>
            <w:r>
              <w:rPr>
                <w:rFonts w:ascii="Courier New" w:cs="Courier New" w:eastAsia="Courier New" w:hAnsi="Courier New"/>
                <w:color w:val="24292E"/>
                <w:sz w:val="17"/>
                <w:szCs w:val="17"/>
              </w:rPr>
              <w:t xml:space="preserve">реестр → Smart Bridge → interop-service (ACL: внешняя→внутренняя модель)</w:t>
            </w:r>
          </w:p>
          <w:p>
            <w:pPr>
              <w:spacing w:after="0" w:line="240"/>
            </w:pPr>
            <w:r>
              <w:rPr>
                <w:rFonts w:ascii="Courier New" w:cs="Courier New" w:eastAsia="Courier New" w:hAnsi="Courier New"/>
                <w:color w:val="24292E"/>
                <w:sz w:val="17"/>
                <w:szCs w:val="17"/>
              </w:rPr>
              <w:t xml:space="preserve">interop-service → кэш (при разрешении, TTL) + журнал (аудит)</w:t>
            </w:r>
          </w:p>
          <w:p>
            <w:pPr>
              <w:spacing w:after="0" w:line="240"/>
            </w:pPr>
            <w:r>
              <w:rPr>
                <w:rFonts w:ascii="Courier New" w:cs="Courier New" w:eastAsia="Courier New" w:hAnsi="Courier New"/>
                <w:color w:val="24292E"/>
                <w:sz w:val="17"/>
                <w:szCs w:val="17"/>
              </w:rPr>
              <w:t xml:space="preserve">interop-service → шина: InteropResponded</w:t>
            </w:r>
          </w:p>
        </w:tc>
      </w:tr>
    </w:tbl>
    <w:p>
      <w:pPr>
        <w:spacing w:after="160" w:before="60" w:line="240"/>
      </w:pPr>
      <w:r>
        <w:rPr>
          <w:i/>
          <w:iCs/>
          <w:color w:val="5A6B7B"/>
          <w:sz w:val="18"/>
          <w:szCs w:val="18"/>
        </w:rPr>
        <w:t xml:space="preserve">Листинг АЖ.4 — Поток данных межведомственного запроса.</w:t>
      </w:r>
    </w:p>
    <w:p>
      <w:r>
        <w:br w:type="page"/>
      </w:r>
    </w:p>
    <w:p>
      <w:pPr>
        <w:pStyle w:val="Heading1"/>
      </w:pPr>
      <w:r>
        <w:t xml:space="preserve">Приложение АЗ. Быстрый справочник сокращений</w:t>
      </w:r>
    </w:p>
    <w:p>
      <w:pPr>
        <w:spacing w:after="120" w:line="276"/>
      </w:pPr>
      <w:r>
        <w:t xml:space="preserve">Алфавитный справочник сокращений, используемых в документе (сводно по разделу 1.3 и приложениям А, 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Сокращение</w:t>
            </w:r>
          </w:p>
        </w:tc>
        <w:tc>
          <w:tcPr>
            <w:tcW w:type="dxa" w:w="67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Расшифровка</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ABAC</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Управление доступом на основе атрибутов</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ACL</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Антикоррупционный слой</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ADR</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Запись архитектурного решения</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API</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Программный интерфейс</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BCP/DRP</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План непрерывности / аварийного восстановления</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BFF</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Backend for Frontend</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BPMN</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Нотация моделирования бизнес-процессов</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CAPEX/OPEX</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Капитальные / операционные затраты</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CSAT</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Индекс удовлетворённости пользователей</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DDD</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Предметно-ориентированное проектирование</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DLQ</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Очередь необработанных сообщений</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DMN</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Нотация моделей принятия решений</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eID</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Электронная идентификация</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GSLB</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Глобальная балансировка нагрузки</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HPA</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Горизонтальное автомасштабирование подов</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HSM</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Аппаратный модуль безопасности</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IAM</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Подсистема идентификации и доступа</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JWT</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JSON Web Token</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MDM/НСИ</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Управление мастер-данными / НСИ</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mTLS</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Взаимный TLS</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PITR</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Восстановление на момент времени</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RBAC</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Управление доступом на основе ролей</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RPO/RTO</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Допустимая потеря данных / время восстановления</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RLS</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Разграничение доступа на уровне строк</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SBOM</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Спецификация состава ПО</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SIEM/SOC</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Управление событиями ИБ / центр мониторинга</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SLA/SLO/SLI</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Соглашение / цель / индикатор уровня обслуживания</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SSOT</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Единый источник истины</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STRIDE</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Методология классификации угроз</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WAF</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Межсетевой экран уровня приложений</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WORM</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Однократная запись — многократное чтение</w:t>
            </w:r>
          </w:p>
        </w:tc>
      </w:tr>
      <w:tr>
        <w:tc>
          <w:tcPr>
            <w:tcW w:type="dxa" w:w="26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ЭЦП</w:t>
            </w:r>
          </w:p>
        </w:tc>
        <w:tc>
          <w:tcPr>
            <w:tcW w:type="dxa" w:w="67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Электронная цифровая подпись</w:t>
            </w:r>
          </w:p>
        </w:tc>
      </w:tr>
      <w:tr>
        <w:tc>
          <w:tcPr>
            <w:tcW w:type="dxa" w:w="26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ЦОД</w:t>
            </w:r>
          </w:p>
        </w:tc>
        <w:tc>
          <w:tcPr>
            <w:tcW w:type="dxa" w:w="67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Центр обработки данных</w:t>
            </w:r>
          </w:p>
        </w:tc>
      </w:tr>
    </w:tbl>
    <w:p>
      <w:r>
        <w:br w:type="page"/>
      </w:r>
    </w:p>
    <w:p>
      <w:pPr>
        <w:pStyle w:val="Heading1"/>
      </w:pPr>
      <w:r>
        <w:t xml:space="preserve">Приложение АИ. Сводка технологического стека</w:t>
      </w:r>
    </w:p>
    <w:p>
      <w:pPr>
        <w:spacing w:after="120" w:line="276"/>
      </w:pPr>
      <w:r>
        <w:t xml:space="preserve">Сводный перечень технологий по слоям (детализирует раздел 5). Перечень фиксирует принятые решения (ADR, Приложение Е) и служит быстрой справкой.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Слой / назначение</w:t>
            </w:r>
          </w:p>
        </w:tc>
        <w:tc>
          <w:tcPr>
            <w:tcW w:type="dxa" w:w="5960"/>
            <w:tcBorders>
              <w:top w:val="single" w:color="BFC9D4" w:sz="2"/>
              <w:left w:val="single" w:color="BFC9D4" w:sz="2"/>
              <w:bottom w:val="single" w:color="BFC9D4" w:sz="2"/>
              <w:right w:val="single" w:color="BFC9D4" w:sz="2"/>
            </w:tcBorders>
            <w:shd w:fill="1F4E79" w:val="clear"/>
            <w:tcMar>
              <w:top w:type="dxa" w:w="70"/>
              <w:left w:type="dxa" w:w="110"/>
              <w:bottom w:type="dxa" w:w="70"/>
              <w:right w:type="dxa" w:w="110"/>
            </w:tcMar>
            <w:vAlign w:val="center"/>
          </w:tcPr>
          <w:p>
            <w:pPr>
              <w:spacing w:after="0" w:line="252"/>
            </w:pPr>
            <w:r>
              <w:rPr>
                <w:b/>
                <w:bCs/>
                <w:color w:val="FFFFFF"/>
                <w:sz w:val="20"/>
                <w:szCs w:val="20"/>
              </w:rPr>
              <w:t xml:space="preserve">Технология</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Backend</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Java (OpenJDK) + Spring Boot; Kotlin</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BFF</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Spring WebFlux (web), Spring Boot (mobile)</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Frontend</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TypeScript + React; Next.js (SSR)</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Мобайл</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Kotlin / Swift / KMP</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Шлюз</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Kong (Ingress + API Gateway)</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Оркестрация процессов</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BPM-движок (Camunda 7 / альт. open-source)</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Формы</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Form.io</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Правила</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DMN</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СУБД</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PostgreSQL (коммерческая)</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Бэкап БД</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pgBackRest (PITR → S3/Ceph)</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Кэш/блокировки</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Redis (кэш, краткоживущие технические блокировки)</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Событийная шина</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Apache Kafka</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Реестр схем</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Apicurio Registry</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Поиск/логи (наблюдаемость)</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OpenSearch; Fluentd/Vector</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Аналитическая СУБД (OLAP, перспектива)</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ClickHouse (витрины/отчётность, раздел 5Е)</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Метрики/трассировка</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Prometheus, Grafana, OpenTelemetry, Jaeger</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IAM</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Keycloak (OIDC)</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Оркестрация контейнеров</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Kubernetes</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Реестр образов</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Harbor</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GitOps</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ArgoCD</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Feature flags</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Unleash</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IaC</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OpenTofu</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Секреты</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OpenBao</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Миграции БД</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Liquibase / Flyway</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Генерация PDF</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Gotenberg</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Объектное хранилище</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S3-совместимое (Ceph)</w:t>
            </w:r>
          </w:p>
        </w:tc>
      </w:tr>
      <w:tr>
        <w:tc>
          <w:tcPr>
            <w:tcW w:type="dxa" w:w="340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Тестирование</w:t>
            </w:r>
          </w:p>
        </w:tc>
        <w:tc>
          <w:tcPr>
            <w:tcW w:type="dxa" w:w="5960"/>
            <w:tcBorders>
              <w:top w:val="single" w:color="BFC9D4" w:sz="2"/>
              <w:left w:val="single" w:color="BFC9D4" w:sz="2"/>
              <w:bottom w:val="single" w:color="BFC9D4" w:sz="2"/>
              <w:right w:val="single" w:color="BFC9D4" w:sz="2"/>
            </w:tcBorders>
            <w:shd w:fill="F7FAFC"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JUnit 5, Testcontainers, Pact, k6, LitmusChaos</w:t>
            </w:r>
          </w:p>
        </w:tc>
      </w:tr>
      <w:tr>
        <w:tc>
          <w:tcPr>
            <w:tcW w:type="dxa" w:w="340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CI/CD</w:t>
            </w:r>
          </w:p>
        </w:tc>
        <w:tc>
          <w:tcPr>
            <w:tcW w:type="dxa" w:w="5960"/>
            <w:tcBorders>
              <w:top w:val="single" w:color="BFC9D4" w:sz="2"/>
              <w:left w:val="single" w:color="BFC9D4" w:sz="2"/>
              <w:bottom w:val="single" w:color="BFC9D4" w:sz="2"/>
              <w:right w:val="single" w:color="BFC9D4" w:sz="2"/>
            </w:tcBorders>
            <w:shd w:fill="EEF3F8" w:val="clear"/>
            <w:tcMar>
              <w:top w:type="dxa" w:w="60"/>
              <w:left w:type="dxa" w:w="110"/>
              <w:bottom w:type="dxa" w:w="60"/>
              <w:right w:type="dxa" w:w="110"/>
            </w:tcMar>
            <w:vAlign w:val="center"/>
          </w:tcPr>
          <w:p>
            <w:pPr>
              <w:spacing w:after="0" w:line="252"/>
            </w:pPr>
            <w:r>
              <w:rPr>
                <w:b w:val="false"/>
                <w:bCs w:val="false"/>
                <w:i w:val="false"/>
                <w:iCs w:val="false"/>
                <w:color w:val="1A1A1A"/>
                <w:sz w:val="20"/>
                <w:szCs w:val="20"/>
              </w:rPr>
              <w:t xml:space="preserve">GitLab CI / GitHub Actions</w:t>
            </w:r>
          </w:p>
        </w:tc>
      </w:tr>
    </w:tbl>
    <w:p>
      <w:pPr>
        <w:spacing w:after="160" w:before="60" w:line="240"/>
      </w:pPr>
      <w:r>
        <w:rPr>
          <w:i/>
          <w:iCs/>
          <w:color w:val="5A6B7B"/>
          <w:sz w:val="18"/>
          <w:szCs w:val="18"/>
        </w:rPr>
        <w:t xml:space="preserve">Таблица АИ.1 — Сводка технологического стека по слоям.</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4" w:sz="4" w:space="4"/>
      </w:pBdr>
      <w:tabs>
        <w:tab w:val="center" w:pos="4680"/>
        <w:tab w:val="right" w:pos="9360"/>
      </w:tabs>
      <w:spacing w:before="0"/>
    </w:pPr>
    <w:r>
      <w:rPr>
        <w:color w:val="5A6B7B"/>
        <w:sz w:val="16"/>
        <w:szCs w:val="16"/>
      </w:rPr>
      <w:t xml:space="preserve">Конфиденциально</w:t>
    </w:r>
    <w:r>
      <w:rPr>
        <w:sz w:val="16"/>
        <w:szCs w:val="16"/>
      </w:rPr>
      <w:t xml:space="preserve">	</w:t>
    </w:r>
    <w:r>
      <w:rPr>
        <w:color w:val="5A6B7B"/>
        <w:sz w:val="16"/>
        <w:szCs w:val="16"/>
      </w:rPr>
      <w:t xml:space="preserve">Стр. </w:t>
      <w:fldChar w:fldCharType="begin"/>
      <w:instrText xml:space="preserve">PAGE</w:instrText>
      <w:fldChar w:fldCharType="separate"/>
      <w:fldChar w:fldCharType="end"/>
      <w:t xml:space="preserve"> из </w:t>
      <w:fldChar w:fldCharType="begin"/>
      <w:instrText xml:space="preserve">NUMPAGES</w:instrText>
      <w:fldChar w:fldCharType="separate"/>
      <w:fldChar w:fldCharType="end"/>
    </w:r>
    <w:r>
      <w:rPr>
        <w:color w:val="5A6B7B"/>
        <w:sz w:val="16"/>
        <w:szCs w:val="16"/>
      </w:rPr>
      <w:t xml:space="preserv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4"/>
      </w:pBdr>
      <w:tabs>
        <w:tab w:val="right" w:pos="9360"/>
      </w:tabs>
      <w:spacing w:after="0"/>
    </w:pPr>
    <w:r>
      <w:rPr>
        <w:color w:val="5A6B7B"/>
        <w:sz w:val="16"/>
        <w:szCs w:val="16"/>
      </w:rPr>
      <w:t xml:space="preserve">ТЗ «eKhizmat» — Единый портал государственных услуг</w:t>
    </w:r>
    <w:r>
      <w:rPr>
        <w:color w:val="5A6B7B"/>
        <w:sz w:val="16"/>
        <w:szCs w:val="16"/>
      </w:rPr>
      <w:t xml:space="preserve">	Республика Таджикистан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4E79"/>
      <w:sz w:val="22"/>
      <w:szCs w:val="22"/>
    </w:rPr>
  </w:style>
  <w:style w:type="paragraph" w:styleId="Heading4">
    <w:name w:val="Heading 4"/>
    <w:basedOn w:val="Normal"/>
    <w:next w:val="Normal"/>
    <w:qFormat/>
    <w:pPr>
      <w:spacing w:after="60" w:before="120"/>
      <w:outlineLvl w:val="3"/>
    </w:pPr>
    <w:rPr>
      <w:rFonts w:ascii="Arial" w:cs="Arial" w:eastAsia="Arial" w:hAnsi="Arial"/>
      <w:b/>
      <w:bCs/>
      <w:i/>
      <w:iCs/>
      <w:color w:val="2E75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2026-06-10T04:31:15.783Z</dcterms:created>
  <dcterms:modified xsi:type="dcterms:W3CDTF">2026-06-10T04:31:15.783Z</dcterms:modified>
</cp:coreProperties>
</file>

<file path=docProps/custom.xml><?xml version="1.0" encoding="utf-8"?>
<Properties xmlns="http://schemas.openxmlformats.org/officeDocument/2006/custom-properties" xmlns:vt="http://schemas.openxmlformats.org/officeDocument/2006/docPropsVTypes"/>
</file>