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6C86E" w14:textId="0ACB584F" w:rsidR="00D11665" w:rsidRPr="00846536" w:rsidRDefault="00D11665" w:rsidP="00D11665">
      <w:pPr>
        <w:widowControl/>
        <w:autoSpaceDE/>
        <w:autoSpaceDN/>
        <w:spacing w:after="240"/>
        <w:ind w:left="720"/>
        <w:rPr>
          <w:rFonts w:ascii="Calibri Light" w:eastAsia="Times New Roman" w:hAnsi="Calibri Light" w:cs="Times New Roman"/>
          <w:b/>
          <w:bCs/>
          <w:smallCaps/>
          <w:color w:val="000000"/>
          <w:sz w:val="36"/>
          <w:szCs w:val="36"/>
        </w:rPr>
      </w:pPr>
      <w:r>
        <w:rPr>
          <w:rFonts w:ascii="Calibri Light" w:eastAsia="Times New Roman" w:hAnsi="Calibri Light" w:cs="Times New Roman"/>
          <w:b/>
          <w:bCs/>
          <w:smallCaps/>
          <w:color w:val="000000"/>
          <w:sz w:val="36"/>
          <w:szCs w:val="36"/>
        </w:rPr>
        <w:t xml:space="preserve">Policy </w:t>
      </w:r>
      <w:bookmarkStart w:id="0" w:name="_GoBack"/>
      <w:bookmarkEnd w:id="0"/>
      <w:r w:rsidRPr="00846536">
        <w:rPr>
          <w:rFonts w:ascii="Calibri Light" w:eastAsia="Times New Roman" w:hAnsi="Calibri Light" w:cs="Times New Roman"/>
          <w:b/>
          <w:bCs/>
          <w:smallCaps/>
          <w:color w:val="000000"/>
          <w:sz w:val="36"/>
          <w:szCs w:val="36"/>
        </w:rPr>
        <w:t>Section 1.0 - Social Media - Investigations</w:t>
      </w:r>
    </w:p>
    <w:p w14:paraId="4AA406DE" w14:textId="77777777" w:rsidR="00D11665" w:rsidRPr="00846536" w:rsidRDefault="00D11665" w:rsidP="00D11665">
      <w:pPr>
        <w:keepNext/>
        <w:keepLines/>
        <w:widowControl/>
        <w:numPr>
          <w:ilvl w:val="1"/>
          <w:numId w:val="0"/>
        </w:numPr>
        <w:autoSpaceDE/>
        <w:autoSpaceDN/>
        <w:spacing w:before="360" w:after="240" w:line="259" w:lineRule="auto"/>
        <w:ind w:left="720"/>
        <w:outlineLvl w:val="1"/>
        <w:rPr>
          <w:rFonts w:ascii="Calibri Light" w:eastAsia="Times New Roman" w:hAnsi="Calibri Light" w:cs="Times New Roman"/>
          <w:b/>
          <w:bCs/>
          <w:smallCaps/>
          <w:color w:val="000000"/>
          <w:sz w:val="28"/>
          <w:szCs w:val="28"/>
        </w:rPr>
      </w:pPr>
      <w:r>
        <w:rPr>
          <w:rFonts w:ascii="Calibri Light" w:eastAsia="Times New Roman" w:hAnsi="Calibri Light" w:cs="Times New Roman"/>
          <w:b/>
          <w:bCs/>
          <w:smallCaps/>
          <w:color w:val="000000"/>
          <w:sz w:val="28"/>
          <w:szCs w:val="28"/>
        </w:rPr>
        <w:t>Statement of Intent</w:t>
      </w:r>
    </w:p>
    <w:p w14:paraId="11A84380" w14:textId="77777777" w:rsidR="00D11665" w:rsidRPr="00846536" w:rsidRDefault="00D11665" w:rsidP="00D11665">
      <w:pPr>
        <w:widowControl/>
        <w:autoSpaceDE/>
        <w:autoSpaceDN/>
        <w:spacing w:after="240"/>
        <w:ind w:left="720"/>
        <w:rPr>
          <w:rFonts w:ascii="Calibri" w:eastAsia="Times New Roman" w:hAnsi="Calibri" w:cs="Times New Roman"/>
          <w:b/>
          <w:sz w:val="24"/>
          <w:szCs w:val="24"/>
        </w:rPr>
      </w:pPr>
      <w:r>
        <w:rPr>
          <w:rFonts w:ascii="Calibri" w:eastAsia="Times New Roman" w:hAnsi="Calibri" w:cs="Times New Roman"/>
          <w:sz w:val="24"/>
          <w:szCs w:val="24"/>
        </w:rPr>
        <w:t>[</w:t>
      </w:r>
      <w:r w:rsidRPr="00572C24">
        <w:rPr>
          <w:rFonts w:ascii="Calibri" w:eastAsia="Times New Roman" w:hAnsi="Calibri" w:cs="Times New Roman"/>
          <w:color w:val="323E4F" w:themeColor="text2" w:themeShade="BF"/>
          <w:sz w:val="24"/>
          <w:szCs w:val="24"/>
        </w:rPr>
        <w:t>This statement articulates the importance of establishing guidelines for appropriate use of online accounts, services, and software for the purpose of online criminal investigations.  It should be brief and reflect the mission statement of your organization.  Consider borrowing language from existing policies related to appropriate investigative tactics.]</w:t>
      </w:r>
    </w:p>
    <w:p w14:paraId="7F323899" w14:textId="77777777" w:rsidR="00D11665" w:rsidRPr="00846536" w:rsidRDefault="00D11665" w:rsidP="00D11665">
      <w:pPr>
        <w:keepNext/>
        <w:keepLines/>
        <w:widowControl/>
        <w:numPr>
          <w:ilvl w:val="1"/>
          <w:numId w:val="0"/>
        </w:numPr>
        <w:autoSpaceDE/>
        <w:autoSpaceDN/>
        <w:spacing w:before="360" w:after="240" w:line="259" w:lineRule="auto"/>
        <w:ind w:left="720"/>
        <w:outlineLvl w:val="1"/>
        <w:rPr>
          <w:rFonts w:ascii="Calibri Light" w:eastAsia="Times New Roman" w:hAnsi="Calibri Light" w:cs="Times New Roman"/>
          <w:b/>
          <w:bCs/>
          <w:smallCaps/>
          <w:color w:val="000000"/>
          <w:sz w:val="28"/>
          <w:szCs w:val="28"/>
        </w:rPr>
      </w:pPr>
      <w:r>
        <w:rPr>
          <w:rFonts w:ascii="Calibri Light" w:eastAsia="Times New Roman" w:hAnsi="Calibri Light" w:cs="Times New Roman"/>
          <w:b/>
          <w:bCs/>
          <w:smallCaps/>
          <w:color w:val="000000"/>
          <w:sz w:val="28"/>
          <w:szCs w:val="28"/>
        </w:rPr>
        <w:t xml:space="preserve">1.1  </w:t>
      </w:r>
      <w:r w:rsidRPr="00846536">
        <w:rPr>
          <w:rFonts w:ascii="Calibri Light" w:eastAsia="Times New Roman" w:hAnsi="Calibri Light" w:cs="Times New Roman"/>
          <w:b/>
          <w:bCs/>
          <w:smallCaps/>
          <w:color w:val="000000"/>
          <w:sz w:val="28"/>
          <w:szCs w:val="28"/>
        </w:rPr>
        <w:t>Definitions</w:t>
      </w:r>
    </w:p>
    <w:p w14:paraId="44B24124"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rPr>
        <w:t>[</w:t>
      </w:r>
      <w:r w:rsidRPr="00572C24">
        <w:rPr>
          <w:rFonts w:ascii="Calibri" w:eastAsia="Times New Roman" w:hAnsi="Calibri" w:cs="Times New Roman"/>
          <w:color w:val="323E4F" w:themeColor="text2" w:themeShade="BF"/>
        </w:rPr>
        <w:t>If not addressed elsewhere in the section</w:t>
      </w:r>
      <w:r w:rsidRPr="00846536">
        <w:rPr>
          <w:rFonts w:ascii="Calibri" w:eastAsia="Times New Roman" w:hAnsi="Calibri" w:cs="Times New Roman"/>
        </w:rPr>
        <w:t>]</w:t>
      </w:r>
    </w:p>
    <w:p w14:paraId="0579C9CA"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b/>
          <w:bCs/>
        </w:rPr>
        <w:t xml:space="preserve">Browser – </w:t>
      </w:r>
      <w:r w:rsidRPr="00846536">
        <w:rPr>
          <w:rFonts w:ascii="Calibri" w:eastAsia="Times New Roman" w:hAnsi="Calibri" w:cs="Times New Roman"/>
        </w:rPr>
        <w:t xml:space="preserve">Software </w:t>
      </w:r>
      <w:r>
        <w:rPr>
          <w:rFonts w:ascii="Calibri" w:eastAsia="Times New Roman" w:hAnsi="Calibri" w:cs="Times New Roman"/>
        </w:rPr>
        <w:t xml:space="preserve">which translates </w:t>
      </w:r>
      <w:r w:rsidRPr="00846536">
        <w:rPr>
          <w:rFonts w:ascii="Calibri" w:eastAsia="Times New Roman" w:hAnsi="Calibri" w:cs="Times New Roman"/>
        </w:rPr>
        <w:t xml:space="preserve">various forms of internet code into </w:t>
      </w:r>
      <w:r>
        <w:rPr>
          <w:rFonts w:ascii="Calibri" w:eastAsia="Times New Roman" w:hAnsi="Calibri" w:cs="Times New Roman"/>
        </w:rPr>
        <w:t xml:space="preserve">human </w:t>
      </w:r>
      <w:r w:rsidRPr="00846536">
        <w:rPr>
          <w:rFonts w:ascii="Calibri" w:eastAsia="Times New Roman" w:hAnsi="Calibri" w:cs="Times New Roman"/>
        </w:rPr>
        <w:t xml:space="preserve">understandable formats </w:t>
      </w:r>
      <w:r>
        <w:rPr>
          <w:rFonts w:ascii="Calibri" w:eastAsia="Times New Roman" w:hAnsi="Calibri" w:cs="Times New Roman"/>
        </w:rPr>
        <w:t xml:space="preserve">including, but not limited to, </w:t>
      </w:r>
      <w:r w:rsidRPr="00846536">
        <w:rPr>
          <w:rFonts w:ascii="Calibri" w:eastAsia="Times New Roman" w:hAnsi="Calibri" w:cs="Times New Roman"/>
        </w:rPr>
        <w:t xml:space="preserve">plain text, graphic images, and animations. </w:t>
      </w:r>
    </w:p>
    <w:p w14:paraId="2C3EF757"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b/>
          <w:bCs/>
        </w:rPr>
        <w:t>Private</w:t>
      </w:r>
      <w:r w:rsidRPr="00846536">
        <w:rPr>
          <w:rFonts w:ascii="Calibri" w:eastAsia="Times New Roman" w:hAnsi="Calibri" w:cs="Times New Roman"/>
        </w:rPr>
        <w:t xml:space="preserve"> – Content is private when transmitted or conveyed in a manner that shows reasonable</w:t>
      </w:r>
      <w:r>
        <w:rPr>
          <w:rFonts w:ascii="Calibri" w:eastAsia="Times New Roman" w:hAnsi="Calibri" w:cs="Times New Roman"/>
        </w:rPr>
        <w:t xml:space="preserve"> measures and</w:t>
      </w:r>
      <w:r w:rsidRPr="00846536">
        <w:rPr>
          <w:rFonts w:ascii="Calibri" w:eastAsia="Times New Roman" w:hAnsi="Calibri" w:cs="Times New Roman"/>
        </w:rPr>
        <w:t xml:space="preserve"> intent to limit access to specifi</w:t>
      </w:r>
      <w:r>
        <w:rPr>
          <w:rFonts w:ascii="Calibri" w:eastAsia="Times New Roman" w:hAnsi="Calibri" w:cs="Times New Roman"/>
        </w:rPr>
        <w:t>c</w:t>
      </w:r>
      <w:r w:rsidRPr="00846536">
        <w:rPr>
          <w:rFonts w:ascii="Calibri" w:eastAsia="Times New Roman" w:hAnsi="Calibri" w:cs="Times New Roman"/>
        </w:rPr>
        <w:t xml:space="preserve"> </w:t>
      </w:r>
      <w:r>
        <w:rPr>
          <w:rFonts w:ascii="Calibri" w:eastAsia="Times New Roman" w:hAnsi="Calibri" w:cs="Times New Roman"/>
        </w:rPr>
        <w:t>individuals, and where it is reasonable to expect that only those individuals will have access</w:t>
      </w:r>
      <w:r w:rsidRPr="00846536">
        <w:rPr>
          <w:rFonts w:ascii="Calibri" w:eastAsia="Times New Roman" w:hAnsi="Calibri" w:cs="Times New Roman"/>
        </w:rPr>
        <w:t xml:space="preserve">. </w:t>
      </w:r>
    </w:p>
    <w:p w14:paraId="06A39DD9"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b/>
          <w:bCs/>
        </w:rPr>
        <w:t>Public</w:t>
      </w:r>
      <w:r w:rsidRPr="00846536">
        <w:rPr>
          <w:rFonts w:ascii="Calibri" w:eastAsia="Times New Roman" w:hAnsi="Calibri" w:cs="Times New Roman"/>
        </w:rPr>
        <w:t xml:space="preserve"> – Content is public when shared on a site or service </w:t>
      </w:r>
      <w:r>
        <w:rPr>
          <w:rFonts w:ascii="Calibri" w:eastAsia="Times New Roman" w:hAnsi="Calibri" w:cs="Times New Roman"/>
        </w:rPr>
        <w:t xml:space="preserve">in a manner wherein a </w:t>
      </w:r>
      <w:r w:rsidRPr="00846536">
        <w:rPr>
          <w:rFonts w:ascii="Calibri" w:eastAsia="Times New Roman" w:hAnsi="Calibri" w:cs="Times New Roman"/>
        </w:rPr>
        <w:t xml:space="preserve">reasonable </w:t>
      </w:r>
      <w:r>
        <w:rPr>
          <w:rFonts w:ascii="Calibri" w:eastAsia="Times New Roman" w:hAnsi="Calibri" w:cs="Times New Roman"/>
        </w:rPr>
        <w:t>person would expect that it is accessible to</w:t>
      </w:r>
      <w:r w:rsidRPr="00846536">
        <w:rPr>
          <w:rFonts w:ascii="Calibri" w:eastAsia="Times New Roman" w:hAnsi="Calibri" w:cs="Times New Roman"/>
        </w:rPr>
        <w:t xml:space="preserve"> a broad </w:t>
      </w:r>
      <w:r>
        <w:rPr>
          <w:rFonts w:ascii="Calibri" w:eastAsia="Times New Roman" w:hAnsi="Calibri" w:cs="Times New Roman"/>
        </w:rPr>
        <w:t xml:space="preserve">or non-specific </w:t>
      </w:r>
      <w:r w:rsidRPr="00846536">
        <w:rPr>
          <w:rFonts w:ascii="Calibri" w:eastAsia="Times New Roman" w:hAnsi="Calibri" w:cs="Times New Roman"/>
        </w:rPr>
        <w:t>audience.</w:t>
      </w:r>
    </w:p>
    <w:p w14:paraId="4DEB4E1F"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b/>
          <w:bCs/>
        </w:rPr>
        <w:t>Post</w:t>
      </w:r>
      <w:r w:rsidRPr="00846536">
        <w:rPr>
          <w:rFonts w:ascii="Calibri" w:eastAsia="Times New Roman" w:hAnsi="Calibri" w:cs="Times New Roman"/>
        </w:rPr>
        <w:t xml:space="preserve"> – Submitting information to the Internet or a social media site.</w:t>
      </w:r>
    </w:p>
    <w:p w14:paraId="5720CF41"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b/>
          <w:bCs/>
        </w:rPr>
        <w:t>Site</w:t>
      </w:r>
      <w:r w:rsidRPr="00846536">
        <w:rPr>
          <w:rFonts w:ascii="Calibri" w:eastAsia="Times New Roman" w:hAnsi="Calibri" w:cs="Times New Roman"/>
        </w:rPr>
        <w:t xml:space="preserve"> – A page or series of pages hosted on the internet</w:t>
      </w:r>
      <w:r>
        <w:rPr>
          <w:rFonts w:ascii="Calibri" w:eastAsia="Times New Roman" w:hAnsi="Calibri" w:cs="Times New Roman"/>
        </w:rPr>
        <w:t>.</w:t>
      </w:r>
    </w:p>
    <w:p w14:paraId="20BBE235"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b/>
          <w:bCs/>
        </w:rPr>
        <w:t>Social Media</w:t>
      </w:r>
      <w:r w:rsidRPr="00846536">
        <w:rPr>
          <w:rFonts w:ascii="Calibri" w:eastAsia="Times New Roman" w:hAnsi="Calibri" w:cs="Times New Roman"/>
        </w:rPr>
        <w:t xml:space="preserve"> – Various online platforms, sites, and services facilitating the “posting” or sharing of information on the internet.  Examples of social media content include text, images, audio, and video.</w:t>
      </w:r>
    </w:p>
    <w:p w14:paraId="62E1CCD0" w14:textId="77777777" w:rsidR="00D11665" w:rsidRPr="00846536" w:rsidRDefault="00D11665" w:rsidP="00D11665">
      <w:pPr>
        <w:keepNext/>
        <w:keepLines/>
        <w:widowControl/>
        <w:numPr>
          <w:ilvl w:val="1"/>
          <w:numId w:val="0"/>
        </w:numPr>
        <w:autoSpaceDE/>
        <w:autoSpaceDN/>
        <w:spacing w:before="360" w:after="240" w:line="259" w:lineRule="auto"/>
        <w:ind w:left="720"/>
        <w:outlineLvl w:val="1"/>
        <w:rPr>
          <w:rFonts w:ascii="Calibri Light" w:eastAsia="Times New Roman" w:hAnsi="Calibri Light" w:cs="Times New Roman"/>
          <w:b/>
          <w:bCs/>
          <w:smallCaps/>
          <w:color w:val="000000"/>
          <w:sz w:val="28"/>
          <w:szCs w:val="28"/>
        </w:rPr>
      </w:pPr>
      <w:r>
        <w:rPr>
          <w:rFonts w:ascii="Calibri Light" w:eastAsia="Times New Roman" w:hAnsi="Calibri Light" w:cs="Times New Roman"/>
          <w:b/>
          <w:bCs/>
          <w:smallCaps/>
          <w:color w:val="000000"/>
          <w:sz w:val="28"/>
          <w:szCs w:val="28"/>
        </w:rPr>
        <w:t xml:space="preserve">1.2  </w:t>
      </w:r>
      <w:r w:rsidRPr="00846536">
        <w:rPr>
          <w:rFonts w:ascii="Calibri Light" w:eastAsia="Times New Roman" w:hAnsi="Calibri Light" w:cs="Times New Roman"/>
          <w:b/>
          <w:bCs/>
          <w:smallCaps/>
          <w:color w:val="000000"/>
          <w:sz w:val="28"/>
          <w:szCs w:val="28"/>
        </w:rPr>
        <w:t>Appropriate Use</w:t>
      </w:r>
    </w:p>
    <w:p w14:paraId="0B7B454C" w14:textId="77777777" w:rsidR="00D11665"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rPr>
        <w:t>Investigative accounts and tools will be used for agency purposes only.  Investigative social media profiles, software, and services will not be used for personal purposes.  Agency resources will be used in compliance with local, state, and federal law.</w:t>
      </w:r>
      <w:r>
        <w:rPr>
          <w:rFonts w:ascii="Calibri" w:eastAsia="Times New Roman" w:hAnsi="Calibri" w:cs="Times New Roman"/>
        </w:rPr>
        <w:t xml:space="preserve"> </w:t>
      </w:r>
      <w:r w:rsidRPr="00846536">
        <w:rPr>
          <w:rFonts w:ascii="Calibri" w:eastAsia="Times New Roman" w:hAnsi="Calibri" w:cs="Times New Roman"/>
        </w:rPr>
        <w:t>Personal equipment, services, and accounts will not be used for investigative purposes.</w:t>
      </w:r>
    </w:p>
    <w:p w14:paraId="131E2025"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Pr>
          <w:rFonts w:ascii="Calibri" w:eastAsia="Times New Roman" w:hAnsi="Calibri" w:cs="Times New Roman"/>
        </w:rPr>
        <w:t>Investigations will abide by all legal restrictions relating to private vs. public data and consistent lawful search and seizure.  Where required by law, legal orders will be obtained from the appropriate magistrate and/or jurisdictional authority.</w:t>
      </w:r>
    </w:p>
    <w:p w14:paraId="05C3F360" w14:textId="77777777" w:rsidR="00D11665" w:rsidRPr="00846536" w:rsidRDefault="00D11665" w:rsidP="00D11665">
      <w:pPr>
        <w:keepNext/>
        <w:keepLines/>
        <w:widowControl/>
        <w:numPr>
          <w:ilvl w:val="1"/>
          <w:numId w:val="0"/>
        </w:numPr>
        <w:autoSpaceDE/>
        <w:autoSpaceDN/>
        <w:spacing w:before="360" w:after="240" w:line="259" w:lineRule="auto"/>
        <w:ind w:left="720"/>
        <w:outlineLvl w:val="1"/>
        <w:rPr>
          <w:rFonts w:ascii="Calibri Light" w:eastAsia="Times New Roman" w:hAnsi="Calibri Light" w:cs="Times New Roman"/>
          <w:b/>
          <w:bCs/>
          <w:smallCaps/>
          <w:color w:val="000000"/>
          <w:sz w:val="28"/>
          <w:szCs w:val="28"/>
        </w:rPr>
      </w:pPr>
      <w:r>
        <w:rPr>
          <w:rFonts w:ascii="Calibri Light" w:eastAsia="Times New Roman" w:hAnsi="Calibri Light" w:cs="Times New Roman"/>
          <w:b/>
          <w:bCs/>
          <w:smallCaps/>
          <w:color w:val="000000"/>
          <w:sz w:val="28"/>
          <w:szCs w:val="28"/>
        </w:rPr>
        <w:lastRenderedPageBreak/>
        <w:t xml:space="preserve">1.3  </w:t>
      </w:r>
      <w:r w:rsidRPr="00846536">
        <w:rPr>
          <w:rFonts w:ascii="Calibri Light" w:eastAsia="Times New Roman" w:hAnsi="Calibri Light" w:cs="Times New Roman"/>
          <w:b/>
          <w:bCs/>
          <w:smallCaps/>
          <w:color w:val="000000"/>
          <w:sz w:val="28"/>
          <w:szCs w:val="28"/>
        </w:rPr>
        <w:t>Approval Process</w:t>
      </w:r>
    </w:p>
    <w:p w14:paraId="495C6BBD"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rPr>
        <w:t>Social media accounts and online identities used in an investigative capacity will be reviewed and approved by the unit supervisor to ensure they are within policy.  Ongoing casework will be periodically evaluated by the unit supervisor for compliance with agency policies and investigative best practices.</w:t>
      </w:r>
    </w:p>
    <w:p w14:paraId="799DFE89" w14:textId="77777777" w:rsidR="00D11665" w:rsidRPr="00846536" w:rsidRDefault="00D11665" w:rsidP="00D11665">
      <w:pPr>
        <w:keepNext/>
        <w:keepLines/>
        <w:widowControl/>
        <w:numPr>
          <w:ilvl w:val="1"/>
          <w:numId w:val="0"/>
        </w:numPr>
        <w:autoSpaceDE/>
        <w:autoSpaceDN/>
        <w:spacing w:before="360" w:after="240" w:line="259" w:lineRule="auto"/>
        <w:ind w:left="720"/>
        <w:outlineLvl w:val="1"/>
        <w:rPr>
          <w:rFonts w:ascii="Calibri Light" w:eastAsia="Times New Roman" w:hAnsi="Calibri Light" w:cs="Times New Roman"/>
          <w:b/>
          <w:bCs/>
          <w:smallCaps/>
          <w:color w:val="000000"/>
          <w:sz w:val="28"/>
          <w:szCs w:val="28"/>
        </w:rPr>
      </w:pPr>
      <w:r>
        <w:rPr>
          <w:rFonts w:ascii="Calibri Light" w:eastAsia="Times New Roman" w:hAnsi="Calibri Light" w:cs="Times New Roman"/>
          <w:b/>
          <w:bCs/>
          <w:smallCaps/>
          <w:color w:val="000000"/>
          <w:sz w:val="28"/>
          <w:szCs w:val="28"/>
        </w:rPr>
        <w:t xml:space="preserve">1.4  </w:t>
      </w:r>
      <w:r w:rsidRPr="00846536">
        <w:rPr>
          <w:rFonts w:ascii="Calibri Light" w:eastAsia="Times New Roman" w:hAnsi="Calibri Light" w:cs="Times New Roman"/>
          <w:b/>
          <w:bCs/>
          <w:smallCaps/>
          <w:color w:val="000000"/>
          <w:sz w:val="28"/>
          <w:szCs w:val="28"/>
        </w:rPr>
        <w:t>Training</w:t>
      </w:r>
    </w:p>
    <w:p w14:paraId="3D3AB58C"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rPr>
        <w:t xml:space="preserve">Personnel will only participate in the creation and use of investigative social media accounts after successfully completing </w:t>
      </w:r>
      <w:r>
        <w:rPr>
          <w:rFonts w:ascii="Calibri" w:eastAsia="Times New Roman" w:hAnsi="Calibri" w:cs="Times New Roman"/>
        </w:rPr>
        <w:t>an approved</w:t>
      </w:r>
      <w:r w:rsidRPr="00846536">
        <w:rPr>
          <w:rFonts w:ascii="Calibri" w:eastAsia="Times New Roman" w:hAnsi="Calibri" w:cs="Times New Roman"/>
        </w:rPr>
        <w:t xml:space="preserve"> Covert Online Investigations training course.  Unit supervisors are responsible for ensuring that all personnel utilizing investigative technologies are provided with appropriate training and supervision.</w:t>
      </w:r>
    </w:p>
    <w:p w14:paraId="1053855E" w14:textId="77777777" w:rsidR="00D11665" w:rsidRPr="00846536" w:rsidRDefault="00D11665" w:rsidP="00D11665">
      <w:pPr>
        <w:keepNext/>
        <w:keepLines/>
        <w:widowControl/>
        <w:numPr>
          <w:ilvl w:val="1"/>
          <w:numId w:val="0"/>
        </w:numPr>
        <w:autoSpaceDE/>
        <w:autoSpaceDN/>
        <w:spacing w:before="360" w:after="240" w:line="259" w:lineRule="auto"/>
        <w:ind w:left="720"/>
        <w:outlineLvl w:val="1"/>
        <w:rPr>
          <w:rFonts w:ascii="Calibri Light" w:eastAsia="Times New Roman" w:hAnsi="Calibri Light" w:cs="Times New Roman"/>
          <w:b/>
          <w:bCs/>
          <w:smallCaps/>
          <w:color w:val="000000"/>
          <w:sz w:val="28"/>
          <w:szCs w:val="28"/>
        </w:rPr>
      </w:pPr>
      <w:r>
        <w:rPr>
          <w:rFonts w:ascii="Calibri Light" w:eastAsia="Times New Roman" w:hAnsi="Calibri Light" w:cs="Times New Roman"/>
          <w:b/>
          <w:bCs/>
          <w:smallCaps/>
          <w:color w:val="000000"/>
          <w:sz w:val="28"/>
          <w:szCs w:val="28"/>
        </w:rPr>
        <w:t xml:space="preserve">1.5  </w:t>
      </w:r>
      <w:r w:rsidRPr="00846536">
        <w:rPr>
          <w:rFonts w:ascii="Calibri Light" w:eastAsia="Times New Roman" w:hAnsi="Calibri Light" w:cs="Times New Roman"/>
          <w:b/>
          <w:bCs/>
          <w:smallCaps/>
          <w:color w:val="000000"/>
          <w:sz w:val="28"/>
          <w:szCs w:val="28"/>
        </w:rPr>
        <w:t>Retention/Audit</w:t>
      </w:r>
    </w:p>
    <w:p w14:paraId="6F3021E4" w14:textId="77777777" w:rsidR="00D11665" w:rsidRPr="00846536" w:rsidRDefault="00D11665" w:rsidP="00D11665">
      <w:pPr>
        <w:widowControl/>
        <w:autoSpaceDE/>
        <w:autoSpaceDN/>
        <w:spacing w:after="240" w:line="259" w:lineRule="auto"/>
        <w:ind w:left="720"/>
        <w:rPr>
          <w:rFonts w:ascii="Calibri" w:eastAsia="MS Mincho" w:hAnsi="Calibri" w:cs="Times New Roman"/>
        </w:rPr>
      </w:pPr>
      <w:r w:rsidRPr="00846536">
        <w:rPr>
          <w:rFonts w:ascii="Calibri" w:eastAsia="MS Mincho" w:hAnsi="Calibri" w:cs="Times New Roman"/>
        </w:rPr>
        <w:t>Data obtained during online investigations is handled and stored per the agencies existing digital evidence and retention policies.  Where operational constraints necessitate unique data management procedures, the unit supervisor will review, approve, and log any non-standard measures along with a written justification.</w:t>
      </w:r>
    </w:p>
    <w:p w14:paraId="24911141"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MS Mincho" w:hAnsi="Calibri" w:cs="Times New Roman"/>
        </w:rPr>
        <w:t>All operational documentation and investigative logs are subject to review by the Office of the Inspector General [or appropriate body of oversight].</w:t>
      </w:r>
    </w:p>
    <w:p w14:paraId="6C4FB3F7" w14:textId="77777777" w:rsidR="00D11665" w:rsidRPr="00846536" w:rsidRDefault="00D11665" w:rsidP="00D11665">
      <w:pPr>
        <w:keepNext/>
        <w:keepLines/>
        <w:widowControl/>
        <w:numPr>
          <w:ilvl w:val="1"/>
          <w:numId w:val="0"/>
        </w:numPr>
        <w:autoSpaceDE/>
        <w:autoSpaceDN/>
        <w:spacing w:before="360" w:after="240" w:line="259" w:lineRule="auto"/>
        <w:ind w:left="720"/>
        <w:outlineLvl w:val="1"/>
        <w:rPr>
          <w:rFonts w:ascii="Calibri Light" w:eastAsia="Times New Roman" w:hAnsi="Calibri Light" w:cs="Times New Roman"/>
          <w:b/>
          <w:bCs/>
          <w:smallCaps/>
          <w:color w:val="000000"/>
          <w:sz w:val="28"/>
          <w:szCs w:val="28"/>
        </w:rPr>
      </w:pPr>
      <w:r>
        <w:rPr>
          <w:rFonts w:ascii="Calibri Light" w:eastAsia="Times New Roman" w:hAnsi="Calibri Light" w:cs="Times New Roman"/>
          <w:b/>
          <w:bCs/>
          <w:smallCaps/>
          <w:color w:val="000000"/>
          <w:sz w:val="28"/>
          <w:szCs w:val="28"/>
        </w:rPr>
        <w:t xml:space="preserve">1.6  </w:t>
      </w:r>
      <w:r w:rsidRPr="00846536">
        <w:rPr>
          <w:rFonts w:ascii="Calibri Light" w:eastAsia="Times New Roman" w:hAnsi="Calibri Light" w:cs="Times New Roman"/>
          <w:b/>
          <w:bCs/>
          <w:smallCaps/>
          <w:color w:val="000000"/>
          <w:sz w:val="28"/>
          <w:szCs w:val="28"/>
        </w:rPr>
        <w:t>Agency Forms</w:t>
      </w:r>
    </w:p>
    <w:p w14:paraId="48B80444" w14:textId="77777777" w:rsidR="00D11665" w:rsidRPr="00846536" w:rsidRDefault="00D11665" w:rsidP="00D11665">
      <w:pPr>
        <w:widowControl/>
        <w:numPr>
          <w:ilvl w:val="0"/>
          <w:numId w:val="1"/>
        </w:numPr>
        <w:autoSpaceDE/>
        <w:autoSpaceDN/>
        <w:spacing w:after="240" w:line="259" w:lineRule="auto"/>
        <w:ind w:firstLine="0"/>
        <w:contextualSpacing/>
        <w:rPr>
          <w:rFonts w:ascii="Calibri" w:eastAsia="Times New Roman" w:hAnsi="Calibri" w:cs="Times New Roman"/>
        </w:rPr>
      </w:pPr>
      <w:r w:rsidRPr="00846536">
        <w:rPr>
          <w:rFonts w:ascii="Calibri" w:eastAsia="Times New Roman" w:hAnsi="Calibri" w:cs="Times New Roman"/>
        </w:rPr>
        <w:t>Authorization &amp; Training Verification – Covert Online Investigations</w:t>
      </w:r>
    </w:p>
    <w:p w14:paraId="56887028" w14:textId="77777777" w:rsidR="00D11665" w:rsidRPr="00846536" w:rsidRDefault="00D11665" w:rsidP="00D11665">
      <w:pPr>
        <w:widowControl/>
        <w:numPr>
          <w:ilvl w:val="0"/>
          <w:numId w:val="1"/>
        </w:numPr>
        <w:autoSpaceDE/>
        <w:autoSpaceDN/>
        <w:spacing w:after="240" w:line="259" w:lineRule="auto"/>
        <w:ind w:firstLine="0"/>
        <w:contextualSpacing/>
        <w:rPr>
          <w:rFonts w:ascii="Calibri" w:eastAsia="Times New Roman" w:hAnsi="Calibri" w:cs="Times New Roman"/>
        </w:rPr>
      </w:pPr>
      <w:r w:rsidRPr="00846536">
        <w:rPr>
          <w:rFonts w:ascii="Calibri" w:eastAsia="Times New Roman" w:hAnsi="Calibri" w:cs="Times New Roman"/>
        </w:rPr>
        <w:t>Unit Compliance Log – Online Investigations</w:t>
      </w:r>
    </w:p>
    <w:p w14:paraId="4B438500" w14:textId="77777777" w:rsidR="00D11665" w:rsidRPr="00846536" w:rsidRDefault="00D11665" w:rsidP="00D11665">
      <w:pPr>
        <w:keepNext/>
        <w:keepLines/>
        <w:widowControl/>
        <w:numPr>
          <w:ilvl w:val="1"/>
          <w:numId w:val="0"/>
        </w:numPr>
        <w:autoSpaceDE/>
        <w:autoSpaceDN/>
        <w:spacing w:before="360" w:after="240" w:line="259" w:lineRule="auto"/>
        <w:ind w:left="720"/>
        <w:outlineLvl w:val="1"/>
        <w:rPr>
          <w:rFonts w:ascii="Calibri Light" w:eastAsia="Times New Roman" w:hAnsi="Calibri Light" w:cs="Times New Roman"/>
          <w:b/>
          <w:bCs/>
          <w:smallCaps/>
          <w:color w:val="000000"/>
          <w:sz w:val="28"/>
          <w:szCs w:val="28"/>
        </w:rPr>
      </w:pPr>
      <w:r>
        <w:rPr>
          <w:rFonts w:ascii="Calibri Light" w:eastAsia="Times New Roman" w:hAnsi="Calibri Light" w:cs="Times New Roman"/>
          <w:b/>
          <w:bCs/>
          <w:smallCaps/>
          <w:color w:val="000000"/>
          <w:sz w:val="28"/>
          <w:szCs w:val="28"/>
        </w:rPr>
        <w:t xml:space="preserve">1.7  </w:t>
      </w:r>
      <w:r w:rsidRPr="00846536">
        <w:rPr>
          <w:rFonts w:ascii="Calibri Light" w:eastAsia="Times New Roman" w:hAnsi="Calibri Light" w:cs="Times New Roman"/>
          <w:b/>
          <w:bCs/>
          <w:smallCaps/>
          <w:color w:val="000000"/>
          <w:sz w:val="28"/>
          <w:szCs w:val="28"/>
        </w:rPr>
        <w:t>Acknowledgement of Technological Advancement</w:t>
      </w:r>
    </w:p>
    <w:p w14:paraId="78521C00"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rPr>
        <w:t>The state of the internet and social media technologies evolve rapidly, and it must be acknowledged that the pertinence of overly specific policy will limit the effectiveness of said policy.  It is for these reasons that appropriate and responsible use, rather than specific products or technologies, are the foundation of this section.</w:t>
      </w:r>
    </w:p>
    <w:p w14:paraId="01092563" w14:textId="77777777" w:rsidR="00D11665" w:rsidRPr="00846536" w:rsidRDefault="00D11665" w:rsidP="00D11665">
      <w:pPr>
        <w:keepNext/>
        <w:keepLines/>
        <w:widowControl/>
        <w:numPr>
          <w:ilvl w:val="1"/>
          <w:numId w:val="0"/>
        </w:numPr>
        <w:autoSpaceDE/>
        <w:autoSpaceDN/>
        <w:spacing w:before="360" w:after="240" w:line="259" w:lineRule="auto"/>
        <w:ind w:left="720"/>
        <w:outlineLvl w:val="1"/>
        <w:rPr>
          <w:rFonts w:ascii="Calibri Light" w:eastAsia="Times New Roman" w:hAnsi="Calibri Light" w:cs="Times New Roman"/>
          <w:b/>
          <w:bCs/>
          <w:smallCaps/>
          <w:color w:val="000000"/>
          <w:sz w:val="28"/>
          <w:szCs w:val="28"/>
        </w:rPr>
      </w:pPr>
      <w:r>
        <w:rPr>
          <w:rFonts w:ascii="Calibri Light" w:eastAsia="Times New Roman" w:hAnsi="Calibri Light" w:cs="Times New Roman"/>
          <w:b/>
          <w:bCs/>
          <w:smallCaps/>
          <w:color w:val="000000"/>
          <w:sz w:val="28"/>
          <w:szCs w:val="28"/>
        </w:rPr>
        <w:t xml:space="preserve">1.8  </w:t>
      </w:r>
      <w:r w:rsidRPr="00846536">
        <w:rPr>
          <w:rFonts w:ascii="Calibri Light" w:eastAsia="Times New Roman" w:hAnsi="Calibri Light" w:cs="Times New Roman"/>
          <w:b/>
          <w:bCs/>
          <w:smallCaps/>
          <w:color w:val="000000"/>
          <w:sz w:val="28"/>
          <w:szCs w:val="28"/>
        </w:rPr>
        <w:t>Revision History</w:t>
      </w:r>
    </w:p>
    <w:p w14:paraId="56EC0454" w14:textId="77777777" w:rsidR="00D11665" w:rsidRPr="00846536" w:rsidRDefault="00D11665" w:rsidP="00D11665">
      <w:pPr>
        <w:widowControl/>
        <w:autoSpaceDE/>
        <w:autoSpaceDN/>
        <w:spacing w:after="240" w:line="259" w:lineRule="auto"/>
        <w:ind w:left="720"/>
        <w:rPr>
          <w:rFonts w:ascii="Calibri" w:eastAsia="Times New Roman" w:hAnsi="Calibri" w:cs="Times New Roman"/>
          <w:i/>
          <w:iCs/>
        </w:rPr>
      </w:pPr>
      <w:r w:rsidRPr="00846536">
        <w:rPr>
          <w:rFonts w:ascii="Calibri" w:eastAsia="Times New Roman" w:hAnsi="Calibri" w:cs="Times New Roman"/>
          <w:i/>
          <w:iCs/>
        </w:rPr>
        <w:t>*Legacy versions of this policy which are typically presented in reverse chronological order.</w:t>
      </w:r>
    </w:p>
    <w:p w14:paraId="376F01A7"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rPr>
        <w:t>Rev. 19.32 [Link to official archive if applicable] [Date of inception]-[Date Rescinded]</w:t>
      </w:r>
    </w:p>
    <w:p w14:paraId="389F41A1" w14:textId="77777777" w:rsidR="00D11665" w:rsidRPr="00846536" w:rsidRDefault="00D11665" w:rsidP="00D11665">
      <w:pPr>
        <w:keepNext/>
        <w:keepLines/>
        <w:widowControl/>
        <w:numPr>
          <w:ilvl w:val="1"/>
          <w:numId w:val="0"/>
        </w:numPr>
        <w:autoSpaceDE/>
        <w:autoSpaceDN/>
        <w:spacing w:before="360" w:after="240" w:line="259" w:lineRule="auto"/>
        <w:ind w:left="720"/>
        <w:outlineLvl w:val="1"/>
        <w:rPr>
          <w:rFonts w:ascii="Calibri Light" w:eastAsia="Times New Roman" w:hAnsi="Calibri Light" w:cs="Times New Roman"/>
          <w:b/>
          <w:bCs/>
          <w:smallCaps/>
          <w:color w:val="000000"/>
          <w:sz w:val="28"/>
          <w:szCs w:val="28"/>
        </w:rPr>
      </w:pPr>
      <w:r>
        <w:rPr>
          <w:rFonts w:ascii="Calibri Light" w:eastAsia="Times New Roman" w:hAnsi="Calibri Light" w:cs="Times New Roman"/>
          <w:b/>
          <w:bCs/>
          <w:smallCaps/>
          <w:color w:val="000000"/>
          <w:sz w:val="28"/>
          <w:szCs w:val="28"/>
        </w:rPr>
        <w:lastRenderedPageBreak/>
        <w:t xml:space="preserve">1.9  </w:t>
      </w:r>
      <w:r w:rsidRPr="00846536">
        <w:rPr>
          <w:rFonts w:ascii="Calibri Light" w:eastAsia="Times New Roman" w:hAnsi="Calibri Light" w:cs="Times New Roman"/>
          <w:b/>
          <w:bCs/>
          <w:smallCaps/>
          <w:color w:val="000000"/>
          <w:sz w:val="28"/>
          <w:szCs w:val="28"/>
        </w:rPr>
        <w:t>Appendix</w:t>
      </w:r>
    </w:p>
    <w:p w14:paraId="50A58EC9" w14:textId="77777777" w:rsidR="00D11665" w:rsidRPr="00846536" w:rsidRDefault="00D11665" w:rsidP="00D11665">
      <w:pPr>
        <w:widowControl/>
        <w:autoSpaceDE/>
        <w:autoSpaceDN/>
        <w:spacing w:after="240" w:line="259" w:lineRule="auto"/>
        <w:ind w:left="720"/>
        <w:rPr>
          <w:rFonts w:ascii="Calibri" w:eastAsia="Times New Roman" w:hAnsi="Calibri" w:cs="Times New Roman"/>
        </w:rPr>
      </w:pPr>
      <w:r w:rsidRPr="00846536">
        <w:rPr>
          <w:rFonts w:ascii="Calibri" w:eastAsia="Times New Roman" w:hAnsi="Calibri" w:cs="Times New Roman"/>
        </w:rPr>
        <w:t>[</w:t>
      </w:r>
      <w:r w:rsidRPr="00916831">
        <w:rPr>
          <w:rFonts w:ascii="Calibri" w:eastAsia="Times New Roman" w:hAnsi="Calibri" w:cs="Times New Roman"/>
          <w:color w:val="323E4F" w:themeColor="text2" w:themeShade="BF"/>
        </w:rPr>
        <w:t>Appendices are used for informational material that is helpful, but not directly related to the implementation of the policy.  These can be references to related policies/procedures or case law providing the foundation for investigative best practices.</w:t>
      </w:r>
      <w:r w:rsidRPr="00846536">
        <w:rPr>
          <w:rFonts w:ascii="Calibri" w:eastAsia="Times New Roman" w:hAnsi="Calibri" w:cs="Times New Roman"/>
        </w:rPr>
        <w:t>]</w:t>
      </w:r>
    </w:p>
    <w:p w14:paraId="42F29C0D" w14:textId="77777777" w:rsidR="00AC166A" w:rsidRDefault="00AC166A"/>
    <w:sectPr w:rsidR="00AC16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53F95" w14:textId="77777777" w:rsidR="004F2456" w:rsidRDefault="004F2456" w:rsidP="00A913E7">
      <w:r>
        <w:separator/>
      </w:r>
    </w:p>
  </w:endnote>
  <w:endnote w:type="continuationSeparator" w:id="0">
    <w:p w14:paraId="5284CDC7" w14:textId="77777777" w:rsidR="004F2456" w:rsidRDefault="004F2456" w:rsidP="00A91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41BE4" w14:textId="77777777" w:rsidR="004F2456" w:rsidRDefault="004F2456" w:rsidP="00A913E7">
      <w:r>
        <w:separator/>
      </w:r>
    </w:p>
  </w:footnote>
  <w:footnote w:type="continuationSeparator" w:id="0">
    <w:p w14:paraId="0F55A5AC" w14:textId="77777777" w:rsidR="004F2456" w:rsidRDefault="004F2456" w:rsidP="00A913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B00FB"/>
    <w:multiLevelType w:val="hybridMultilevel"/>
    <w:tmpl w:val="5352F6CE"/>
    <w:lvl w:ilvl="0" w:tplc="EA94EFC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65"/>
    <w:rsid w:val="004F2456"/>
    <w:rsid w:val="00A913E7"/>
    <w:rsid w:val="00AC166A"/>
    <w:rsid w:val="00D1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9C7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1665"/>
    <w:pPr>
      <w:widowControl w:val="0"/>
      <w:autoSpaceDE w:val="0"/>
      <w:autoSpaceDN w:val="0"/>
      <w:spacing w:after="0" w:line="240" w:lineRule="auto"/>
    </w:pPr>
    <w:rPr>
      <w:rFonts w:ascii="Garamond" w:eastAsia="Garamond" w:hAnsi="Garamond" w:cs="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3E7"/>
    <w:pPr>
      <w:tabs>
        <w:tab w:val="center" w:pos="4680"/>
        <w:tab w:val="right" w:pos="9360"/>
      </w:tabs>
    </w:pPr>
  </w:style>
  <w:style w:type="character" w:customStyle="1" w:styleId="HeaderChar">
    <w:name w:val="Header Char"/>
    <w:basedOn w:val="DefaultParagraphFont"/>
    <w:link w:val="Header"/>
    <w:uiPriority w:val="99"/>
    <w:rsid w:val="00A913E7"/>
    <w:rPr>
      <w:rFonts w:ascii="Garamond" w:eastAsia="Garamond" w:hAnsi="Garamond" w:cs="Garamond"/>
    </w:rPr>
  </w:style>
  <w:style w:type="paragraph" w:styleId="Footer">
    <w:name w:val="footer"/>
    <w:basedOn w:val="Normal"/>
    <w:link w:val="FooterChar"/>
    <w:uiPriority w:val="99"/>
    <w:unhideWhenUsed/>
    <w:rsid w:val="00A913E7"/>
    <w:pPr>
      <w:tabs>
        <w:tab w:val="center" w:pos="4680"/>
        <w:tab w:val="right" w:pos="9360"/>
      </w:tabs>
    </w:pPr>
  </w:style>
  <w:style w:type="character" w:customStyle="1" w:styleId="FooterChar">
    <w:name w:val="Footer Char"/>
    <w:basedOn w:val="DefaultParagraphFont"/>
    <w:link w:val="Footer"/>
    <w:uiPriority w:val="99"/>
    <w:rsid w:val="00A913E7"/>
    <w:rPr>
      <w:rFonts w:ascii="Garamond" w:eastAsia="Garamond" w:hAnsi="Garamond" w:cs="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5F6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2019-10-13T19:23:00Z</dcterms:created>
  <dcterms:modified xsi:type="dcterms:W3CDTF">2019-10-13T19:23:00Z</dcterms:modified>
</cp:coreProperties>
</file>