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w w:val="99"/>
          <w:sz w:val="36"/>
          <w:szCs w:val="36"/>
        </w:rPr>
        <w:t>Denis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w w:val="99"/>
          <w:sz w:val="36"/>
          <w:szCs w:val="36"/>
        </w:rPr>
        <w:t>Osipychev</w:t>
      </w:r>
    </w:p>
    <w:p>
      <w:pPr>
        <w:pStyle w:val="Normal"/>
        <w:rPr>
          <w:b/>
          <w:b/>
          <w:bCs/>
          <w:w w:val="99"/>
          <w:sz w:val="12"/>
          <w:szCs w:val="12"/>
        </w:rPr>
      </w:pPr>
      <w:r>
        <w:rPr>
          <w:b/>
          <w:bCs/>
          <w:w w:val="99"/>
          <w:sz w:val="12"/>
          <w:szCs w:val="12"/>
        </w:rPr>
      </w:r>
    </w:p>
    <w:p>
      <w:pPr>
        <w:pStyle w:val="Normal"/>
        <w:rPr>
          <w:b/>
          <w:b/>
          <w:bCs/>
          <w:w w:val="99"/>
        </w:rPr>
      </w:pPr>
      <w:r>
        <w:rPr>
          <w:rFonts w:ascii="Times New Roman" w:hAnsi="Times New Roman"/>
          <w:b/>
          <w:bCs/>
          <w:w w:val="99"/>
          <w:sz w:val="24"/>
          <w:szCs w:val="24"/>
        </w:rPr>
        <w:t>Contact Information</w:t>
      </w:r>
    </w:p>
    <w:tbl>
      <w:tblPr>
        <w:tblW w:w="9969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4"/>
        <w:gridCol w:w="8884"/>
      </w:tblGrid>
      <w:tr>
        <w:trPr>
          <w:trHeight w:val="900" w:hRule="atLeast"/>
        </w:trPr>
        <w:tc>
          <w:tcPr>
            <w:tcW w:w="108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884" w:type="dxa"/>
            <w:tcBorders/>
            <w:shd w:fill="auto" w:val="clear"/>
          </w:tcPr>
          <w:tbl>
            <w:tblPr>
              <w:tblW w:w="8735" w:type="dxa"/>
              <w:jc w:val="left"/>
              <w:tblInd w:w="0" w:type="dxa"/>
              <w:tblBorders/>
              <w:tblCellMar>
                <w:top w:w="29" w:type="dxa"/>
                <w:left w:w="29" w:type="dxa"/>
                <w:bottom w:w="29" w:type="dxa"/>
                <w:right w:w="29" w:type="dxa"/>
              </w:tblCellMar>
            </w:tblPr>
            <w:tblGrid>
              <w:gridCol w:w="4212"/>
              <w:gridCol w:w="4522"/>
            </w:tblGrid>
            <w:tr>
              <w:trPr/>
              <w:tc>
                <w:tcPr>
                  <w:tcW w:w="4212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>
                      <w:rFonts w:ascii="Times New Roman" w:hAnsi="Times New Roman"/>
                      <w:w w:val="99"/>
                      <w:sz w:val="24"/>
                      <w:szCs w:val="24"/>
                    </w:rPr>
                    <w:t>Huntsville, AL</w:t>
                    <w:tab/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ascii="Times New Roman" w:hAnsi="Times New Roman"/>
                      <w:w w:val="99"/>
                      <w:sz w:val="24"/>
                      <w:szCs w:val="24"/>
                    </w:rPr>
                    <w:t>35808, USA</w:t>
                  </w:r>
                </w:p>
              </w:tc>
              <w:tc>
                <w:tcPr>
                  <w:tcW w:w="4522" w:type="dxa"/>
                  <w:tcBorders/>
                  <w:shd w:fill="auto" w:val="clea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phone: </w:t>
                  </w:r>
                  <w:r>
                    <w:rPr>
                      <w:rFonts w:ascii="Times New Roman" w:hAnsi="Times New Roman"/>
                      <w:i w:val="false"/>
                      <w:iCs w:val="false"/>
                      <w:sz w:val="24"/>
                      <w:szCs w:val="24"/>
                    </w:rPr>
                    <w:t>(707) 955 5595</w:t>
                  </w:r>
                </w:p>
                <w:p>
                  <w:pPr>
                    <w:pStyle w:val="Normal"/>
                    <w:jc w:val="right"/>
                    <w:rPr/>
                  </w:pPr>
                  <w:r>
                    <w:rPr>
                      <w:rFonts w:ascii="Times New Roman" w:hAnsi="Times New Roman"/>
                      <w:i w:val="false"/>
                      <w:iCs w:val="false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/>
                      <w:i w:val="false"/>
                      <w:iCs w:val="false"/>
                      <w:w w:val="99"/>
                      <w:sz w:val="24"/>
                      <w:szCs w:val="24"/>
                    </w:rPr>
                    <w:t>-mail: osipychev@gmail.com</w:t>
                  </w:r>
                </w:p>
                <w:p>
                  <w:pPr>
                    <w:pStyle w:val="Normal"/>
                    <w:jc w:val="right"/>
                    <w:rPr/>
                  </w:pPr>
                  <w:r>
                    <w:rPr>
                      <w:rStyle w:val="InternetLink"/>
                      <w:rFonts w:ascii="Times New Roman" w:hAnsi="Times New Roman"/>
                      <w:i w:val="false"/>
                      <w:iCs w:val="false"/>
                      <w:color w:val="000000"/>
                      <w:w w:val="99"/>
                      <w:sz w:val="24"/>
                      <w:szCs w:val="24"/>
                      <w:u w:val="none"/>
                    </w:rPr>
                    <w:t xml:space="preserve">web: </w:t>
                  </w:r>
                  <w:hyperlink r:id="rId2">
                    <w:r>
                      <w:rPr>
                        <w:rStyle w:val="InternetLink"/>
                        <w:rFonts w:ascii="Times New Roman" w:hAnsi="Times New Roman"/>
                        <w:i w:val="false"/>
                        <w:iCs w:val="false"/>
                        <w:w w:val="99"/>
                        <w:sz w:val="24"/>
                        <w:szCs w:val="24"/>
                      </w:rPr>
                      <w:t>www.denisos.com</w:t>
                    </w:r>
                  </w:hyperlink>
                </w:p>
              </w:tc>
            </w:tr>
          </w:tbl>
          <w:p>
            <w:pPr>
              <w:pStyle w:val="TableContents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sz w:val="24"/>
          <w:szCs w:val="24"/>
        </w:rPr>
        <w:t>Professional Area</w:t>
      </w:r>
    </w:p>
    <w:tbl>
      <w:tblPr>
        <w:tblW w:w="9969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4"/>
        <w:gridCol w:w="8884"/>
      </w:tblGrid>
      <w:tr>
        <w:trPr>
          <w:trHeight w:val="992" w:hRule="atLeast"/>
        </w:trPr>
        <w:tc>
          <w:tcPr>
            <w:tcW w:w="108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88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Autonomous systems architecture and hierarchical solutions for artificial intelligence.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sz w:val="24"/>
                <w:szCs w:val="24"/>
                <w:u w:val="none"/>
              </w:rPr>
              <w:t>Data-driven decision making</w:t>
            </w:r>
            <w:r>
              <w:rPr>
                <w:rFonts w:ascii="Times New Roman" w:hAnsi="Times New Roman"/>
                <w:sz w:val="24"/>
                <w:szCs w:val="24"/>
              </w:rPr>
              <w:t>, c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ontrol policy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optimization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deep reinforcement learning.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Machine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earning, generative modeling, and data analytics for cyber-physical systems.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Behavior modeling, human-in-the-loop, cooperative multi-agent systems.</w:t>
            </w:r>
          </w:p>
          <w:p>
            <w:pPr>
              <w:pStyle w:val="Normal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sz w:val="24"/>
          <w:szCs w:val="24"/>
        </w:rPr>
        <w:t>Professional Experience</w:t>
      </w:r>
    </w:p>
    <w:tbl>
      <w:tblPr>
        <w:tblW w:w="9969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4"/>
        <w:gridCol w:w="8884"/>
      </w:tblGrid>
      <w:tr>
        <w:trPr>
          <w:trHeight w:val="92" w:hRule="atLeast"/>
        </w:trPr>
        <w:tc>
          <w:tcPr>
            <w:tcW w:w="108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884" w:type="dxa"/>
            <w:tcBorders/>
            <w:shd w:fill="auto" w:val="clear"/>
          </w:tcPr>
          <w:tbl>
            <w:tblPr>
              <w:tblW w:w="8815" w:type="dxa"/>
              <w:jc w:val="left"/>
              <w:tblInd w:w="0" w:type="dxa"/>
              <w:tblBorders/>
              <w:tblCellMar>
                <w:top w:w="29" w:type="dxa"/>
                <w:left w:w="29" w:type="dxa"/>
                <w:bottom w:w="29" w:type="dxa"/>
                <w:right w:w="29" w:type="dxa"/>
              </w:tblCellMar>
            </w:tblPr>
            <w:tblGrid>
              <w:gridCol w:w="6122"/>
              <w:gridCol w:w="2692"/>
            </w:tblGrid>
            <w:tr>
              <w:trPr/>
              <w:tc>
                <w:tcPr>
                  <w:tcW w:w="61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Boeing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Research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&amp;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Technology,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Huntsville,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Alabama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USA</w:t>
                  </w:r>
                </w:p>
              </w:tc>
              <w:tc>
                <w:tcPr>
                  <w:tcW w:w="26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right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2018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– present</w:t>
                  </w:r>
                </w:p>
              </w:tc>
            </w:tr>
          </w:tbl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>AI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>Software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>Engineer at Center for Applied Simulation and Analytics (CASA)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Research in general autonomy, intelligent systems, and decision making with a focus on hierarchical architecture, reasoning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and risk assessment for autonomous agents. Architecting, prototyping, and consulting a broad range of AI projects at Boeing and government research agencies.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Produced surrogate domain, end-to-end deep-learning agent, training procedures, and evaluation metrics for le</w:t>
            </w:r>
            <w:r>
              <w:rPr>
                <w:rFonts w:ascii="Times New Roman" w:hAnsi="Times New Roman"/>
                <w:i w:val="false"/>
                <w:iCs w:val="false"/>
                <w:w w:val="99"/>
                <w:sz w:val="24"/>
                <w:szCs w:val="24"/>
              </w:rPr>
              <w:t>arning-based planning and control for fighter-jet dogfight (DARPA ADT program). Placed the third in the final trial and captured DARPA ACE.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Developed autonomous capabilities for unmanned landing, take-off, on-ground taxiing, in-air collision avoidance. Produced evaluation metrics for regression, classification, policy models to provide assurances for mission critical components of learning-based systems (DARPA AA).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Prototyped and integrated dynamic trajectory planner for local path-planning, dynamic collision avoidance, and navigation for airport taxiing of a full scale airplane.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Guided cybersecurity work for robust AI/ML agents to provide defense capabilities against deception and adversarial attacks on cyber-physical systems.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Prepared active learning framework, synthetic data generation pipeline, training procedures to improve performance of visual perception system on limited dataset.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Introduced sequence optimization methodology for fiber placement process to reduce number and severity of defects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composite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manufacturing process.</w:t>
            </w:r>
          </w:p>
          <w:p>
            <w:pPr>
              <w:pStyle w:val="Normal"/>
              <w:spacing w:lineRule="auto" w:line="240"/>
              <w:ind w:hanging="0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tbl>
            <w:tblPr>
              <w:tblW w:w="8815" w:type="dxa"/>
              <w:jc w:val="left"/>
              <w:tblInd w:w="0" w:type="dxa"/>
              <w:tblBorders/>
              <w:tblCellMar>
                <w:top w:w="29" w:type="dxa"/>
                <w:left w:w="29" w:type="dxa"/>
                <w:bottom w:w="29" w:type="dxa"/>
                <w:right w:w="29" w:type="dxa"/>
              </w:tblCellMar>
            </w:tblPr>
            <w:tblGrid>
              <w:gridCol w:w="6750"/>
              <w:gridCol w:w="2064"/>
            </w:tblGrid>
            <w:tr>
              <w:trPr/>
              <w:tc>
                <w:tcPr>
                  <w:tcW w:w="67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University of Illinois at Urbana-Champaign, Urbana, Illinois USA</w:t>
                  </w:r>
                </w:p>
              </w:tc>
              <w:tc>
                <w:tcPr>
                  <w:tcW w:w="206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right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2016 – 2018</w:t>
                  </w:r>
                </w:p>
              </w:tc>
            </w:tr>
          </w:tbl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>Research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>Assistant at Coordinated Science Laboratory (CSL)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Decision-making algorithms for modern agricultural swarm-robotics. Precision agriculture. Reinforcement learning for multi-agent optimization.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Integrated policy optimization for agricultural robot swarm to coordinate weeding task.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Authored distributed cooperative policy planning for mission control / sensing (AFRL).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</w:r>
          </w:p>
          <w:tbl>
            <w:tblPr>
              <w:tblW w:w="8815" w:type="dxa"/>
              <w:jc w:val="left"/>
              <w:tblInd w:w="0" w:type="dxa"/>
              <w:tblBorders/>
              <w:tblCellMar>
                <w:top w:w="29" w:type="dxa"/>
                <w:left w:w="29" w:type="dxa"/>
                <w:bottom w:w="29" w:type="dxa"/>
                <w:right w:w="29" w:type="dxa"/>
              </w:tblCellMar>
            </w:tblPr>
            <w:tblGrid>
              <w:gridCol w:w="6750"/>
              <w:gridCol w:w="2064"/>
            </w:tblGrid>
            <w:tr>
              <w:trPr/>
              <w:tc>
                <w:tcPr>
                  <w:tcW w:w="67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Oklahoma State University, Stillwater, Oklahoma USA</w:t>
                  </w:r>
                </w:p>
              </w:tc>
              <w:tc>
                <w:tcPr>
                  <w:tcW w:w="206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right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2014 – 2016</w:t>
                  </w:r>
                </w:p>
              </w:tc>
            </w:tr>
          </w:tbl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>Graduate Research Assistant at Advanced Technology Research Center (ATRC)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Decision-making for autonomous driving vehicles and human-in-the-loop systems. Human-activity recognition, behavior modeling and classification.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Developed model-based collision avoidance for autonomous vehicles.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Directed navigation,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path-planning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control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of autonomous vehicle prototype.</w:t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w w:val="99"/>
          <w:sz w:val="24"/>
          <w:szCs w:val="24"/>
        </w:rPr>
        <w:t>Education</w:t>
      </w:r>
    </w:p>
    <w:tbl>
      <w:tblPr>
        <w:tblW w:w="9969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4"/>
        <w:gridCol w:w="8884"/>
      </w:tblGrid>
      <w:tr>
        <w:trPr/>
        <w:tc>
          <w:tcPr>
            <w:tcW w:w="108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r>
          </w:p>
        </w:tc>
        <w:tc>
          <w:tcPr>
            <w:tcW w:w="888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University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Illinois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at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Urbana-Champaign,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Urbana,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Illinois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USA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PhD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candidate,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Ag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Bio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Engineering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&amp;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Computational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Science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Engineering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Advisors:  Drs. G. Chowdhary, H. Tran, M. West, A. Davis</w:t>
            </w:r>
          </w:p>
          <w:p>
            <w:pPr>
              <w:pStyle w:val="Normal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Oklahoma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State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University,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Stillwater,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Oklahoma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USA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M.S.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Electrical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Computer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Engineering,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Control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Systems,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2015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Collision avoidance for autonomous cars based on human intention”</w:t>
            </w:r>
          </w:p>
          <w:p>
            <w:pPr>
              <w:pStyle w:val="Normal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Moscow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Power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Engineering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Institute,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Moscow,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Russia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M.S.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Electronic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Equipment,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February,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2006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B.E. in Electronics, May, 2004</w:t>
            </w:r>
          </w:p>
          <w:p>
            <w:pPr>
              <w:pStyle w:val="Normal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w w:val="99"/>
          <w:sz w:val="24"/>
          <w:szCs w:val="24"/>
        </w:rPr>
        <w:t>Publications</w:t>
      </w:r>
    </w:p>
    <w:tbl>
      <w:tblPr>
        <w:tblW w:w="9969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4"/>
        <w:gridCol w:w="8884"/>
      </w:tblGrid>
      <w:tr>
        <w:trPr/>
        <w:tc>
          <w:tcPr>
            <w:tcW w:w="108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r>
          </w:p>
        </w:tc>
        <w:tc>
          <w:tcPr>
            <w:tcW w:w="8884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Fremont D., Chiu J., Margineantu D., Osipychev D., Seshia S., Formal Analysis and Redesign of a Neural Network-Based Aircraft Taxiing System with VerifAI. Submitted CAV 2020.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Osipychev D., Chowdhary G., Distributed Deep Policy Sharing for Competitive Adversarial Environment. 2018 Archived, NIPS Workshop ”Deep Reinforcement Learning”.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McAllister W., Osipychev D., Davis A., Agbots: Weeding a field with a team of autonomous robots. 2019 Elsevier.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McAllister W.*, Osipychev D.*, Chowdhary G., Davis A., Multi-Agent Planning for Coordinated Robotic Weed Killing. 2018 IROS conference.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Osipychev D., Tran D., Sheng W., Chowdhary G., Human intention-based collision avoidance for autonomous cars. 2017 American Control Conference (ACC).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Tran D., Du J., Sheng W., Tadesse E., Osipychev D., Sun Y., Bai H., A Human-Vehicle Collaborative Driving Framework for Driver Assistance.  2018 IEEE Intelligent Transportation Systems Transactions.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Tran D., Tadesse E., Osipychev D., et al., A collaborative control framework for driver assistance systems.  2017 ICRA conference.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Osipychev D., Tran D., Sheng W., Chowdhary G., Proactive MDP-based Collision Avoidance Algorithm for Autonomous Car.  2015 IEEE CYBER Conference.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Osipychev D., Tran D., Sheng W., Chowdhary G., Proactive MDP-based Collision Avoidance Algorithm for Autonomous Car.  2014 NIPS Workshop ”From Bad Models to Good Policies”.</w:t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sz w:val="24"/>
          <w:szCs w:val="24"/>
        </w:rPr>
        <w:t>Skills</w:t>
      </w:r>
    </w:p>
    <w:tbl>
      <w:tblPr>
        <w:tblW w:w="9969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4"/>
        <w:gridCol w:w="8884"/>
      </w:tblGrid>
      <w:tr>
        <w:trPr/>
        <w:tc>
          <w:tcPr>
            <w:tcW w:w="108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884" w:type="dxa"/>
            <w:tcBorders/>
            <w:shd w:fill="auto" w:val="clear"/>
          </w:tcPr>
          <w:p>
            <w:pPr>
              <w:pStyle w:val="Normal"/>
              <w:tabs>
                <w:tab w:val="left" w:pos="2063" w:leader="none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Experience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agile software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development and integration of complex cyber-physical systems, simulations of physical and control processes, data analysis and visualization, GUI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Integration of algorithms and methods: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Policy optimization (deep RL-agents on Pytorch), task-optimization (Q-learning, genetic algorithms, graph search), and utility optimization (SGD, elastic bands, particle swarm),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Regression, classification, and GAN models 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Pytorch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libraries,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Dynamic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simulations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surrogates for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multi-agent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systems,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vehicle dynamics,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robotics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, computer games.</w:t>
            </w:r>
          </w:p>
          <w:p>
            <w:pPr>
              <w:pStyle w:val="Normal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Integration platforms: 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ROS-based robotics, full scale autonomous cars / airplanes, software / hardware in the loop simulations, Gazebo.</w:t>
            </w:r>
          </w:p>
          <w:p>
            <w:pPr>
              <w:pStyle w:val="Normal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Languages:  Python, C++, JavaScript</w:t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sz w:val="24"/>
          <w:szCs w:val="24"/>
        </w:rPr>
        <w:t>Interests</w:t>
      </w:r>
    </w:p>
    <w:tbl>
      <w:tblPr>
        <w:tblW w:w="9969" w:type="dxa"/>
        <w:jc w:val="left"/>
        <w:tblInd w:w="29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4"/>
        <w:gridCol w:w="8884"/>
      </w:tblGrid>
      <w:tr>
        <w:trPr/>
        <w:tc>
          <w:tcPr>
            <w:tcW w:w="108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884" w:type="dxa"/>
            <w:tcBorders/>
            <w:shd w:fill="auto" w:val="clear"/>
          </w:tcPr>
          <w:p>
            <w:pPr>
              <w:pStyle w:val="Normal"/>
              <w:tabs>
                <w:tab w:val="left" w:pos="2063" w:leader="none"/>
              </w:tabs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Robotics, model rocketry, Futurama.</w:t>
            </w:r>
          </w:p>
        </w:tc>
      </w:tr>
    </w:tbl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w w:val="99"/>
        <w:rFonts w:cs="Times New Roman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w w:val="99"/>
        <w:rFonts w:cs="Times New Roman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33">
    <w:name w:val="ListLabel 233"/>
    <w:qFormat/>
    <w:rPr>
      <w:rFonts w:cs="Courier New"/>
      <w:sz w:val="22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15">
    <w:name w:val="ListLabel 215"/>
    <w:qFormat/>
    <w:rPr>
      <w:rFonts w:cs="Courier New"/>
      <w:sz w:val="24"/>
    </w:rPr>
  </w:style>
  <w:style w:type="character" w:styleId="ListLabel216">
    <w:name w:val="ListLabel 216"/>
    <w:qFormat/>
    <w:rPr>
      <w:rFonts w:cs="Times New Roman"/>
      <w:w w:val="99"/>
      <w:sz w:val="24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Courier New"/>
      <w:sz w:val="24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Times New Roman"/>
      <w:w w:val="99"/>
      <w:sz w:val="24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42">
    <w:name w:val="ListLabel 242"/>
    <w:qFormat/>
    <w:rPr>
      <w:rFonts w:ascii="Times New Roman" w:hAnsi="Times New Roman" w:cs="Courier New"/>
      <w:sz w:val="22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ascii="Times New Roman" w:hAnsi="Times New Roman" w:cs="Courier New"/>
      <w:sz w:val="24"/>
    </w:rPr>
  </w:style>
  <w:style w:type="character" w:styleId="ListLabel252">
    <w:name w:val="ListLabel 252"/>
    <w:qFormat/>
    <w:rPr>
      <w:rFonts w:cs="Times New Roman"/>
      <w:w w:val="99"/>
      <w:sz w:val="24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ascii="Times New Roman" w:hAnsi="Times New Roman" w:cs="Courier New"/>
      <w:sz w:val="24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ascii="Times New Roman" w:hAnsi="Times New Roman" w:cs="Courier New"/>
    </w:rPr>
  </w:style>
  <w:style w:type="character" w:styleId="ListLabel270">
    <w:name w:val="ListLabel 270"/>
    <w:qFormat/>
    <w:rPr>
      <w:rFonts w:cs="Times New Roman"/>
      <w:w w:val="99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78">
    <w:name w:val="ListLabel 278"/>
    <w:qFormat/>
    <w:rPr>
      <w:rFonts w:ascii="Times New Roman" w:hAnsi="Times New Roman" w:cs="Open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ascii="Times New Roman" w:hAnsi="Times New Roman" w:cs="OpenSymbol"/>
    </w:rPr>
  </w:style>
  <w:style w:type="character" w:styleId="ListLabel288">
    <w:name w:val="ListLabel 288"/>
    <w:qFormat/>
    <w:rPr>
      <w:rFonts w:cs="Times New Roman"/>
      <w:w w:val="99"/>
      <w:sz w:val="24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ascii="Times New Roman" w:hAnsi="Times New Roman" w:cs="Open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ascii="Times New Roman" w:hAnsi="Times New Roman" w:cs="OpenSymbol"/>
    </w:rPr>
  </w:style>
  <w:style w:type="character" w:styleId="ListLabel306">
    <w:name w:val="ListLabel 306"/>
    <w:qFormat/>
    <w:rPr>
      <w:rFonts w:cs="Times New Roman"/>
      <w:w w:val="99"/>
      <w:sz w:val="24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ascii="Times New Roman" w:hAnsi="Times New Roman" w:cs="Open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ascii="Times New Roman" w:hAnsi="Times New Roman" w:cs="OpenSymbol"/>
    </w:rPr>
  </w:style>
  <w:style w:type="character" w:styleId="ListLabel324">
    <w:name w:val="ListLabel 324"/>
    <w:qFormat/>
    <w:rPr>
      <w:rFonts w:cs="Times New Roman"/>
      <w:w w:val="99"/>
      <w:sz w:val="24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ascii="Times New Roman" w:hAnsi="Times New Roman" w:cs="Open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ascii="Times New Roman" w:hAnsi="Times New Roman" w:cs="OpenSymbol"/>
    </w:rPr>
  </w:style>
  <w:style w:type="character" w:styleId="ListLabel342">
    <w:name w:val="ListLabel 342"/>
    <w:qFormat/>
    <w:rPr>
      <w:rFonts w:cs="Times New Roman"/>
      <w:w w:val="99"/>
      <w:sz w:val="24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Times New Roman"/>
      <w:w w:val="99"/>
      <w:sz w:val="24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ascii="Times New Roman" w:hAnsi="Times New Roman" w:cs="OpenSymbol"/>
    </w:rPr>
  </w:style>
  <w:style w:type="character" w:styleId="ListLabel378">
    <w:name w:val="ListLabel 378"/>
    <w:qFormat/>
    <w:rPr>
      <w:rFonts w:cs="Times New Roman"/>
      <w:w w:val="99"/>
      <w:sz w:val="24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niso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LibreOffice/5.1.6.2$Linux_X86_64 LibreOffice_project/10m0$Build-2</Application>
  <Pages>2</Pages>
  <Words>729</Words>
  <Characters>4969</Characters>
  <CharactersWithSpaces>5630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2020-09-11T08:47:30Z</dcterms:created>
  <dc:creator/>
  <dc:description/>
  <dc:language>en-US</dc:language>
  <cp:lastModifiedBy/>
  <dcterms:modified xsi:type="dcterms:W3CDTF">2020-09-11T12:07:34Z</dcterms:modified>
  <cp:revision>45</cp:revision>
  <dc:subject/>
  <dc:title/>
</cp:coreProperties>
</file>