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85D04" w14:textId="77777777" w:rsidR="00CA3F6A" w:rsidRPr="00240811" w:rsidRDefault="00CA3F6A" w:rsidP="00F13DA5">
      <w:pPr>
        <w:jc w:val="center"/>
        <w:rPr>
          <w:rFonts w:cs="Arial"/>
        </w:rPr>
      </w:pPr>
      <w:r w:rsidRPr="00240811">
        <w:rPr>
          <w:rFonts w:cs="Arial"/>
          <w:noProof/>
        </w:rPr>
        <w:drawing>
          <wp:inline distT="0" distB="0" distL="0" distR="0" wp14:anchorId="350A3365" wp14:editId="2C12DCFD">
            <wp:extent cx="5450619" cy="5450619"/>
            <wp:effectExtent l="0" t="0" r="0" b="0"/>
            <wp:docPr id="3" name="Obraz 3" descr="Logo SGH z pełną nazwą uczelni w zielonym po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 SGH z pełną nazwą uczelni w zielonym pol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713" cy="545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2238" w14:textId="6313E3A4" w:rsidR="00CA3F6A" w:rsidRPr="00240811" w:rsidRDefault="00CA3F6A" w:rsidP="00CA3F6A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Raport wykonany na potrzeby </w:t>
      </w:r>
      <w:r w:rsidRPr="00240811">
        <w:rPr>
          <w:rFonts w:cs="Arial"/>
          <w:sz w:val="28"/>
          <w:szCs w:val="28"/>
        </w:rPr>
        <w:t>przedmiotu:</w:t>
      </w:r>
      <w:r w:rsidRPr="00240811">
        <w:rPr>
          <w:rFonts w:cs="Arial"/>
          <w:sz w:val="28"/>
          <w:szCs w:val="28"/>
        </w:rPr>
        <w:br/>
      </w:r>
      <w:proofErr w:type="spellStart"/>
      <w:r w:rsidRPr="00240811">
        <w:rPr>
          <w:rFonts w:cs="Arial"/>
          <w:sz w:val="28"/>
          <w:szCs w:val="28"/>
        </w:rPr>
        <w:t>Mikroekonometria</w:t>
      </w:r>
      <w:proofErr w:type="spellEnd"/>
    </w:p>
    <w:p w14:paraId="28DE87ED" w14:textId="77777777" w:rsidR="00CA3F6A" w:rsidRPr="00240811" w:rsidRDefault="00CA3F6A" w:rsidP="00CA3F6A">
      <w:pPr>
        <w:jc w:val="center"/>
        <w:rPr>
          <w:rFonts w:cs="Arial"/>
          <w:sz w:val="28"/>
          <w:szCs w:val="28"/>
        </w:rPr>
      </w:pPr>
    </w:p>
    <w:p w14:paraId="7C1150CE" w14:textId="3EA64A25" w:rsidR="00CA3F6A" w:rsidRPr="00240811" w:rsidRDefault="00CA3F6A" w:rsidP="00CA3F6A">
      <w:pPr>
        <w:jc w:val="center"/>
        <w:rPr>
          <w:rFonts w:cs="Arial"/>
        </w:rPr>
      </w:pPr>
      <w:r>
        <w:rPr>
          <w:rFonts w:cs="Arial"/>
          <w:i/>
          <w:iCs/>
          <w:sz w:val="40"/>
          <w:szCs w:val="40"/>
        </w:rPr>
        <w:t xml:space="preserve">Determinanty </w:t>
      </w:r>
      <w:r w:rsidR="00035F45">
        <w:rPr>
          <w:rFonts w:cs="Arial"/>
          <w:i/>
          <w:iCs/>
          <w:sz w:val="40"/>
          <w:szCs w:val="40"/>
        </w:rPr>
        <w:t>przeżycia</w:t>
      </w:r>
      <w:r w:rsidR="00CD596A">
        <w:rPr>
          <w:rFonts w:cs="Arial"/>
          <w:i/>
          <w:iCs/>
          <w:sz w:val="40"/>
          <w:szCs w:val="40"/>
        </w:rPr>
        <w:t xml:space="preserve"> </w:t>
      </w:r>
      <w:r>
        <w:rPr>
          <w:rFonts w:cs="Arial"/>
          <w:i/>
          <w:iCs/>
          <w:sz w:val="40"/>
          <w:szCs w:val="40"/>
        </w:rPr>
        <w:t>choroby COVID-19</w:t>
      </w:r>
    </w:p>
    <w:p w14:paraId="6077F084" w14:textId="77777777" w:rsidR="00CA3F6A" w:rsidRPr="00240811" w:rsidRDefault="00CA3F6A" w:rsidP="00CA3F6A">
      <w:pPr>
        <w:rPr>
          <w:rFonts w:cs="Arial"/>
        </w:rPr>
      </w:pPr>
    </w:p>
    <w:p w14:paraId="7452E6FE" w14:textId="77777777" w:rsidR="00CA3F6A" w:rsidRPr="00240811" w:rsidRDefault="00CA3F6A" w:rsidP="00CA3F6A">
      <w:pPr>
        <w:rPr>
          <w:rFonts w:cs="Arial"/>
        </w:rPr>
      </w:pPr>
    </w:p>
    <w:p w14:paraId="260A2315" w14:textId="77777777" w:rsidR="00CA3F6A" w:rsidRDefault="00CA3F6A" w:rsidP="00CA3F6A">
      <w:pPr>
        <w:jc w:val="right"/>
        <w:rPr>
          <w:rFonts w:cs="Arial"/>
        </w:rPr>
      </w:pPr>
      <w:r w:rsidRPr="00240811">
        <w:rPr>
          <w:rFonts w:cs="Arial"/>
        </w:rPr>
        <w:t>Opracowa</w:t>
      </w:r>
      <w:r>
        <w:rPr>
          <w:rFonts w:cs="Arial"/>
        </w:rPr>
        <w:t>li</w:t>
      </w:r>
      <w:r w:rsidRPr="00240811">
        <w:rPr>
          <w:rFonts w:cs="Arial"/>
        </w:rPr>
        <w:t xml:space="preserve">: </w:t>
      </w:r>
    </w:p>
    <w:p w14:paraId="2B74A5D2" w14:textId="6DF0B57E" w:rsidR="00CA3F6A" w:rsidRDefault="00CA3F6A" w:rsidP="00CA3F6A">
      <w:pPr>
        <w:jc w:val="right"/>
        <w:rPr>
          <w:rFonts w:cs="Arial"/>
        </w:rPr>
      </w:pPr>
      <w:r w:rsidRPr="00240811">
        <w:rPr>
          <w:rFonts w:cs="Arial"/>
        </w:rPr>
        <w:t>Oskar Furmańczuk 81794</w:t>
      </w:r>
    </w:p>
    <w:p w14:paraId="57C27DA5" w14:textId="2EDBF0B5" w:rsidR="00F13DA5" w:rsidRDefault="00E90643" w:rsidP="00807961">
      <w:pPr>
        <w:jc w:val="right"/>
        <w:rPr>
          <w:rFonts w:cs="Arial"/>
        </w:rPr>
      </w:pPr>
      <w:r>
        <w:rPr>
          <w:rFonts w:cs="Arial"/>
        </w:rPr>
        <w:t xml:space="preserve">Mateusz </w:t>
      </w:r>
      <w:r w:rsidR="00CA3F6A">
        <w:rPr>
          <w:rFonts w:cs="Arial"/>
        </w:rPr>
        <w:t>Koch 72158</w:t>
      </w:r>
      <w:bookmarkStart w:id="0" w:name="_Toc534888906"/>
    </w:p>
    <w:p w14:paraId="224E7D51" w14:textId="77777777" w:rsidR="00A84FCF" w:rsidRDefault="00A84FCF" w:rsidP="00F13DA5">
      <w:pPr>
        <w:jc w:val="center"/>
      </w:pPr>
    </w:p>
    <w:p w14:paraId="6F0D6CC3" w14:textId="62C54C96" w:rsidR="00FF1348" w:rsidRPr="00A84FCF" w:rsidRDefault="00A84FCF" w:rsidP="00F13DA5">
      <w:pPr>
        <w:jc w:val="center"/>
        <w:rPr>
          <w:rFonts w:cs="Arial"/>
          <w:i/>
          <w:iCs/>
        </w:rPr>
      </w:pPr>
      <w:r w:rsidRPr="00A84FCF">
        <w:rPr>
          <w:i/>
          <w:iCs/>
        </w:rPr>
        <w:t>Warszawa 2020</w:t>
      </w:r>
      <w:r w:rsidR="00FF1348" w:rsidRPr="00A84FCF">
        <w:rPr>
          <w:i/>
          <w:iCs/>
        </w:rPr>
        <w:br w:type="page"/>
      </w:r>
    </w:p>
    <w:p w14:paraId="5DE08515" w14:textId="5EAE3377" w:rsidR="13E1953B" w:rsidRDefault="13E1953B" w:rsidP="25189AFA">
      <w:bookmarkStart w:id="1" w:name="_Toc534888908"/>
      <w:bookmarkEnd w:id="0"/>
      <w:r w:rsidRPr="25189AFA">
        <w:rPr>
          <w:rFonts w:eastAsia="Times New Roman" w:cs="Times New Roman"/>
          <w:b/>
          <w:bCs/>
          <w:color w:val="2F5496" w:themeColor="accent1" w:themeShade="BF"/>
          <w:sz w:val="32"/>
          <w:szCs w:val="32"/>
        </w:rPr>
        <w:lastRenderedPageBreak/>
        <w:t xml:space="preserve">Wprowadzenie </w:t>
      </w:r>
    </w:p>
    <w:p w14:paraId="0150B881" w14:textId="4AEB83A1" w:rsidR="13E1953B" w:rsidRDefault="13E1953B" w:rsidP="25189AFA">
      <w:pPr>
        <w:spacing w:line="360" w:lineRule="auto"/>
        <w:ind w:firstLine="708"/>
      </w:pPr>
      <w:r w:rsidRPr="25189AFA">
        <w:rPr>
          <w:rFonts w:eastAsia="Times New Roman" w:cs="Times New Roman"/>
          <w:szCs w:val="24"/>
        </w:rPr>
        <w:t xml:space="preserve">Rok 2020 z pewnością zostanie zapisany na kartach historii jako rok rozpoczęcia jednej z największych pandemii jaka dotknęła naszą cywilizację. Wirus SARS-CoV-2, wywołujący chorobę COVID-19, pozbawił życia milionów ludzi w każdym zakątku naszej planety. Jak wskazują ostatnie informacje nie istnieje grupa etniczna, rasa, płeć ani grupa wiekowa, która byłaby zupełnie odporna na działanie </w:t>
      </w:r>
      <w:proofErr w:type="spellStart"/>
      <w:r w:rsidRPr="25189AFA">
        <w:rPr>
          <w:rFonts w:eastAsia="Times New Roman" w:cs="Times New Roman"/>
          <w:szCs w:val="24"/>
        </w:rPr>
        <w:t>koronawirusa</w:t>
      </w:r>
      <w:proofErr w:type="spellEnd"/>
      <w:r w:rsidRPr="25189AFA">
        <w:rPr>
          <w:rFonts w:eastAsia="Times New Roman" w:cs="Times New Roman"/>
          <w:szCs w:val="24"/>
        </w:rPr>
        <w:t xml:space="preserve">. Zestawienie tych cech może natomiast dać pewne przybliżenie szans na przetrwanie choroby COVID-19. </w:t>
      </w:r>
    </w:p>
    <w:p w14:paraId="2FE6C8F9" w14:textId="5995BCD8" w:rsidR="13E1953B" w:rsidRDefault="13E1953B" w:rsidP="25189AFA">
      <w:pPr>
        <w:ind w:firstLine="705"/>
      </w:pPr>
      <w:r w:rsidRPr="25189AFA">
        <w:rPr>
          <w:rFonts w:ascii="Segoe UI" w:eastAsia="Segoe UI" w:hAnsi="Segoe UI" w:cs="Segoe UI"/>
          <w:sz w:val="18"/>
          <w:szCs w:val="18"/>
        </w:rPr>
        <w:t xml:space="preserve"> </w:t>
      </w:r>
    </w:p>
    <w:p w14:paraId="0458B6F4" w14:textId="062E3917" w:rsidR="13E1953B" w:rsidRDefault="13E1953B" w:rsidP="25189AFA">
      <w:r w:rsidRPr="25189AFA">
        <w:rPr>
          <w:rFonts w:eastAsia="Times New Roman" w:cs="Times New Roman"/>
          <w:b/>
          <w:bCs/>
          <w:color w:val="2F5496" w:themeColor="accent1" w:themeShade="BF"/>
          <w:sz w:val="26"/>
          <w:szCs w:val="26"/>
        </w:rPr>
        <w:t>Rasa jako determinanta przebiegu choroby COVID-19 u pacjentów z wykrytym nowotworem</w:t>
      </w:r>
    </w:p>
    <w:p w14:paraId="779B405F" w14:textId="2FF10F0E" w:rsidR="13E1953B" w:rsidRDefault="13E1953B" w:rsidP="25189AFA">
      <w:pPr>
        <w:spacing w:line="360" w:lineRule="auto"/>
        <w:ind w:firstLine="708"/>
      </w:pPr>
      <w:r w:rsidRPr="25189AFA">
        <w:rPr>
          <w:rFonts w:eastAsia="Times New Roman" w:cs="Times New Roman"/>
          <w:szCs w:val="24"/>
        </w:rPr>
        <w:t>Jednym z projektów prowadzonych na rzecz opisu przebiegu COVID-19 u pacjentów pochodzących z różnych grup rasowych jest „</w:t>
      </w:r>
      <w:proofErr w:type="spellStart"/>
      <w:r w:rsidRPr="25189AFA">
        <w:rPr>
          <w:rFonts w:eastAsia="Times New Roman" w:cs="Times New Roman"/>
          <w:szCs w:val="24"/>
        </w:rPr>
        <w:t>Racial</w:t>
      </w:r>
      <w:proofErr w:type="spellEnd"/>
      <w:r w:rsidRPr="25189AFA">
        <w:rPr>
          <w:rFonts w:eastAsia="Times New Roman" w:cs="Times New Roman"/>
          <w:szCs w:val="24"/>
        </w:rPr>
        <w:t xml:space="preserve"> </w:t>
      </w:r>
      <w:proofErr w:type="spellStart"/>
      <w:r w:rsidRPr="25189AFA">
        <w:rPr>
          <w:rFonts w:eastAsia="Times New Roman" w:cs="Times New Roman"/>
          <w:szCs w:val="24"/>
        </w:rPr>
        <w:t>disparities</w:t>
      </w:r>
      <w:proofErr w:type="spellEnd"/>
      <w:r w:rsidRPr="25189AFA">
        <w:rPr>
          <w:rFonts w:eastAsia="Times New Roman" w:cs="Times New Roman"/>
          <w:szCs w:val="24"/>
        </w:rPr>
        <w:t xml:space="preserve"> in </w:t>
      </w:r>
      <w:proofErr w:type="spellStart"/>
      <w:r w:rsidRPr="25189AFA">
        <w:rPr>
          <w:rFonts w:eastAsia="Times New Roman" w:cs="Times New Roman"/>
          <w:szCs w:val="24"/>
        </w:rPr>
        <w:t>patients</w:t>
      </w:r>
      <w:proofErr w:type="spellEnd"/>
      <w:r w:rsidRPr="25189AFA">
        <w:rPr>
          <w:rFonts w:eastAsia="Times New Roman" w:cs="Times New Roman"/>
          <w:szCs w:val="24"/>
        </w:rPr>
        <w:t xml:space="preserve"> with </w:t>
      </w:r>
      <w:proofErr w:type="spellStart"/>
      <w:r w:rsidRPr="25189AFA">
        <w:rPr>
          <w:rFonts w:eastAsia="Times New Roman" w:cs="Times New Roman"/>
          <w:szCs w:val="24"/>
        </w:rPr>
        <w:t>coronavirus</w:t>
      </w:r>
      <w:proofErr w:type="spellEnd"/>
      <w:r w:rsidRPr="25189AFA">
        <w:rPr>
          <w:rFonts w:eastAsia="Times New Roman" w:cs="Times New Roman"/>
          <w:szCs w:val="24"/>
        </w:rPr>
        <w:t xml:space="preserve"> </w:t>
      </w:r>
      <w:proofErr w:type="spellStart"/>
      <w:r w:rsidRPr="25189AFA">
        <w:rPr>
          <w:rFonts w:eastAsia="Times New Roman" w:cs="Times New Roman"/>
          <w:szCs w:val="24"/>
        </w:rPr>
        <w:t>disease</w:t>
      </w:r>
      <w:proofErr w:type="spellEnd"/>
      <w:r w:rsidRPr="25189AFA">
        <w:rPr>
          <w:rFonts w:eastAsia="Times New Roman" w:cs="Times New Roman"/>
          <w:szCs w:val="24"/>
        </w:rPr>
        <w:t xml:space="preserve"> 2019 </w:t>
      </w:r>
      <w:proofErr w:type="spellStart"/>
      <w:r w:rsidRPr="25189AFA">
        <w:rPr>
          <w:rFonts w:eastAsia="Times New Roman" w:cs="Times New Roman"/>
          <w:szCs w:val="24"/>
        </w:rPr>
        <w:t>infection</w:t>
      </w:r>
      <w:proofErr w:type="spellEnd"/>
      <w:r w:rsidRPr="25189AFA">
        <w:rPr>
          <w:rFonts w:eastAsia="Times New Roman" w:cs="Times New Roman"/>
          <w:szCs w:val="24"/>
        </w:rPr>
        <w:t xml:space="preserve"> and </w:t>
      </w:r>
      <w:proofErr w:type="spellStart"/>
      <w:r w:rsidRPr="25189AFA">
        <w:rPr>
          <w:rFonts w:eastAsia="Times New Roman" w:cs="Times New Roman"/>
          <w:szCs w:val="24"/>
        </w:rPr>
        <w:t>gynecologic</w:t>
      </w:r>
      <w:proofErr w:type="spellEnd"/>
      <w:r w:rsidRPr="25189AFA">
        <w:rPr>
          <w:rFonts w:eastAsia="Times New Roman" w:cs="Times New Roman"/>
          <w:szCs w:val="24"/>
        </w:rPr>
        <w:t xml:space="preserve"> </w:t>
      </w:r>
      <w:proofErr w:type="spellStart"/>
      <w:r w:rsidRPr="25189AFA">
        <w:rPr>
          <w:rFonts w:eastAsia="Times New Roman" w:cs="Times New Roman"/>
          <w:szCs w:val="24"/>
        </w:rPr>
        <w:t>malignancy</w:t>
      </w:r>
      <w:proofErr w:type="spellEnd"/>
      <w:r w:rsidRPr="25189AFA">
        <w:rPr>
          <w:rFonts w:eastAsia="Times New Roman" w:cs="Times New Roman"/>
          <w:szCs w:val="24"/>
        </w:rPr>
        <w:t xml:space="preserve">”. Badanie to zostało przeprowadzone w Stanach Zjednoczonych na podstawie danych zebranych przez nowojorskie szpitale. Grupę badanych stanowili pacjenci powyżej osiemnastego roku życia u których stwierdzono nowotwór ginekologiczny, a także w okresie terapii onkologicznego wykryto SARS-CoV-2. Pacjentów podzielono na odpowiadające im grupy rasowe lecz ze względu na bardzo wysoki procentowy udział białych i czarnych pacjentów do zbiorczego zestawienia przyjęto 3 grupy rasowe: biała, czarna i inna.  </w:t>
      </w:r>
    </w:p>
    <w:p w14:paraId="1872F3D8" w14:textId="2A3E0DBA" w:rsidR="13E1953B" w:rsidRDefault="13E1953B" w:rsidP="25189AFA">
      <w:r w:rsidRPr="25189AFA">
        <w:rPr>
          <w:rFonts w:eastAsia="Times New Roman" w:cs="Times New Roman"/>
          <w:szCs w:val="24"/>
        </w:rPr>
        <w:t xml:space="preserve"> </w:t>
      </w:r>
      <w:r w:rsidRPr="25189AFA">
        <w:rPr>
          <w:rFonts w:eastAsia="Times New Roman" w:cs="Times New Roman"/>
          <w:b/>
          <w:bCs/>
          <w:color w:val="2F5496" w:themeColor="accent1" w:themeShade="BF"/>
          <w:sz w:val="32"/>
          <w:szCs w:val="32"/>
        </w:rPr>
        <w:t xml:space="preserve"> </w:t>
      </w:r>
      <w:r w:rsidRPr="25189AFA">
        <w:rPr>
          <w:rFonts w:eastAsia="Times New Roman" w:cs="Times New Roman"/>
          <w:szCs w:val="24"/>
        </w:rPr>
        <w:t xml:space="preserve"> </w:t>
      </w:r>
      <w:r>
        <w:rPr>
          <w:noProof/>
        </w:rPr>
        <w:drawing>
          <wp:inline distT="0" distB="0" distL="0" distR="0" wp14:anchorId="369A4BD9" wp14:editId="3172B221">
            <wp:extent cx="5753098" cy="1743075"/>
            <wp:effectExtent l="0" t="0" r="0" b="0"/>
            <wp:docPr id="922763323" name="Picture 922763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7633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34F7" w14:textId="50DC0AB8" w:rsidR="13E1953B" w:rsidRDefault="13E1953B" w:rsidP="25189AFA">
      <w:pPr>
        <w:jc w:val="center"/>
      </w:pPr>
      <w:r w:rsidRPr="25189AFA">
        <w:rPr>
          <w:rFonts w:eastAsia="Times New Roman" w:cs="Times New Roman"/>
          <w:i/>
          <w:iCs/>
          <w:szCs w:val="24"/>
        </w:rPr>
        <w:t>Rysunek 1. Procent hospitalizowanych oraz procent zgonów wśród czarnych pacjentów</w:t>
      </w:r>
      <w:r w:rsidRPr="25189AFA">
        <w:rPr>
          <w:rFonts w:eastAsia="Times New Roman" w:cs="Times New Roman"/>
          <w:szCs w:val="24"/>
        </w:rPr>
        <w:t xml:space="preserve"> </w:t>
      </w:r>
    </w:p>
    <w:p w14:paraId="15D7C2D6" w14:textId="2BE55382" w:rsidR="00B40969" w:rsidRDefault="13E1953B" w:rsidP="25189AFA">
      <w:pPr>
        <w:rPr>
          <w:rFonts w:eastAsia="Times New Roman" w:cs="Times New Roman"/>
          <w:szCs w:val="24"/>
        </w:rPr>
      </w:pPr>
      <w:r w:rsidRPr="25189AFA">
        <w:rPr>
          <w:rFonts w:eastAsia="Times New Roman" w:cs="Times New Roman"/>
          <w:szCs w:val="24"/>
        </w:rPr>
        <w:t xml:space="preserve"> </w:t>
      </w:r>
      <w:r w:rsidR="0A6974A8" w:rsidRPr="0B895635">
        <w:rPr>
          <w:rFonts w:eastAsia="Times New Roman" w:cs="Times New Roman"/>
          <w:szCs w:val="24"/>
        </w:rPr>
        <w:t xml:space="preserve"> </w:t>
      </w:r>
    </w:p>
    <w:p w14:paraId="17C15F4C" w14:textId="70719B82" w:rsidR="00035F45" w:rsidRDefault="00035F45" w:rsidP="25189AFA">
      <w:pPr>
        <w:rPr>
          <w:rFonts w:eastAsia="Times New Roman" w:cs="Times New Roman"/>
          <w:szCs w:val="24"/>
        </w:rPr>
      </w:pPr>
    </w:p>
    <w:p w14:paraId="5167AD35" w14:textId="77777777" w:rsidR="00035F45" w:rsidRDefault="00035F45" w:rsidP="25189AFA"/>
    <w:p w14:paraId="735C985B" w14:textId="7C2928AB" w:rsidR="00B40969" w:rsidRDefault="0A6974A8" w:rsidP="25189AFA">
      <w:pPr>
        <w:spacing w:line="360" w:lineRule="auto"/>
        <w:ind w:firstLine="708"/>
      </w:pPr>
      <w:r w:rsidRPr="0B895635">
        <w:rPr>
          <w:rFonts w:eastAsia="Times New Roman" w:cs="Times New Roman"/>
          <w:szCs w:val="24"/>
        </w:rPr>
        <w:lastRenderedPageBreak/>
        <w:t xml:space="preserve">Rezultatem badań </w:t>
      </w:r>
      <w:r w:rsidR="13E1953B" w:rsidRPr="25189AFA">
        <w:rPr>
          <w:rFonts w:eastAsia="Times New Roman" w:cs="Times New Roman"/>
          <w:szCs w:val="24"/>
        </w:rPr>
        <w:t>był wniosek o istotnej przewadze</w:t>
      </w:r>
      <w:r w:rsidRPr="0B895635">
        <w:rPr>
          <w:rFonts w:eastAsia="Times New Roman" w:cs="Times New Roman"/>
          <w:szCs w:val="24"/>
        </w:rPr>
        <w:t xml:space="preserve"> ilości ciężkich przypadków u pacjentów rasy czarnej. Pomimo, iż stanowili oni zaledwie 1/3 badanej grupy to tworzyli ponad 45% hospitalizowanych oraz ponad 40% śmiertelnych przypadków. Ponadto, młodzi czarni pacjenci byli 5 razy bardziej narażeni na hospitalizację niż pozostałe osoby w tej samej kategorii wiekowej w badanej grupie. </w:t>
      </w:r>
      <w:r w:rsidR="13E1953B" w:rsidRPr="25189AFA">
        <w:rPr>
          <w:rFonts w:eastAsia="Times New Roman" w:cs="Times New Roman"/>
          <w:szCs w:val="24"/>
        </w:rPr>
        <w:t xml:space="preserve"> </w:t>
      </w:r>
    </w:p>
    <w:p w14:paraId="70C1FB87" w14:textId="44B2C12B" w:rsidR="00B40969" w:rsidRDefault="3806865F" w:rsidP="25189AFA">
      <w:pPr>
        <w:spacing w:line="360" w:lineRule="auto"/>
        <w:ind w:firstLine="708"/>
      </w:pPr>
      <w:r w:rsidRPr="0B895635">
        <w:rPr>
          <w:rFonts w:eastAsia="Times New Roman" w:cs="Times New Roman"/>
          <w:szCs w:val="24"/>
        </w:rPr>
        <w:t xml:space="preserve">Źródłem </w:t>
      </w:r>
      <w:r w:rsidR="0A6974A8" w:rsidRPr="0B895635">
        <w:rPr>
          <w:rFonts w:eastAsia="Times New Roman" w:cs="Times New Roman"/>
          <w:szCs w:val="24"/>
        </w:rPr>
        <w:t xml:space="preserve">relatywnie cięższego przebiegu COVID-19 u czarnych pacjentów może być między innymi większa ilość współistniejących chorób. </w:t>
      </w:r>
      <w:r w:rsidR="13E1953B" w:rsidRPr="25189AFA">
        <w:rPr>
          <w:rFonts w:eastAsia="Times New Roman" w:cs="Times New Roman"/>
          <w:szCs w:val="24"/>
        </w:rPr>
        <w:t>Te z kolei, zdaniem autorów, miałby być pośrednio rezultatem niskich średnich dochodów wśród czarnych społeczności oraz</w:t>
      </w:r>
      <w:r w:rsidR="0A6974A8" w:rsidRPr="0B895635">
        <w:rPr>
          <w:rFonts w:eastAsia="Times New Roman" w:cs="Times New Roman"/>
          <w:szCs w:val="24"/>
        </w:rPr>
        <w:t xml:space="preserve"> wynikiem rasizmu systemowego.</w:t>
      </w:r>
      <w:r w:rsidR="00807961">
        <w:rPr>
          <w:rStyle w:val="Odwoanieprzypisudolnego"/>
          <w:rFonts w:eastAsia="Times New Roman" w:cs="Times New Roman"/>
          <w:szCs w:val="24"/>
        </w:rPr>
        <w:footnoteReference w:id="2"/>
      </w:r>
    </w:p>
    <w:p w14:paraId="76C6F73E" w14:textId="55EAFA6E" w:rsidR="13E1953B" w:rsidRDefault="13E1953B" w:rsidP="00807961">
      <w:r w:rsidRPr="25189AFA">
        <w:rPr>
          <w:rFonts w:eastAsia="Times New Roman" w:cs="Times New Roman"/>
          <w:szCs w:val="24"/>
        </w:rPr>
        <w:t xml:space="preserve"> </w:t>
      </w:r>
    </w:p>
    <w:p w14:paraId="4E0592C8" w14:textId="480B57EB" w:rsidR="13E1953B" w:rsidRDefault="13E1953B" w:rsidP="25189AFA">
      <w:r w:rsidRPr="25189AFA">
        <w:rPr>
          <w:rFonts w:eastAsia="Times New Roman" w:cs="Times New Roman"/>
          <w:b/>
          <w:bCs/>
          <w:color w:val="2F5496" w:themeColor="accent1" w:themeShade="BF"/>
          <w:sz w:val="26"/>
          <w:szCs w:val="26"/>
        </w:rPr>
        <w:t>Wpływ wieku i płci na przebieg COVID-19</w:t>
      </w:r>
    </w:p>
    <w:p w14:paraId="232312BC" w14:textId="1BD5812C" w:rsidR="13E1953B" w:rsidRDefault="13E1953B" w:rsidP="25189AFA">
      <w:pPr>
        <w:spacing w:line="360" w:lineRule="auto"/>
        <w:ind w:firstLine="708"/>
      </w:pPr>
      <w:r w:rsidRPr="25189AFA">
        <w:rPr>
          <w:rFonts w:eastAsia="Times New Roman" w:cs="Times New Roman"/>
          <w:szCs w:val="24"/>
        </w:rPr>
        <w:t xml:space="preserve">Jedno z badań wpływu wieku oraz płci pacjentów na przebieg choroby wywołanej                SARS-CoV-2 zostało przeprowadzone w pierwszym kwartale 2020 roku w mieście Brescia (Włochy). W projekcie brało udział 786 pacjentów z czego 523 stanowili mężczyźni a 251 kobiety. Wszystkim badanym wykonano badanie rentgenowskiego klatki piersiowej, a następnie każdemu z pacjentów przyznano odpowiedni wynik w skali CXR (system oceny zmian płucnych). Następnie zestawiono wyniki różnych kategorii wiekowych z uwzględnieniem płci pacjentów. Zmienna „płeć” przyjęła dwie wartości: „M” dla mężczyzn oraz „F” dla kobiet. Grupy wiekowe opisano literami od A do G, gdzie A to najmłodsza grupa (20-29 lat), a G najstarsza (powyżej 80 lat). </w:t>
      </w:r>
    </w:p>
    <w:p w14:paraId="1CC9CE95" w14:textId="17870ACD" w:rsidR="13E1953B" w:rsidRDefault="13E1953B" w:rsidP="00035F4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5707FA" wp14:editId="7255C908">
            <wp:extent cx="5753098" cy="2038350"/>
            <wp:effectExtent l="0" t="0" r="0" b="0"/>
            <wp:docPr id="1686823195" name="Picture 1686823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8231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Hlk58607522"/>
      <w:r w:rsidRPr="25189AFA">
        <w:rPr>
          <w:rFonts w:eastAsia="Times New Roman" w:cs="Times New Roman"/>
          <w:i/>
          <w:iCs/>
          <w:szCs w:val="24"/>
        </w:rPr>
        <w:t xml:space="preserve">Rysunek 2. Wskaźnik CXR dla mężczyzn (lewa </w:t>
      </w:r>
      <w:bookmarkEnd w:id="3"/>
      <w:r w:rsidRPr="25189AFA">
        <w:rPr>
          <w:rFonts w:eastAsia="Times New Roman" w:cs="Times New Roman"/>
          <w:i/>
          <w:iCs/>
          <w:szCs w:val="24"/>
        </w:rPr>
        <w:t>strona) i kobiet (prawa strona) w różnych grupach wiekowyc</w:t>
      </w:r>
      <w:r w:rsidR="00035F45">
        <w:rPr>
          <w:rFonts w:eastAsia="Times New Roman" w:cs="Times New Roman"/>
          <w:i/>
          <w:iCs/>
          <w:szCs w:val="24"/>
        </w:rPr>
        <w:t>h</w:t>
      </w:r>
      <w:r w:rsidRPr="25189AFA">
        <w:rPr>
          <w:rFonts w:eastAsia="Times New Roman" w:cs="Times New Roman"/>
          <w:szCs w:val="24"/>
        </w:rPr>
        <w:t xml:space="preserve"> </w:t>
      </w:r>
    </w:p>
    <w:p w14:paraId="38EB0BE1" w14:textId="6B7FE3D1" w:rsidR="13E1953B" w:rsidRDefault="13E1953B" w:rsidP="25189AFA">
      <w:pPr>
        <w:spacing w:line="360" w:lineRule="auto"/>
        <w:ind w:firstLine="708"/>
      </w:pPr>
      <w:r w:rsidRPr="25189AFA">
        <w:rPr>
          <w:rFonts w:eastAsia="Times New Roman" w:cs="Times New Roman"/>
          <w:szCs w:val="24"/>
        </w:rPr>
        <w:lastRenderedPageBreak/>
        <w:t>Rozpatrując wyniki pomiędzy kategoriami wiekowymi obserwowalna jest silna dodatnia korelacja pomiędzy stopniem uszkodzenia płuc a wiekiem. Wniosek ten jest zgodny z danymi o przypadkach COVID-19, które systematycznie dostarczane są przez władzę krajów Unii Europejskiej (w Polsce szansa przeżycia osoby po 75 rok roku życia jest ponad 10 razy mniejsza niż u osoby przed 35 rokiem życia).</w:t>
      </w:r>
    </w:p>
    <w:p w14:paraId="4EF11E68" w14:textId="0CBF540F" w:rsidR="13E1953B" w:rsidRDefault="13E1953B" w:rsidP="25189AFA">
      <w:pPr>
        <w:spacing w:line="360" w:lineRule="auto"/>
        <w:ind w:firstLine="708"/>
      </w:pPr>
      <w:r w:rsidRPr="25189AFA">
        <w:rPr>
          <w:rFonts w:eastAsia="Times New Roman" w:cs="Times New Roman"/>
          <w:szCs w:val="24"/>
        </w:rPr>
        <w:t xml:space="preserve">Kolejnym wnioskiem z analizy wyników jest obserwacja znacząco większych zmian płucnych u  mężczyzn z najstarszych grup wiekowych (powyżej 50 lat) w zestawieniu z wynikami kobiet z tego samego przedziału wiekowego. Natomiast w grupie kobiet największy spadek wskaźnika CXR miał miejsce dla pacjentek powyżej 80 roku życia. </w:t>
      </w:r>
      <w:r w:rsidR="00807961">
        <w:rPr>
          <w:rStyle w:val="Odwoanieprzypisudolnego"/>
          <w:rFonts w:eastAsia="Times New Roman" w:cs="Times New Roman"/>
          <w:szCs w:val="24"/>
        </w:rPr>
        <w:footnoteReference w:id="3"/>
      </w:r>
    </w:p>
    <w:p w14:paraId="2C3FBB47" w14:textId="1503E8DD" w:rsidR="25189AFA" w:rsidRDefault="25189AFA" w:rsidP="25189AFA">
      <w:pPr>
        <w:spacing w:line="360" w:lineRule="auto"/>
        <w:ind w:firstLine="708"/>
        <w:rPr>
          <w:rFonts w:eastAsia="Times New Roman" w:cs="Times New Roman"/>
          <w:szCs w:val="24"/>
        </w:rPr>
      </w:pPr>
    </w:p>
    <w:p w14:paraId="4B9C6F51" w14:textId="780EEE23" w:rsidR="13E1953B" w:rsidRDefault="13E1953B" w:rsidP="25189AFA">
      <w:r w:rsidRPr="25189AFA">
        <w:rPr>
          <w:rFonts w:eastAsia="Times New Roman" w:cs="Times New Roman"/>
          <w:b/>
          <w:bCs/>
          <w:color w:val="2F5496" w:themeColor="accent1" w:themeShade="BF"/>
          <w:sz w:val="26"/>
          <w:szCs w:val="26"/>
        </w:rPr>
        <w:t>Pora roku oraz zmienne</w:t>
      </w:r>
      <w:r w:rsidRPr="25189AFA">
        <w:rPr>
          <w:rFonts w:eastAsia="Times New Roman" w:cs="Times New Roman"/>
          <w:szCs w:val="24"/>
        </w:rPr>
        <w:t xml:space="preserve"> </w:t>
      </w:r>
      <w:r w:rsidRPr="25189AFA">
        <w:rPr>
          <w:rFonts w:eastAsia="Times New Roman" w:cs="Times New Roman"/>
          <w:b/>
          <w:bCs/>
          <w:color w:val="2F5496" w:themeColor="accent1" w:themeShade="BF"/>
          <w:sz w:val="26"/>
          <w:szCs w:val="26"/>
        </w:rPr>
        <w:t xml:space="preserve">meteorologiczne te jako determinanty częstotliwości </w:t>
      </w:r>
      <w:proofErr w:type="spellStart"/>
      <w:r w:rsidRPr="25189AFA">
        <w:rPr>
          <w:rFonts w:eastAsia="Times New Roman" w:cs="Times New Roman"/>
          <w:b/>
          <w:bCs/>
          <w:color w:val="2F5496" w:themeColor="accent1" w:themeShade="BF"/>
          <w:sz w:val="26"/>
          <w:szCs w:val="26"/>
        </w:rPr>
        <w:t>zachorowań</w:t>
      </w:r>
      <w:proofErr w:type="spellEnd"/>
      <w:r w:rsidRPr="25189AFA">
        <w:rPr>
          <w:rFonts w:eastAsia="Times New Roman" w:cs="Times New Roman"/>
          <w:b/>
          <w:bCs/>
          <w:color w:val="2F5496" w:themeColor="accent1" w:themeShade="BF"/>
          <w:sz w:val="26"/>
          <w:szCs w:val="26"/>
        </w:rPr>
        <w:t xml:space="preserve"> na COVID-19</w:t>
      </w:r>
    </w:p>
    <w:p w14:paraId="099453AA" w14:textId="6B43C099" w:rsidR="13E1953B" w:rsidRDefault="13E1953B" w:rsidP="25189AFA">
      <w:r w:rsidRPr="25189AFA">
        <w:rPr>
          <w:rFonts w:eastAsia="Times New Roman" w:cs="Times New Roman"/>
          <w:b/>
          <w:bCs/>
          <w:color w:val="2F5496" w:themeColor="accent1" w:themeShade="BF"/>
          <w:sz w:val="26"/>
          <w:szCs w:val="26"/>
        </w:rPr>
        <w:t xml:space="preserve"> </w:t>
      </w:r>
    </w:p>
    <w:p w14:paraId="2061768F" w14:textId="77777777" w:rsidR="00035F45" w:rsidRDefault="13E1953B" w:rsidP="00035F45">
      <w:pPr>
        <w:spacing w:line="360" w:lineRule="auto"/>
        <w:ind w:firstLine="708"/>
      </w:pPr>
      <w:r w:rsidRPr="25189AFA">
        <w:rPr>
          <w:rFonts w:eastAsia="Times New Roman" w:cs="Times New Roman"/>
          <w:szCs w:val="24"/>
        </w:rPr>
        <w:t>Opublikowany w wrześniu 2020 artykuł „</w:t>
      </w:r>
      <w:proofErr w:type="spellStart"/>
      <w:r w:rsidRPr="25189AFA">
        <w:rPr>
          <w:rFonts w:eastAsia="Times New Roman" w:cs="Times New Roman"/>
          <w:szCs w:val="24"/>
        </w:rPr>
        <w:t>Effect</w:t>
      </w:r>
      <w:proofErr w:type="spellEnd"/>
      <w:r w:rsidRPr="25189AFA">
        <w:rPr>
          <w:rFonts w:eastAsia="Times New Roman" w:cs="Times New Roman"/>
          <w:szCs w:val="24"/>
        </w:rPr>
        <w:t xml:space="preserve"> of </w:t>
      </w:r>
      <w:proofErr w:type="spellStart"/>
      <w:r w:rsidRPr="25189AFA">
        <w:rPr>
          <w:rFonts w:eastAsia="Times New Roman" w:cs="Times New Roman"/>
          <w:szCs w:val="24"/>
        </w:rPr>
        <w:t>meteorological</w:t>
      </w:r>
      <w:proofErr w:type="spellEnd"/>
      <w:r w:rsidRPr="25189AFA">
        <w:rPr>
          <w:rFonts w:eastAsia="Times New Roman" w:cs="Times New Roman"/>
          <w:szCs w:val="24"/>
        </w:rPr>
        <w:t xml:space="preserve"> </w:t>
      </w:r>
      <w:proofErr w:type="spellStart"/>
      <w:r w:rsidRPr="25189AFA">
        <w:rPr>
          <w:rFonts w:eastAsia="Times New Roman" w:cs="Times New Roman"/>
          <w:szCs w:val="24"/>
        </w:rPr>
        <w:t>factors</w:t>
      </w:r>
      <w:proofErr w:type="spellEnd"/>
      <w:r w:rsidRPr="25189AFA">
        <w:rPr>
          <w:rFonts w:eastAsia="Times New Roman" w:cs="Times New Roman"/>
          <w:szCs w:val="24"/>
        </w:rPr>
        <w:t xml:space="preserve"> on COVID-19 </w:t>
      </w:r>
      <w:proofErr w:type="spellStart"/>
      <w:r w:rsidRPr="25189AFA">
        <w:rPr>
          <w:rFonts w:eastAsia="Times New Roman" w:cs="Times New Roman"/>
          <w:szCs w:val="24"/>
        </w:rPr>
        <w:t>cases</w:t>
      </w:r>
      <w:proofErr w:type="spellEnd"/>
      <w:r w:rsidRPr="25189AFA">
        <w:rPr>
          <w:rFonts w:eastAsia="Times New Roman" w:cs="Times New Roman"/>
          <w:szCs w:val="24"/>
        </w:rPr>
        <w:t xml:space="preserve"> in </w:t>
      </w:r>
      <w:proofErr w:type="spellStart"/>
      <w:r w:rsidRPr="25189AFA">
        <w:rPr>
          <w:rFonts w:eastAsia="Times New Roman" w:cs="Times New Roman"/>
          <w:szCs w:val="24"/>
        </w:rPr>
        <w:t>Bangladesh</w:t>
      </w:r>
      <w:proofErr w:type="spellEnd"/>
      <w:r w:rsidRPr="25189AFA">
        <w:rPr>
          <w:rFonts w:eastAsia="Times New Roman" w:cs="Times New Roman"/>
          <w:szCs w:val="24"/>
        </w:rPr>
        <w:t xml:space="preserve">” koncertuje się na opisie wpływu warunków pogodowych na możliwość zarażenia się </w:t>
      </w:r>
      <w:proofErr w:type="spellStart"/>
      <w:r w:rsidRPr="25189AFA">
        <w:rPr>
          <w:rFonts w:eastAsia="Times New Roman" w:cs="Times New Roman"/>
          <w:szCs w:val="24"/>
        </w:rPr>
        <w:t>koronawirusem</w:t>
      </w:r>
      <w:proofErr w:type="spellEnd"/>
      <w:r w:rsidRPr="25189AFA">
        <w:rPr>
          <w:rFonts w:eastAsia="Times New Roman" w:cs="Times New Roman"/>
          <w:szCs w:val="24"/>
        </w:rPr>
        <w:t>. Badanie na temat którego powstał wspomniany artykuł powstał na terytorium Bangladeszu. Do jego przeprowadzenia zebrano dane z 43 stacji meteorologicznych z których wyodrębniono informacje na temat kilkunastu parametrów atmosferycznych (maksymalna temperatura dobowa (</w:t>
      </w:r>
      <w:proofErr w:type="spellStart"/>
      <w:r w:rsidRPr="25189AFA">
        <w:rPr>
          <w:rFonts w:eastAsia="Times New Roman" w:cs="Times New Roman"/>
          <w:szCs w:val="24"/>
        </w:rPr>
        <w:t>MaxT</w:t>
      </w:r>
      <w:proofErr w:type="spellEnd"/>
      <w:r w:rsidRPr="25189AFA">
        <w:rPr>
          <w:rFonts w:eastAsia="Times New Roman" w:cs="Times New Roman"/>
          <w:szCs w:val="24"/>
        </w:rPr>
        <w:t>), minimalna temperatura dobowa (</w:t>
      </w:r>
      <w:proofErr w:type="spellStart"/>
      <w:r w:rsidRPr="25189AFA">
        <w:rPr>
          <w:rFonts w:eastAsia="Times New Roman" w:cs="Times New Roman"/>
          <w:szCs w:val="24"/>
        </w:rPr>
        <w:t>MinT</w:t>
      </w:r>
      <w:proofErr w:type="spellEnd"/>
      <w:r w:rsidRPr="25189AFA">
        <w:rPr>
          <w:rFonts w:eastAsia="Times New Roman" w:cs="Times New Roman"/>
          <w:szCs w:val="24"/>
        </w:rPr>
        <w:t>), siła wiatru (WS), wilgotność relatywna (RH), wilgotność absolutna (AH) itp.) dla odpowiadającym im regionów. Na podstawie danych o przypadkach zachorowani na COVID-19 z odpowiadających im obszarów ustalono wskaźnik relatywnego ryzyka (RR), który oceniał prawdopodobieństwo zarażenia się SARS-CoV-2 w określonym dniu.</w:t>
      </w:r>
    </w:p>
    <w:p w14:paraId="7EE3FF39" w14:textId="324F1EE8" w:rsidR="13E1953B" w:rsidRDefault="13E1953B" w:rsidP="00035F45">
      <w:pPr>
        <w:spacing w:line="360" w:lineRule="auto"/>
        <w:ind w:firstLine="708"/>
      </w:pPr>
      <w:r w:rsidRPr="25189AFA">
        <w:rPr>
          <w:rFonts w:eastAsia="Times New Roman" w:cs="Times New Roman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35C3A429" wp14:editId="107EDD4A">
            <wp:extent cx="5753098" cy="3152775"/>
            <wp:effectExtent l="0" t="0" r="0" b="0"/>
            <wp:docPr id="1810246365" name="Picture 1810246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2463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189AFA">
        <w:rPr>
          <w:rFonts w:eastAsia="Times New Roman" w:cs="Times New Roman"/>
          <w:i/>
          <w:iCs/>
          <w:szCs w:val="24"/>
        </w:rPr>
        <w:t xml:space="preserve">Rysunek 3. Wskaźnik RR dla wybranych zmiennych meteorologicznych (opóźnienie 14 dniowe) </w:t>
      </w:r>
    </w:p>
    <w:p w14:paraId="2924A905" w14:textId="2A40E90E" w:rsidR="13E1953B" w:rsidRDefault="13E1953B" w:rsidP="25189AFA">
      <w:pPr>
        <w:spacing w:line="360" w:lineRule="auto"/>
        <w:ind w:firstLine="708"/>
      </w:pPr>
      <w:r w:rsidRPr="25189AFA">
        <w:rPr>
          <w:rFonts w:eastAsia="Times New Roman" w:cs="Times New Roman"/>
          <w:szCs w:val="24"/>
        </w:rPr>
        <w:t>Wyniki wykazały, że minimalna (</w:t>
      </w:r>
      <w:proofErr w:type="spellStart"/>
      <w:r w:rsidRPr="25189AFA">
        <w:rPr>
          <w:rFonts w:eastAsia="Times New Roman" w:cs="Times New Roman"/>
          <w:szCs w:val="24"/>
        </w:rPr>
        <w:t>MinT</w:t>
      </w:r>
      <w:proofErr w:type="spellEnd"/>
      <w:r w:rsidRPr="25189AFA">
        <w:rPr>
          <w:rFonts w:eastAsia="Times New Roman" w:cs="Times New Roman"/>
          <w:szCs w:val="24"/>
        </w:rPr>
        <w:t xml:space="preserve">) i średnia temperatura, prędkość wiatru (WS), wilgotność względna (RH) i wilgotność bezwzględna (AH) miały znaczącą dodatnią korelację z liczbą potwierdzonych przypadków COVID-19. Najwyższe wartości RR odnotowano m.in. dla wartości </w:t>
      </w:r>
      <w:proofErr w:type="spellStart"/>
      <w:r w:rsidRPr="25189AFA">
        <w:rPr>
          <w:rFonts w:eastAsia="Times New Roman" w:cs="Times New Roman"/>
          <w:szCs w:val="24"/>
        </w:rPr>
        <w:t>MinT</w:t>
      </w:r>
      <w:proofErr w:type="spellEnd"/>
      <w:r w:rsidRPr="25189AFA">
        <w:rPr>
          <w:rFonts w:eastAsia="Times New Roman" w:cs="Times New Roman"/>
          <w:szCs w:val="24"/>
        </w:rPr>
        <w:t xml:space="preserve"> = 18 °C, WS = 21 km/h oraz RH = 46%, AH = 23 g/m3. Ogólnym wnioskiem płynącym z badania jest fakt o głębokim wpływie czynników meteorologicznych na transmisję SARS-CoV-2. </w:t>
      </w:r>
      <w:r w:rsidR="0016273A">
        <w:rPr>
          <w:rStyle w:val="Odwoanieprzypisudolnego"/>
          <w:rFonts w:eastAsia="Times New Roman" w:cs="Times New Roman"/>
          <w:szCs w:val="24"/>
        </w:rPr>
        <w:footnoteReference w:id="4"/>
      </w:r>
    </w:p>
    <w:p w14:paraId="0B9C179C" w14:textId="77F6F5B5" w:rsidR="13E1953B" w:rsidRDefault="13E1953B" w:rsidP="25189AFA">
      <w:pPr>
        <w:spacing w:line="360" w:lineRule="auto"/>
        <w:ind w:firstLine="708"/>
        <w:rPr>
          <w:rFonts w:eastAsia="Times New Roman" w:cs="Times New Roman"/>
          <w:szCs w:val="24"/>
        </w:rPr>
      </w:pPr>
      <w:r w:rsidRPr="25189AFA">
        <w:rPr>
          <w:rFonts w:eastAsia="Times New Roman" w:cs="Times New Roman"/>
          <w:szCs w:val="24"/>
        </w:rPr>
        <w:t>Głęboką zależność pomiędzy czynnikami meteorologicznymi a liczbą zachorowani na COVID-19 można wnioskować również biorąc pod uwagę dane z terenu Polski. Podczas okresu letniego, z przeważającą ilością dni z temperaturą maksymalną powyżej 20 °C, odnotowanych zostało znacznie mniej nowych dziennych zachorowani na COVID-19 w porównaniu z okresem jesienno-zimowym.</w:t>
      </w:r>
      <w:r w:rsidR="0016273A">
        <w:rPr>
          <w:rStyle w:val="Odwoanieprzypisudolnego"/>
          <w:rFonts w:eastAsia="Times New Roman" w:cs="Times New Roman"/>
          <w:szCs w:val="24"/>
        </w:rPr>
        <w:footnoteReference w:id="5"/>
      </w:r>
    </w:p>
    <w:p w14:paraId="583D211B" w14:textId="20FC9CDD" w:rsidR="0016273A" w:rsidRDefault="0016273A" w:rsidP="25189AFA">
      <w:pPr>
        <w:spacing w:line="360" w:lineRule="auto"/>
        <w:ind w:firstLine="708"/>
        <w:rPr>
          <w:rFonts w:eastAsia="Times New Roman" w:cs="Times New Roman"/>
          <w:szCs w:val="24"/>
        </w:rPr>
      </w:pPr>
    </w:p>
    <w:p w14:paraId="470088E9" w14:textId="31187031" w:rsidR="0016273A" w:rsidRDefault="0016273A" w:rsidP="25189AFA">
      <w:pPr>
        <w:spacing w:line="360" w:lineRule="auto"/>
        <w:ind w:firstLine="708"/>
        <w:rPr>
          <w:rFonts w:eastAsia="Times New Roman" w:cs="Times New Roman"/>
          <w:szCs w:val="24"/>
        </w:rPr>
      </w:pPr>
    </w:p>
    <w:p w14:paraId="33392A0C" w14:textId="560E2257" w:rsidR="0016273A" w:rsidRDefault="0016273A" w:rsidP="00CA3F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2F5496"/>
          <w:sz w:val="32"/>
          <w:szCs w:val="32"/>
        </w:rPr>
      </w:pPr>
    </w:p>
    <w:p w14:paraId="77484E00" w14:textId="77777777" w:rsidR="00035F45" w:rsidRDefault="00035F45" w:rsidP="00CA3F6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2F5496"/>
          <w:sz w:val="32"/>
          <w:szCs w:val="32"/>
        </w:rPr>
      </w:pPr>
    </w:p>
    <w:p w14:paraId="30878BB4" w14:textId="1819DCD2" w:rsidR="00CA3F6A" w:rsidRDefault="00CA3F6A" w:rsidP="00CA3F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Theme="majorEastAsia"/>
          <w:b/>
          <w:bCs/>
          <w:color w:val="2F5496"/>
          <w:sz w:val="32"/>
          <w:szCs w:val="32"/>
        </w:rPr>
      </w:pPr>
      <w:r>
        <w:rPr>
          <w:rStyle w:val="normaltextrun"/>
          <w:b/>
          <w:bCs/>
          <w:color w:val="2F5496"/>
          <w:sz w:val="32"/>
          <w:szCs w:val="32"/>
        </w:rPr>
        <w:lastRenderedPageBreak/>
        <w:t>Analiza danych</w:t>
      </w:r>
      <w:r w:rsidRPr="0006593E">
        <w:rPr>
          <w:rStyle w:val="eop"/>
          <w:rFonts w:eastAsiaTheme="majorEastAsia"/>
          <w:b/>
          <w:bCs/>
          <w:color w:val="2F5496"/>
          <w:sz w:val="32"/>
          <w:szCs w:val="32"/>
        </w:rPr>
        <w:t> </w:t>
      </w:r>
    </w:p>
    <w:p w14:paraId="5B074BC9" w14:textId="77777777" w:rsidR="00CA3F6A" w:rsidRPr="0006593E" w:rsidRDefault="00CA3F6A" w:rsidP="00CA3F6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Theme="majorEastAsia"/>
          <w:b/>
          <w:bCs/>
          <w:color w:val="2F5496"/>
          <w:sz w:val="32"/>
          <w:szCs w:val="32"/>
        </w:rPr>
      </w:pPr>
    </w:p>
    <w:p w14:paraId="41F33E3A" w14:textId="77777777" w:rsidR="00CA3F6A" w:rsidRDefault="00CA3F6A" w:rsidP="00CA3F6A">
      <w:pPr>
        <w:spacing w:after="120" w:line="360" w:lineRule="auto"/>
        <w:ind w:firstLine="708"/>
      </w:pPr>
      <w:r>
        <w:t xml:space="preserve">Dane użyte w dalszej części raportu pochodzą z serwisu internetowego stworzonego przez </w:t>
      </w:r>
      <w:proofErr w:type="spellStart"/>
      <w:r>
        <w:t>Centers</w:t>
      </w:r>
      <w:proofErr w:type="spellEnd"/>
      <w:r>
        <w:t xml:space="preserve"> for </w:t>
      </w:r>
      <w:proofErr w:type="spellStart"/>
      <w:r>
        <w:t>Disease</w:t>
      </w:r>
      <w:proofErr w:type="spellEnd"/>
      <w:r>
        <w:t xml:space="preserve"> Control and </w:t>
      </w:r>
      <w:proofErr w:type="spellStart"/>
      <w:r>
        <w:t>Prevention</w:t>
      </w:r>
      <w:proofErr w:type="spellEnd"/>
      <w:r>
        <w:t xml:space="preserve"> (CDC), instytucję publiczną wchodzącą w skład Departamentu Zdrowia Stanów Zjednoczonych. Zawieją one informację na temat wszystkich odnotowanych przypadków COVID-19 na terenie USA, w sumie ponad 8 milionów obserwacji. Dane w całości pochodzą z roku 2020.</w:t>
      </w:r>
    </w:p>
    <w:p w14:paraId="2BA7199A" w14:textId="77777777" w:rsidR="00CA3F6A" w:rsidRDefault="00CA3F6A" w:rsidP="00CA3F6A">
      <w:pPr>
        <w:spacing w:after="120" w:line="360" w:lineRule="auto"/>
        <w:ind w:firstLine="708"/>
      </w:pPr>
      <w:r>
        <w:t>By zapewnić szybszą kalkulację obliczeń oraz klarowność w formułowaniu wniosków postanowiono odrzucić obserwacje posiadające brakujące/zagubione dane. W wyniku takiej eliminacji otrzymaliśmy dane dla ponad 425 tysięcy obserwacji. Taka ilość umożliwia prowadzenie dalszych analiz nad wybranym zbiorem danych.</w:t>
      </w:r>
    </w:p>
    <w:p w14:paraId="675510EA" w14:textId="6E20B61A" w:rsidR="00CA3F6A" w:rsidRPr="0016273A" w:rsidRDefault="00CA3F6A" w:rsidP="0016273A">
      <w:pPr>
        <w:spacing w:after="120" w:line="360" w:lineRule="auto"/>
        <w:ind w:firstLine="708"/>
        <w:rPr>
          <w:rStyle w:val="normaltextrun"/>
        </w:rPr>
      </w:pPr>
      <w:r>
        <w:t>Zgodnie z przytoczoną na wstępie literaturą wybrano 8 zmiennych objaśniających możliwy przebieg choroby COVID-19 (zakończenie wyzdrowieniem lub zgonem). Ich opis oraz przyjmowane wartości znajdują się w poniższej tabeli:</w:t>
      </w:r>
    </w:p>
    <w:p w14:paraId="4576D2AD" w14:textId="77777777" w:rsidR="00CA3F6A" w:rsidRDefault="00CA3F6A" w:rsidP="00CA3F6A">
      <w:pPr>
        <w:spacing w:after="120" w:line="360" w:lineRule="auto"/>
        <w:jc w:val="center"/>
      </w:pPr>
      <w:r>
        <w:rPr>
          <w:rStyle w:val="normaltextrun"/>
          <w:i/>
          <w:iCs/>
        </w:rPr>
        <w:t>Tabela</w:t>
      </w:r>
      <w:r w:rsidRPr="0006593E">
        <w:rPr>
          <w:rStyle w:val="normaltextrun"/>
          <w:i/>
          <w:iCs/>
        </w:rPr>
        <w:t xml:space="preserve"> </w:t>
      </w:r>
      <w:r>
        <w:rPr>
          <w:rStyle w:val="normaltextrun"/>
          <w:i/>
          <w:iCs/>
        </w:rPr>
        <w:t>1</w:t>
      </w:r>
      <w:r w:rsidRPr="0006593E">
        <w:rPr>
          <w:rStyle w:val="normaltextrun"/>
          <w:i/>
          <w:iCs/>
        </w:rPr>
        <w:t>.</w:t>
      </w:r>
      <w:r>
        <w:rPr>
          <w:rStyle w:val="normaltextrun"/>
          <w:i/>
          <w:iCs/>
        </w:rPr>
        <w:t xml:space="preserve"> Wykorzystane zmienne wraz z ich opisem</w:t>
      </w:r>
    </w:p>
    <w:p w14:paraId="7A7CFF60" w14:textId="266ACB2E" w:rsidR="00CA3F6A" w:rsidRDefault="00CA3F6A" w:rsidP="0016273A">
      <w:pPr>
        <w:spacing w:after="120" w:line="360" w:lineRule="auto"/>
        <w:jc w:val="center"/>
      </w:pPr>
      <w:r w:rsidRPr="0035359B">
        <w:drawing>
          <wp:inline distT="0" distB="0" distL="0" distR="0" wp14:anchorId="4658627B" wp14:editId="6BA14F44">
            <wp:extent cx="5369930" cy="4692770"/>
            <wp:effectExtent l="0" t="0" r="254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259" cy="471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9A6E3" w14:textId="6A636379" w:rsidR="00CA3F6A" w:rsidRDefault="00CA3F6A" w:rsidP="00CA3F6A">
      <w:pPr>
        <w:pStyle w:val="Nagwek1"/>
        <w:spacing w:before="0" w:line="360" w:lineRule="auto"/>
        <w:jc w:val="center"/>
        <w:rPr>
          <w:rFonts w:eastAsiaTheme="minorHAnsi" w:cstheme="minorBidi"/>
          <w:b w:val="0"/>
          <w:i/>
          <w:iCs/>
          <w:color w:val="auto"/>
          <w:sz w:val="24"/>
          <w:szCs w:val="22"/>
        </w:rPr>
      </w:pPr>
      <w:bookmarkStart w:id="4" w:name="_Toc58614420"/>
      <w:r>
        <w:rPr>
          <w:rFonts w:eastAsiaTheme="minorHAnsi" w:cstheme="minorBidi"/>
          <w:b w:val="0"/>
          <w:i/>
          <w:iCs/>
          <w:color w:val="auto"/>
          <w:sz w:val="24"/>
          <w:szCs w:val="22"/>
        </w:rPr>
        <w:lastRenderedPageBreak/>
        <w:t xml:space="preserve">Tabela </w:t>
      </w:r>
      <w:r>
        <w:rPr>
          <w:rFonts w:eastAsiaTheme="minorHAnsi" w:cstheme="minorBidi"/>
          <w:b w:val="0"/>
          <w:i/>
          <w:iCs/>
          <w:color w:val="auto"/>
          <w:sz w:val="24"/>
          <w:szCs w:val="22"/>
        </w:rPr>
        <w:t>2</w:t>
      </w:r>
      <w:r>
        <w:rPr>
          <w:rFonts w:eastAsiaTheme="minorHAnsi" w:cstheme="minorBidi"/>
          <w:b w:val="0"/>
          <w:i/>
          <w:iCs/>
          <w:color w:val="auto"/>
          <w:sz w:val="24"/>
          <w:szCs w:val="22"/>
        </w:rPr>
        <w:t>. Podsumowanie zmiennych</w:t>
      </w:r>
      <w:bookmarkEnd w:id="4"/>
    </w:p>
    <w:p w14:paraId="139CC9AD" w14:textId="77777777" w:rsidR="00CA3F6A" w:rsidRDefault="00CA3F6A" w:rsidP="00CA3F6A">
      <w:pPr>
        <w:jc w:val="center"/>
      </w:pPr>
      <w:r>
        <w:rPr>
          <w:noProof/>
        </w:rPr>
        <w:drawing>
          <wp:inline distT="0" distB="0" distL="0" distR="0" wp14:anchorId="51E46CE0" wp14:editId="6E0208D0">
            <wp:extent cx="3880400" cy="4479008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428" cy="450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0AA4" w14:textId="77777777" w:rsidR="00CA3F6A" w:rsidRDefault="00CA3F6A" w:rsidP="00CA3F6A">
      <w:pPr>
        <w:spacing w:after="120" w:line="360" w:lineRule="auto"/>
      </w:pPr>
    </w:p>
    <w:p w14:paraId="391F0A65" w14:textId="77777777" w:rsidR="00CA3F6A" w:rsidRDefault="00CA3F6A" w:rsidP="00CA3F6A">
      <w:pPr>
        <w:spacing w:after="120" w:line="360" w:lineRule="auto"/>
        <w:ind w:firstLine="708"/>
      </w:pPr>
      <w:r>
        <w:t>Do zilustrowania informacji na temat pacjentów znajdujących się w badanej próbie wykorzystano poniższy wykres oraz tabele:</w:t>
      </w:r>
    </w:p>
    <w:p w14:paraId="76DE9011" w14:textId="77777777" w:rsidR="00CA3F6A" w:rsidRDefault="00CA3F6A" w:rsidP="00CA3F6A">
      <w:pPr>
        <w:spacing w:after="120" w:line="360" w:lineRule="auto"/>
        <w:ind w:firstLine="708"/>
      </w:pPr>
    </w:p>
    <w:p w14:paraId="5349D20A" w14:textId="77777777" w:rsidR="00CA3F6A" w:rsidRDefault="00CA3F6A" w:rsidP="00CA3F6A">
      <w:pPr>
        <w:spacing w:after="120" w:line="360" w:lineRule="auto"/>
      </w:pPr>
      <w:r>
        <w:rPr>
          <w:noProof/>
        </w:rPr>
        <w:drawing>
          <wp:inline distT="0" distB="0" distL="0" distR="0" wp14:anchorId="32940FDF" wp14:editId="7531B334">
            <wp:extent cx="5760720" cy="2230120"/>
            <wp:effectExtent l="0" t="0" r="11430" b="17780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48BBAF99-1948-4E6B-861F-A7FC59A1E7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1E07F68" w14:textId="6A0177B4" w:rsidR="00CA3F6A" w:rsidRPr="0016273A" w:rsidRDefault="00CA3F6A" w:rsidP="0016273A">
      <w:pPr>
        <w:pStyle w:val="paragraph"/>
        <w:spacing w:before="0" w:beforeAutospacing="0" w:after="0" w:afterAutospacing="0"/>
        <w:jc w:val="center"/>
        <w:textAlignment w:val="baseline"/>
        <w:rPr>
          <w:i/>
          <w:iCs/>
        </w:rPr>
      </w:pPr>
      <w:r w:rsidRPr="0006593E">
        <w:rPr>
          <w:rStyle w:val="normaltextrun"/>
          <w:i/>
          <w:iCs/>
        </w:rPr>
        <w:t xml:space="preserve">Rysunek </w:t>
      </w:r>
      <w:r>
        <w:rPr>
          <w:rStyle w:val="normaltextrun"/>
          <w:i/>
          <w:iCs/>
        </w:rPr>
        <w:t>4</w:t>
      </w:r>
      <w:r w:rsidRPr="0006593E">
        <w:rPr>
          <w:rStyle w:val="normaltextrun"/>
          <w:i/>
          <w:iCs/>
        </w:rPr>
        <w:t xml:space="preserve">. </w:t>
      </w:r>
      <w:r>
        <w:rPr>
          <w:rStyle w:val="normaltextrun"/>
          <w:i/>
          <w:iCs/>
        </w:rPr>
        <w:t xml:space="preserve">Ilość pacjentów z wyróżnieniem płci w różnych grupach wiekowych  </w:t>
      </w:r>
      <w:r w:rsidRPr="0006593E">
        <w:rPr>
          <w:rStyle w:val="normaltextrun"/>
          <w:i/>
          <w:iCs/>
        </w:rPr>
        <w:t xml:space="preserve"> </w:t>
      </w:r>
    </w:p>
    <w:p w14:paraId="1C84782C" w14:textId="57AB214B" w:rsidR="00CA3F6A" w:rsidRDefault="00CA3F6A" w:rsidP="00CA3F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i/>
          <w:iCs/>
        </w:rPr>
      </w:pPr>
      <w:r>
        <w:rPr>
          <w:rStyle w:val="normaltextrun"/>
          <w:i/>
          <w:iCs/>
        </w:rPr>
        <w:lastRenderedPageBreak/>
        <w:t xml:space="preserve">Tabela </w:t>
      </w:r>
      <w:r>
        <w:rPr>
          <w:rStyle w:val="normaltextrun"/>
          <w:i/>
          <w:iCs/>
        </w:rPr>
        <w:t>3</w:t>
      </w:r>
      <w:r w:rsidRPr="0006593E">
        <w:rPr>
          <w:rStyle w:val="normaltextrun"/>
          <w:i/>
          <w:iCs/>
        </w:rPr>
        <w:t xml:space="preserve">. </w:t>
      </w:r>
      <w:r>
        <w:rPr>
          <w:rStyle w:val="normaltextrun"/>
          <w:i/>
          <w:iCs/>
        </w:rPr>
        <w:t xml:space="preserve">Ilość pacjentów z wyróżnieniem płci w grupach rasowo-etnicznych  </w:t>
      </w:r>
      <w:r w:rsidRPr="0006593E">
        <w:rPr>
          <w:rStyle w:val="normaltextrun"/>
          <w:i/>
          <w:iCs/>
        </w:rPr>
        <w:t xml:space="preserve"> </w:t>
      </w:r>
    </w:p>
    <w:p w14:paraId="2102FD17" w14:textId="77777777" w:rsidR="00CA3F6A" w:rsidRPr="001B62FF" w:rsidRDefault="00CA3F6A" w:rsidP="00CA3F6A">
      <w:pPr>
        <w:pStyle w:val="paragraph"/>
        <w:spacing w:before="0" w:beforeAutospacing="0" w:after="0" w:afterAutospacing="0"/>
        <w:jc w:val="center"/>
        <w:textAlignment w:val="baseline"/>
        <w:rPr>
          <w:i/>
          <w:iCs/>
        </w:rPr>
      </w:pPr>
    </w:p>
    <w:p w14:paraId="0AB42251" w14:textId="77777777" w:rsidR="00CA3F6A" w:rsidRDefault="00CA3F6A" w:rsidP="00CA3F6A">
      <w:pPr>
        <w:spacing w:after="120" w:line="360" w:lineRule="auto"/>
        <w:jc w:val="center"/>
      </w:pPr>
      <w:r w:rsidRPr="001B62FF">
        <w:drawing>
          <wp:inline distT="0" distB="0" distL="0" distR="0" wp14:anchorId="0EB4BFE4" wp14:editId="473233D1">
            <wp:extent cx="3888673" cy="3906317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873" cy="391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316D" w14:textId="77777777" w:rsidR="00CA3F6A" w:rsidRDefault="00CA3F6A" w:rsidP="00CA3F6A">
      <w:pPr>
        <w:spacing w:after="120" w:line="360" w:lineRule="auto"/>
      </w:pPr>
    </w:p>
    <w:p w14:paraId="0FBF1CDF" w14:textId="3C4E5CF5" w:rsidR="00D26619" w:rsidRDefault="00CA3F6A" w:rsidP="00CA3F6A">
      <w:pPr>
        <w:spacing w:after="120" w:line="360" w:lineRule="auto"/>
        <w:ind w:firstLine="708"/>
      </w:pPr>
      <w:r>
        <w:t xml:space="preserve">Najliczniejszą grupę pacjentów stanowią osoby z białym kolorem skóry będące między 30 a 60 rokiem życia. Grupą etniczną, dla której uzyskano najmniej danych stanowią natywni amerykanie. Liczba kobiet i  mężczyzn jest porównywalna, choć z przewagą liczby kobiet. </w:t>
      </w:r>
      <w:bookmarkEnd w:id="1"/>
    </w:p>
    <w:p w14:paraId="2550E744" w14:textId="77777777" w:rsidR="00CA3F6A" w:rsidRPr="00CA3F6A" w:rsidRDefault="00CA3F6A" w:rsidP="00CA3F6A">
      <w:pPr>
        <w:spacing w:after="120" w:line="360" w:lineRule="auto"/>
        <w:ind w:firstLine="708"/>
      </w:pPr>
    </w:p>
    <w:p w14:paraId="6F0D6E08" w14:textId="4D45F46F" w:rsidR="002B60AA" w:rsidRDefault="0093081A" w:rsidP="00952D63">
      <w:pPr>
        <w:pStyle w:val="Nagwek1"/>
        <w:spacing w:before="0" w:line="360" w:lineRule="auto"/>
      </w:pPr>
      <w:bookmarkStart w:id="5" w:name="_Toc58614421"/>
      <w:r>
        <w:t>Wybór modelu</w:t>
      </w:r>
      <w:bookmarkEnd w:id="5"/>
    </w:p>
    <w:p w14:paraId="6F0D6E09" w14:textId="2BC4E163" w:rsidR="002B60AA" w:rsidRDefault="00E930D8" w:rsidP="00DC71AE">
      <w:pPr>
        <w:spacing w:line="360" w:lineRule="auto"/>
      </w:pPr>
      <w:r>
        <w:tab/>
      </w:r>
      <w:r w:rsidR="0093081A">
        <w:t xml:space="preserve">Ze względu na </w:t>
      </w:r>
      <w:r w:rsidR="008204E0">
        <w:t xml:space="preserve">dwumianową </w:t>
      </w:r>
      <w:r w:rsidR="0019500A">
        <w:t xml:space="preserve">zmienną objaśnianą </w:t>
      </w:r>
      <w:r w:rsidR="008204E0">
        <w:t xml:space="preserve">odrzucone zostały modele liniowe </w:t>
      </w:r>
      <w:r w:rsidR="0019500A">
        <w:br/>
      </w:r>
      <w:r w:rsidR="008204E0">
        <w:t>w których wynik estymacji w takich przypadkach</w:t>
      </w:r>
      <w:r w:rsidR="0020102F">
        <w:t xml:space="preserve"> </w:t>
      </w:r>
      <w:r w:rsidR="00AD6690">
        <w:t xml:space="preserve">nie nadaje się dobrze do </w:t>
      </w:r>
      <w:r w:rsidR="00FB1CA1">
        <w:t xml:space="preserve">reprezentowania związku między zmienną </w:t>
      </w:r>
      <w:r w:rsidR="00C26482">
        <w:t>objaśnianą</w:t>
      </w:r>
      <w:r w:rsidR="00FB1CA1">
        <w:t xml:space="preserve"> a </w:t>
      </w:r>
      <w:r w:rsidR="00D47DF2">
        <w:t>wielkością prawdopodobieńst</w:t>
      </w:r>
      <w:r w:rsidR="00C26482">
        <w:t xml:space="preserve">wa. Ze względu </w:t>
      </w:r>
      <w:r w:rsidR="0019500A">
        <w:br/>
      </w:r>
      <w:r w:rsidR="00C26482">
        <w:t xml:space="preserve">na </w:t>
      </w:r>
      <w:r w:rsidR="00AA262F">
        <w:t xml:space="preserve">minimalnie </w:t>
      </w:r>
      <w:r w:rsidR="00C26482">
        <w:t xml:space="preserve">lepsze miary </w:t>
      </w:r>
      <w:r w:rsidR="00255706">
        <w:t>dopasowania</w:t>
      </w:r>
      <w:r w:rsidR="00C26482">
        <w:t xml:space="preserve"> w </w:t>
      </w:r>
      <w:r w:rsidR="00255706">
        <w:t>pierwszych (roboczych)</w:t>
      </w:r>
      <w:r w:rsidR="006B63DF">
        <w:t xml:space="preserve"> dla modelu </w:t>
      </w:r>
      <w:proofErr w:type="spellStart"/>
      <w:r w:rsidR="006B63DF">
        <w:t>logitowe</w:t>
      </w:r>
      <w:r w:rsidR="009B10E7">
        <w:t>go</w:t>
      </w:r>
      <w:proofErr w:type="spellEnd"/>
      <w:r w:rsidR="009B10E7">
        <w:t xml:space="preserve"> </w:t>
      </w:r>
      <w:r w:rsidR="0019500A">
        <w:t>względem</w:t>
      </w:r>
      <w:r w:rsidR="009B10E7">
        <w:t xml:space="preserve"> </w:t>
      </w:r>
      <w:proofErr w:type="spellStart"/>
      <w:r w:rsidR="009B10E7">
        <w:t>probitowego</w:t>
      </w:r>
      <w:proofErr w:type="spellEnd"/>
      <w:r w:rsidR="00255706">
        <w:t xml:space="preserve"> do dalszej estymacji oraz analizy wybrany został model </w:t>
      </w:r>
      <w:proofErr w:type="spellStart"/>
      <w:r w:rsidR="00255706">
        <w:t>logitowy</w:t>
      </w:r>
      <w:proofErr w:type="spellEnd"/>
      <w:r w:rsidR="00255706">
        <w:t>.</w:t>
      </w:r>
    </w:p>
    <w:p w14:paraId="3B0769F5" w14:textId="77777777" w:rsidR="00CA3F6A" w:rsidRDefault="00CA3F6A" w:rsidP="00DC71AE">
      <w:pPr>
        <w:spacing w:line="360" w:lineRule="auto"/>
      </w:pPr>
    </w:p>
    <w:p w14:paraId="6F513E2D" w14:textId="1A8C328D" w:rsidR="00E45FB2" w:rsidRDefault="005202CA" w:rsidP="00E45FB2">
      <w:pPr>
        <w:pStyle w:val="Nagwek1"/>
        <w:spacing w:before="0" w:line="360" w:lineRule="auto"/>
      </w:pPr>
      <w:bookmarkStart w:id="6" w:name="_Toc58614422"/>
      <w:r w:rsidRPr="005202CA">
        <w:lastRenderedPageBreak/>
        <w:t>Prezentacja</w:t>
      </w:r>
      <w:r w:rsidR="00582183">
        <w:t xml:space="preserve"> </w:t>
      </w:r>
      <w:r w:rsidRPr="005202CA">
        <w:t>wyników i ich interpretacja</w:t>
      </w:r>
      <w:bookmarkEnd w:id="6"/>
    </w:p>
    <w:p w14:paraId="273B8097" w14:textId="555A25FB" w:rsidR="00E53C92" w:rsidRPr="00E53C92" w:rsidRDefault="00886B8B" w:rsidP="0016273A">
      <w:pPr>
        <w:pStyle w:val="Nagwek2"/>
        <w:spacing w:before="0" w:line="360" w:lineRule="auto"/>
      </w:pPr>
      <w:bookmarkStart w:id="7" w:name="_Toc58614423"/>
      <w:r>
        <w:t>Estymacja</w:t>
      </w:r>
      <w:bookmarkEnd w:id="7"/>
    </w:p>
    <w:p w14:paraId="3D851FA6" w14:textId="72C14678" w:rsidR="00E93D23" w:rsidRDefault="005D4148" w:rsidP="00CA3F6A">
      <w:pPr>
        <w:spacing w:line="360" w:lineRule="auto"/>
      </w:pPr>
      <w:r>
        <w:tab/>
        <w:t>Po przeprowadzonej estymacji uzyskano poniższe wyniki.</w:t>
      </w:r>
      <w:r w:rsidR="008B79E9">
        <w:t xml:space="preserve"> Jak można zauważyć zmienne age9 </w:t>
      </w:r>
      <w:r w:rsidR="00F106A9">
        <w:t xml:space="preserve">oznaczająca przedział wiekowy </w:t>
      </w:r>
      <w:r w:rsidR="00684901">
        <w:t>80+</w:t>
      </w:r>
      <w:r w:rsidR="00F106A9">
        <w:t xml:space="preserve"> lat </w:t>
      </w:r>
      <w:r w:rsidR="008B79E9">
        <w:t>oraz race7</w:t>
      </w:r>
      <w:r w:rsidR="00F106A9">
        <w:t xml:space="preserve"> oznaczający rasę</w:t>
      </w:r>
      <w:r w:rsidR="00604754">
        <w:t xml:space="preserve">: </w:t>
      </w:r>
      <w:proofErr w:type="spellStart"/>
      <w:r w:rsidR="00604754">
        <w:t>white</w:t>
      </w:r>
      <w:proofErr w:type="spellEnd"/>
      <w:r w:rsidR="00604754">
        <w:t>/ non-</w:t>
      </w:r>
      <w:proofErr w:type="spellStart"/>
      <w:r w:rsidR="00604754">
        <w:t>hispanic</w:t>
      </w:r>
      <w:proofErr w:type="spellEnd"/>
      <w:r w:rsidR="00604754">
        <w:t xml:space="preserve"> zostały pominięte ze względu na </w:t>
      </w:r>
      <w:r w:rsidR="00533B5A">
        <w:t>współliniowość zmiennych.</w:t>
      </w:r>
      <w:r w:rsidR="00A67023">
        <w:t xml:space="preserve"> Wynika to z </w:t>
      </w:r>
      <w:r w:rsidR="00DA6C5B">
        <w:t xml:space="preserve">zmiany zmiennych jakościowych o wielu kategoriach na zmienne </w:t>
      </w:r>
      <w:r w:rsidR="009F2D8B">
        <w:t>zero</w:t>
      </w:r>
      <w:r w:rsidR="00F43BF7">
        <w:t>-</w:t>
      </w:r>
      <w:r w:rsidR="009F2D8B">
        <w:t xml:space="preserve">jedynkowe. </w:t>
      </w:r>
      <w:r w:rsidR="009704AD">
        <w:t xml:space="preserve">Gdy zmienna nie należy do żadnej </w:t>
      </w:r>
      <w:r w:rsidR="00976316">
        <w:t xml:space="preserve">z pierwszych </w:t>
      </w:r>
      <w:r w:rsidR="00942804">
        <w:t xml:space="preserve">kategorii </w:t>
      </w:r>
      <w:r w:rsidR="00A37EC4">
        <w:t>to na pewn</w:t>
      </w:r>
      <w:r w:rsidR="00C26CF5">
        <w:t xml:space="preserve">o należy do ostatniej. Dlatego </w:t>
      </w:r>
      <w:r w:rsidR="00381FE5">
        <w:t xml:space="preserve">współliniowość w tym przypadku nie </w:t>
      </w:r>
      <w:r w:rsidR="00750315">
        <w:t xml:space="preserve">wpływa negatywnie na </w:t>
      </w:r>
      <w:r w:rsidR="00E93D23">
        <w:t xml:space="preserve">estymacje modelu. </w:t>
      </w:r>
    </w:p>
    <w:p w14:paraId="5E86F69D" w14:textId="4D63C497" w:rsidR="0016273A" w:rsidRPr="00035F45" w:rsidRDefault="00132739" w:rsidP="00035F45">
      <w:pPr>
        <w:spacing w:line="360" w:lineRule="auto"/>
        <w:ind w:firstLine="708"/>
        <w:rPr>
          <w:noProof/>
        </w:rPr>
      </w:pPr>
      <w:r>
        <w:t xml:space="preserve">Interpretacja wyników została przeprowadzona w </w:t>
      </w:r>
      <w:r w:rsidR="104050D2">
        <w:t>późniejszym</w:t>
      </w:r>
      <w:r>
        <w:t xml:space="preserve"> etapie. Najpierw została </w:t>
      </w:r>
      <w:r w:rsidR="008121C6">
        <w:t>przeprowadzona analiza</w:t>
      </w:r>
      <w:r w:rsidR="00320FD6">
        <w:t xml:space="preserve"> poprawności budowy modelu</w:t>
      </w:r>
      <w:r w:rsidR="00E55889">
        <w:t xml:space="preserve"> aby ocenić czy metoda estymacji </w:t>
      </w:r>
      <w:r w:rsidR="00173C5E">
        <w:t>jest poprawna oraz czy model w sposób zadawalający przewiduje wynik</w:t>
      </w:r>
      <w:r w:rsidR="00320FD6">
        <w:t>i</w:t>
      </w:r>
      <w:r w:rsidR="00886B8B">
        <w:t>.</w:t>
      </w:r>
      <w:bookmarkStart w:id="8" w:name="_Toc58614424"/>
      <w:r w:rsidR="0016273A" w:rsidRPr="0016273A">
        <w:rPr>
          <w:noProof/>
        </w:rPr>
        <w:t xml:space="preserve"> </w:t>
      </w:r>
      <w:bookmarkStart w:id="9" w:name="_Toc58614425"/>
      <w:bookmarkEnd w:id="8"/>
    </w:p>
    <w:p w14:paraId="7099308D" w14:textId="78012041" w:rsidR="00925B66" w:rsidRPr="0016273A" w:rsidRDefault="00925B66" w:rsidP="0016273A">
      <w:pPr>
        <w:spacing w:line="360" w:lineRule="auto"/>
        <w:jc w:val="center"/>
      </w:pPr>
      <w:r>
        <w:rPr>
          <w:i/>
          <w:iCs/>
        </w:rPr>
        <w:t>Tabela</w:t>
      </w:r>
      <w:r w:rsidR="00543553">
        <w:rPr>
          <w:i/>
          <w:iCs/>
        </w:rPr>
        <w:t xml:space="preserve"> </w:t>
      </w:r>
      <w:r w:rsidR="00035F45">
        <w:rPr>
          <w:i/>
          <w:iCs/>
        </w:rPr>
        <w:t>4</w:t>
      </w:r>
      <w:r w:rsidR="00543553">
        <w:rPr>
          <w:i/>
          <w:iCs/>
        </w:rPr>
        <w:t>.</w:t>
      </w:r>
      <w:r>
        <w:rPr>
          <w:i/>
          <w:iCs/>
        </w:rPr>
        <w:t xml:space="preserve"> Wynik estymacji modelu</w:t>
      </w:r>
      <w:bookmarkEnd w:id="9"/>
      <w:r w:rsidR="00035F45">
        <w:rPr>
          <w:noProof/>
        </w:rPr>
        <w:drawing>
          <wp:inline distT="0" distB="0" distL="0" distR="0" wp14:anchorId="5E3F5C9D" wp14:editId="3FD0EEBE">
            <wp:extent cx="4942936" cy="52656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574" cy="528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4135" w14:textId="0408D3D0" w:rsidR="0042705E" w:rsidRDefault="00E87D35" w:rsidP="0042705E">
      <w:pPr>
        <w:pStyle w:val="Nagwek2"/>
        <w:spacing w:before="0" w:line="360" w:lineRule="auto"/>
      </w:pPr>
      <w:bookmarkStart w:id="10" w:name="_Toc58614426"/>
      <w:r>
        <w:lastRenderedPageBreak/>
        <w:t xml:space="preserve">Poprawność </w:t>
      </w:r>
      <w:r w:rsidR="002F7BF5">
        <w:t>modelu</w:t>
      </w:r>
      <w:bookmarkEnd w:id="10"/>
    </w:p>
    <w:p w14:paraId="03993495" w14:textId="759D3469" w:rsidR="0042705E" w:rsidRDefault="0042705E" w:rsidP="00CA3F6A">
      <w:pPr>
        <w:spacing w:line="360" w:lineRule="auto"/>
      </w:pPr>
      <w:r>
        <w:tab/>
        <w:t xml:space="preserve">Pierwszą wartością jaką będziemy </w:t>
      </w:r>
      <w:r w:rsidR="008E06E8">
        <w:t>sprawdzać</w:t>
      </w:r>
      <w:r>
        <w:t xml:space="preserve"> w modelu (</w:t>
      </w:r>
      <w:r w:rsidRPr="00CA3F6A">
        <w:t xml:space="preserve">na podstawie tabeli </w:t>
      </w:r>
      <w:r w:rsidR="00CD596A">
        <w:t>4</w:t>
      </w:r>
      <w:r>
        <w:t>) jest pseudo R2</w:t>
      </w:r>
      <w:r w:rsidR="008E06E8">
        <w:t xml:space="preserve"> czyli dopasowanie zmiennych do modelu</w:t>
      </w:r>
      <w:r>
        <w:t xml:space="preserve">. Wartość 0,54 jest wartością dość wysoką jak na model </w:t>
      </w:r>
      <w:proofErr w:type="spellStart"/>
      <w:r>
        <w:t>mikroekonom</w:t>
      </w:r>
      <w:r w:rsidR="00A97A69">
        <w:t>e</w:t>
      </w:r>
      <w:r>
        <w:t>tryczny</w:t>
      </w:r>
      <w:proofErr w:type="spellEnd"/>
      <w:r>
        <w:t xml:space="preserve">. Może to wynikać z dość szczegółowych danych jakie były użyte do wyjaśnienie zgonów na COVID-19. </w:t>
      </w:r>
      <w:r w:rsidR="002F7BF5">
        <w:t>Wysoki R2 u</w:t>
      </w:r>
      <w:r>
        <w:t>pewnia nas</w:t>
      </w:r>
      <w:r w:rsidR="00A03C61">
        <w:t>,</w:t>
      </w:r>
      <w:r w:rsidR="00B108C7">
        <w:t xml:space="preserve"> </w:t>
      </w:r>
      <w:r w:rsidR="003F35FC">
        <w:t>pokazuje, że pod względem dopasowania model jest poprawny.</w:t>
      </w:r>
      <w:r>
        <w:t xml:space="preserve"> </w:t>
      </w:r>
    </w:p>
    <w:p w14:paraId="4E8BDC41" w14:textId="6B6B4CC4" w:rsidR="002B40B9" w:rsidRDefault="002B40B9" w:rsidP="00CA3F6A">
      <w:pPr>
        <w:spacing w:line="360" w:lineRule="auto"/>
      </w:pPr>
      <w:r>
        <w:tab/>
        <w:t xml:space="preserve">Istotność całego modelu możemy odczytać </w:t>
      </w:r>
      <w:r w:rsidR="00290483">
        <w:t xml:space="preserve"> z zmiennej </w:t>
      </w:r>
      <w:proofErr w:type="spellStart"/>
      <w:r w:rsidR="00290483" w:rsidRPr="00290483">
        <w:t>Prob</w:t>
      </w:r>
      <w:proofErr w:type="spellEnd"/>
      <w:r w:rsidR="00290483" w:rsidRPr="00290483">
        <w:t xml:space="preserve"> &gt;chi2</w:t>
      </w:r>
      <w:r w:rsidR="00290483">
        <w:t xml:space="preserve">. Na tej podstawie można określić, że występuje brak podstaw do odrzucenia hipotezy zerowej mówiącej o </w:t>
      </w:r>
      <w:r w:rsidR="00014463">
        <w:t>nie</w:t>
      </w:r>
      <w:r w:rsidR="00290483">
        <w:t>istotności modelu a co za tym idzie możemy uznać, że model jest istotny na poziomie 95%.</w:t>
      </w:r>
    </w:p>
    <w:p w14:paraId="07A9B0B6" w14:textId="318B0692" w:rsidR="0042705E" w:rsidRDefault="0042705E" w:rsidP="0016273A">
      <w:pPr>
        <w:spacing w:line="360" w:lineRule="auto"/>
      </w:pPr>
      <w:r>
        <w:tab/>
        <w:t xml:space="preserve">Analizując statystyczną istotność poszczególnych zmiennych zauważyć można, że wszystkie zmienne poza zmiennymi: race1 oraz race6 są istotne statystycznie na poziomie istotności </w:t>
      </w:r>
      <w:r w:rsidR="00062140">
        <w:t xml:space="preserve">95%. Można przypuszczać, że brak istotności zmiennych race1 oraz race6 może </w:t>
      </w:r>
      <w:r w:rsidR="00AB5886">
        <w:t>wynikać z tego, że te rasy czyli kolejno:</w:t>
      </w:r>
      <w:r w:rsidR="009F4391">
        <w:t xml:space="preserve"> </w:t>
      </w:r>
      <w:r w:rsidR="004E4C44" w:rsidRPr="00605269">
        <w:t>American Indian/Alaska Native, Non-</w:t>
      </w:r>
      <w:proofErr w:type="spellStart"/>
      <w:r w:rsidR="004E4C44" w:rsidRPr="00605269">
        <w:t>Hispanic</w:t>
      </w:r>
      <w:proofErr w:type="spellEnd"/>
      <w:r w:rsidR="004E4C44" w:rsidRPr="00605269">
        <w:t xml:space="preserve">, </w:t>
      </w:r>
      <w:r w:rsidR="00CE3FFB" w:rsidRPr="00605269">
        <w:t xml:space="preserve">Native </w:t>
      </w:r>
      <w:proofErr w:type="spellStart"/>
      <w:r w:rsidR="00CE3FFB" w:rsidRPr="00605269">
        <w:t>Hawaiian</w:t>
      </w:r>
      <w:proofErr w:type="spellEnd"/>
      <w:r w:rsidR="00CE3FFB" w:rsidRPr="00605269">
        <w:t>/</w:t>
      </w:r>
      <w:proofErr w:type="spellStart"/>
      <w:r w:rsidR="00CE3FFB" w:rsidRPr="00605269">
        <w:t>Other</w:t>
      </w:r>
      <w:proofErr w:type="spellEnd"/>
      <w:r w:rsidR="00CE3FFB" w:rsidRPr="00605269">
        <w:t xml:space="preserve"> Pacific </w:t>
      </w:r>
      <w:proofErr w:type="spellStart"/>
      <w:r w:rsidR="00CE3FFB" w:rsidRPr="00605269">
        <w:t>Islander</w:t>
      </w:r>
      <w:proofErr w:type="spellEnd"/>
      <w:r w:rsidR="00CE3FFB" w:rsidRPr="00605269">
        <w:t>, Non-</w:t>
      </w:r>
      <w:proofErr w:type="spellStart"/>
      <w:r w:rsidR="00CE3FFB" w:rsidRPr="00605269">
        <w:t>Hispanic</w:t>
      </w:r>
      <w:proofErr w:type="spellEnd"/>
      <w:r w:rsidR="00CE3FFB" w:rsidRPr="00605269">
        <w:t xml:space="preserve"> są bardzo małą populacją w próbie</w:t>
      </w:r>
      <w:r w:rsidR="003D035A" w:rsidRPr="00605269">
        <w:t xml:space="preserve"> zaledwie 0,003% oraz 0,006%</w:t>
      </w:r>
      <w:r w:rsidR="00D534E2" w:rsidRPr="00605269">
        <w:t xml:space="preserve">. Jednak ze względu, na </w:t>
      </w:r>
      <w:r w:rsidR="0030037B" w:rsidRPr="00605269">
        <w:t>niosące informacje oraz mały wpływ</w:t>
      </w:r>
      <w:r w:rsidR="007C42B4">
        <w:t xml:space="preserve"> na wyniki estymacji</w:t>
      </w:r>
      <w:r w:rsidR="0030037B" w:rsidRPr="00605269">
        <w:t xml:space="preserve"> (z powodu małej po</w:t>
      </w:r>
      <w:r w:rsidR="00AA5DDE" w:rsidRPr="00605269">
        <w:t>pu</w:t>
      </w:r>
      <w:r w:rsidR="0030037B" w:rsidRPr="00605269">
        <w:t>l</w:t>
      </w:r>
      <w:r w:rsidR="00AA5DDE" w:rsidRPr="00605269">
        <w:t>acji</w:t>
      </w:r>
      <w:r w:rsidR="0030037B" w:rsidRPr="00605269">
        <w:t xml:space="preserve"> w próbie) nie wyrzucamy tych zmiennych z modelu</w:t>
      </w:r>
      <w:r w:rsidR="002E0DE3" w:rsidRPr="00605269">
        <w:t xml:space="preserve"> (mając na względzie ostatnie zalecenia</w:t>
      </w:r>
      <w:r w:rsidR="00B13108" w:rsidRPr="00605269">
        <w:t xml:space="preserve"> </w:t>
      </w:r>
      <w:r w:rsidR="008B1A43" w:rsidRPr="00605269">
        <w:t xml:space="preserve">American Statistical </w:t>
      </w:r>
      <w:proofErr w:type="spellStart"/>
      <w:r w:rsidR="008B1A43" w:rsidRPr="00605269">
        <w:t>Association</w:t>
      </w:r>
      <w:proofErr w:type="spellEnd"/>
      <w:r w:rsidR="00B13108" w:rsidRPr="00605269">
        <w:t>)</w:t>
      </w:r>
      <w:r w:rsidR="008B1A43" w:rsidRPr="00605269">
        <w:t>.</w:t>
      </w:r>
    </w:p>
    <w:p w14:paraId="3D87DEC3" w14:textId="77777777" w:rsidR="0016273A" w:rsidRDefault="0016273A" w:rsidP="0016273A">
      <w:pPr>
        <w:spacing w:line="360" w:lineRule="auto"/>
      </w:pPr>
    </w:p>
    <w:p w14:paraId="6A0233F3" w14:textId="075CA16E" w:rsidR="00886B8B" w:rsidRDefault="00886B8B" w:rsidP="00886B8B">
      <w:pPr>
        <w:pStyle w:val="Nagwek2"/>
        <w:spacing w:before="0" w:line="360" w:lineRule="auto"/>
      </w:pPr>
      <w:bookmarkStart w:id="11" w:name="_Toc58614427"/>
      <w:r>
        <w:t>Tablice trafności</w:t>
      </w:r>
      <w:bookmarkEnd w:id="11"/>
    </w:p>
    <w:p w14:paraId="2741190A" w14:textId="32ECD396" w:rsidR="00CA3F6A" w:rsidRDefault="0005396C" w:rsidP="00CA3F6A">
      <w:pPr>
        <w:spacing w:line="360" w:lineRule="auto"/>
      </w:pPr>
      <w:r>
        <w:tab/>
        <w:t>Ze względu na brak zbilan</w:t>
      </w:r>
      <w:r w:rsidR="0099607A">
        <w:t>sowania próby skonstruowano dwie tablice</w:t>
      </w:r>
      <w:r w:rsidR="00432070">
        <w:t xml:space="preserve"> trafności. Jedną standardową</w:t>
      </w:r>
      <w:r w:rsidR="005A090C">
        <w:t xml:space="preserve"> (punkt odcięcia</w:t>
      </w:r>
      <w:r w:rsidR="007D2489">
        <w:t xml:space="preserve"> 0.5)</w:t>
      </w:r>
      <w:r w:rsidR="00605269">
        <w:t xml:space="preserve"> </w:t>
      </w:r>
      <w:r w:rsidR="00605269" w:rsidRPr="00CA3F6A">
        <w:t xml:space="preserve">(Tabela </w:t>
      </w:r>
      <w:r w:rsidR="00F13DA5">
        <w:t>5</w:t>
      </w:r>
      <w:r w:rsidR="00605269" w:rsidRPr="00CA3F6A">
        <w:t>)</w:t>
      </w:r>
      <w:r w:rsidR="00605269">
        <w:t xml:space="preserve">  </w:t>
      </w:r>
      <w:r w:rsidR="00432070">
        <w:t xml:space="preserve">a drugą </w:t>
      </w:r>
      <w:r w:rsidR="00C549D6">
        <w:t xml:space="preserve">według zasady </w:t>
      </w:r>
      <w:proofErr w:type="spellStart"/>
      <w:r w:rsidR="00C549D6">
        <w:t>Cramera</w:t>
      </w:r>
      <w:proofErr w:type="spellEnd"/>
      <w:r w:rsidR="00605269">
        <w:t xml:space="preserve"> </w:t>
      </w:r>
      <w:r w:rsidR="00605269" w:rsidRPr="00CA3F6A">
        <w:t xml:space="preserve">(Tabela </w:t>
      </w:r>
      <w:r w:rsidR="00F13DA5">
        <w:t>6</w:t>
      </w:r>
      <w:r w:rsidR="00605269" w:rsidRPr="00CA3F6A">
        <w:t>)</w:t>
      </w:r>
      <w:r w:rsidR="00C549D6">
        <w:t xml:space="preserve">. </w:t>
      </w:r>
      <w:r w:rsidR="00C95FD0">
        <w:t>Punkt odcięcia dla naszych danych wyniósł</w:t>
      </w:r>
      <w:r w:rsidR="00447226">
        <w:t xml:space="preserve">: </w:t>
      </w:r>
      <w:r w:rsidR="007D2489">
        <w:t>0</w:t>
      </w:r>
      <w:r w:rsidR="00447226" w:rsidRPr="00447226">
        <w:t>.0608547</w:t>
      </w:r>
      <w:r w:rsidR="00447226">
        <w:t>.</w:t>
      </w:r>
      <w:r w:rsidR="00D55D64">
        <w:t xml:space="preserve"> Pierwsza tablica poprawnie prognozuje </w:t>
      </w:r>
      <w:r w:rsidR="00446BCE">
        <w:t xml:space="preserve">około 95% wyników druga, ta utworzona przy pomocy metody </w:t>
      </w:r>
      <w:proofErr w:type="spellStart"/>
      <w:r w:rsidR="00446BCE">
        <w:t>Cramera</w:t>
      </w:r>
      <w:proofErr w:type="spellEnd"/>
      <w:r w:rsidR="003C58FE">
        <w:t>,</w:t>
      </w:r>
      <w:r w:rsidR="00446BCE">
        <w:t xml:space="preserve"> </w:t>
      </w:r>
      <w:r w:rsidR="003C58FE">
        <w:t xml:space="preserve">mniej i jest to około 90%. Jest </w:t>
      </w:r>
      <w:r w:rsidR="005A090C">
        <w:t xml:space="preserve">dość duża </w:t>
      </w:r>
      <w:r w:rsidR="007670F4">
        <w:t>różnica</w:t>
      </w:r>
      <w:r w:rsidR="005A090C">
        <w:t xml:space="preserve"> jednak </w:t>
      </w:r>
      <w:r w:rsidR="00236601">
        <w:t>jeszcze bardziej zn</w:t>
      </w:r>
      <w:r w:rsidR="005A090C" w:rsidRPr="005A090C">
        <w:t>aczące różnice pojawiają się przy jakości prognozowania poszczególnych stanów:</w:t>
      </w:r>
    </w:p>
    <w:p w14:paraId="17525765" w14:textId="3708BAB6" w:rsidR="00CA3F6A" w:rsidRDefault="005A090C" w:rsidP="00CA3F6A">
      <w:pPr>
        <w:pStyle w:val="Akapitzlist"/>
        <w:numPr>
          <w:ilvl w:val="0"/>
          <w:numId w:val="5"/>
        </w:numPr>
        <w:spacing w:line="360" w:lineRule="auto"/>
      </w:pPr>
      <w:r w:rsidRPr="005A090C">
        <w:t xml:space="preserve">prognoza </w:t>
      </w:r>
      <w:proofErr w:type="spellStart"/>
      <w:r w:rsidRPr="005A090C">
        <w:t>ins</w:t>
      </w:r>
      <w:proofErr w:type="spellEnd"/>
      <w:r w:rsidRPr="005A090C">
        <w:t>=1 (</w:t>
      </w:r>
      <w:proofErr w:type="spellStart"/>
      <w:r w:rsidRPr="005A090C">
        <w:t>sensitivity</w:t>
      </w:r>
      <w:proofErr w:type="spellEnd"/>
      <w:r w:rsidRPr="005A090C">
        <w:t xml:space="preserve">): </w:t>
      </w:r>
      <w:r w:rsidR="007D2489">
        <w:t>51</w:t>
      </w:r>
      <w:r w:rsidRPr="005A090C">
        <w:t xml:space="preserve">% oraz </w:t>
      </w:r>
      <w:r w:rsidR="007D2489">
        <w:t>93</w:t>
      </w:r>
      <w:r w:rsidRPr="005A090C">
        <w:t>%</w:t>
      </w:r>
    </w:p>
    <w:p w14:paraId="773B5503" w14:textId="4CEF70F1" w:rsidR="001A5F4B" w:rsidRDefault="005A090C" w:rsidP="00CA3F6A">
      <w:pPr>
        <w:pStyle w:val="Akapitzlist"/>
        <w:numPr>
          <w:ilvl w:val="0"/>
          <w:numId w:val="5"/>
        </w:numPr>
        <w:spacing w:line="360" w:lineRule="auto"/>
      </w:pPr>
      <w:r w:rsidRPr="005A090C">
        <w:t xml:space="preserve">prognoza </w:t>
      </w:r>
      <w:proofErr w:type="spellStart"/>
      <w:r w:rsidRPr="005A090C">
        <w:t>ins</w:t>
      </w:r>
      <w:proofErr w:type="spellEnd"/>
      <w:r w:rsidRPr="005A090C">
        <w:t>=0 (</w:t>
      </w:r>
      <w:proofErr w:type="spellStart"/>
      <w:r w:rsidRPr="005A090C">
        <w:t>specificity</w:t>
      </w:r>
      <w:proofErr w:type="spellEnd"/>
      <w:r w:rsidRPr="005A090C">
        <w:t xml:space="preserve">): </w:t>
      </w:r>
      <w:r w:rsidR="007D2489">
        <w:t>98</w:t>
      </w:r>
      <w:r w:rsidRPr="005A090C">
        <w:t xml:space="preserve">% oraz </w:t>
      </w:r>
      <w:r w:rsidR="007D2489">
        <w:t>89</w:t>
      </w:r>
      <w:r w:rsidRPr="005A090C">
        <w:t>%.</w:t>
      </w:r>
    </w:p>
    <w:p w14:paraId="58ED4CEF" w14:textId="4DA501D3" w:rsidR="000D4238" w:rsidRDefault="00C549D6" w:rsidP="00035F45">
      <w:pPr>
        <w:spacing w:line="360" w:lineRule="auto"/>
        <w:ind w:firstLine="708"/>
      </w:pPr>
      <w:r>
        <w:t>Zauważyć można</w:t>
      </w:r>
      <w:r w:rsidR="00B514EB">
        <w:t xml:space="preserve">, że </w:t>
      </w:r>
      <w:r w:rsidR="00447226">
        <w:t>tab</w:t>
      </w:r>
      <w:r w:rsidR="00B55476">
        <w:t>lica</w:t>
      </w:r>
      <w:r w:rsidR="00447226">
        <w:t xml:space="preserve"> wykorzystująca zasadę </w:t>
      </w:r>
      <w:proofErr w:type="spellStart"/>
      <w:r w:rsidR="00447226">
        <w:t>Cramera</w:t>
      </w:r>
      <w:proofErr w:type="spellEnd"/>
      <w:r w:rsidR="001A5F4B">
        <w:t xml:space="preserve"> znacznie lepiej prognozuje </w:t>
      </w:r>
      <w:r w:rsidR="00B55476">
        <w:t xml:space="preserve">zgony a tablica pierwsza </w:t>
      </w:r>
      <w:r w:rsidR="000D4238">
        <w:t xml:space="preserve">nieznacznie lepiej prognozuje brak zgonu. Ze względu na specyfikę zmiennej zgon </w:t>
      </w:r>
      <w:r w:rsidR="00086609">
        <w:t>dla której poprawna estymacja</w:t>
      </w:r>
      <w:r w:rsidR="00682277">
        <w:t xml:space="preserve"> dla wyniku </w:t>
      </w:r>
      <w:r w:rsidR="00A73E14">
        <w:t>pozytywnego (zgonu)</w:t>
      </w:r>
      <w:r w:rsidR="00086609">
        <w:t xml:space="preserve"> jest </w:t>
      </w:r>
      <w:r w:rsidR="00086609">
        <w:lastRenderedPageBreak/>
        <w:t>ważniejsza niż w przypadku</w:t>
      </w:r>
      <w:r w:rsidR="00A73E14">
        <w:t xml:space="preserve"> wyniku negatywnego (</w:t>
      </w:r>
      <w:r w:rsidR="00086609">
        <w:t>braku zgonu</w:t>
      </w:r>
      <w:r w:rsidR="00A73E14">
        <w:t>)</w:t>
      </w:r>
      <w:r w:rsidR="00086609">
        <w:t xml:space="preserve"> należy uznać drugą tablicę </w:t>
      </w:r>
      <w:r w:rsidR="00A73E14">
        <w:t>z</w:t>
      </w:r>
      <w:r w:rsidR="00086609">
        <w:t>a poprawniejszą w naszym przypadku.</w:t>
      </w:r>
    </w:p>
    <w:p w14:paraId="3F251AD6" w14:textId="35EF09DC" w:rsidR="0076127B" w:rsidRDefault="001F7F9A" w:rsidP="00035F45">
      <w:pPr>
        <w:spacing w:line="360" w:lineRule="auto"/>
        <w:ind w:firstLine="708"/>
      </w:pPr>
      <w:r>
        <w:t xml:space="preserve">Przyjmując za poprawniejszą </w:t>
      </w:r>
      <w:r w:rsidR="007A1E10">
        <w:t xml:space="preserve">drugą </w:t>
      </w:r>
      <w:r>
        <w:t>tablicę t</w:t>
      </w:r>
      <w:r w:rsidR="00AB1995">
        <w:t>rafnoś</w:t>
      </w:r>
      <w:r>
        <w:t>ci</w:t>
      </w:r>
      <w:r w:rsidR="00AB1995">
        <w:t xml:space="preserve"> prognozy </w:t>
      </w:r>
      <w:r w:rsidR="007A1E10">
        <w:t xml:space="preserve">możemy przyjąć, że nasz model poprawnie przewiduje </w:t>
      </w:r>
      <w:r w:rsidR="00AB1995">
        <w:t xml:space="preserve">90% </w:t>
      </w:r>
      <w:r w:rsidR="007A1E10">
        <w:t>wyników</w:t>
      </w:r>
      <w:r w:rsidR="00E62289">
        <w:t>. J</w:t>
      </w:r>
      <w:r w:rsidR="00AB1995">
        <w:t xml:space="preserve">est </w:t>
      </w:r>
      <w:r w:rsidR="002A6CDB">
        <w:t xml:space="preserve">to wynik </w:t>
      </w:r>
      <w:r w:rsidR="00AB1995">
        <w:t>zadowal</w:t>
      </w:r>
      <w:r w:rsidR="00E65C7D">
        <w:t>ający</w:t>
      </w:r>
      <w:r w:rsidR="00E62289">
        <w:t xml:space="preserve"> </w:t>
      </w:r>
      <w:r w:rsidR="00E65C7D">
        <w:t>dla naszej prognozy dlatego możemy przejść do interpretacji modelu.</w:t>
      </w:r>
      <w:r w:rsidR="001C36E7">
        <w:t xml:space="preserve"> </w:t>
      </w:r>
    </w:p>
    <w:p w14:paraId="2E59FE69" w14:textId="77777777" w:rsidR="00035F45" w:rsidRDefault="00035F45" w:rsidP="00CA3F6A">
      <w:pPr>
        <w:spacing w:line="360" w:lineRule="auto"/>
      </w:pPr>
    </w:p>
    <w:p w14:paraId="02E32244" w14:textId="14FBE54E" w:rsidR="001F7F9A" w:rsidRPr="00132739" w:rsidRDefault="00035F45" w:rsidP="00035F45">
      <w:pPr>
        <w:pStyle w:val="Nagwek1"/>
        <w:spacing w:before="0" w:line="360" w:lineRule="auto"/>
      </w:pPr>
      <w:bookmarkStart w:id="12" w:name="_Toc58614428"/>
      <w:r>
        <w:rPr>
          <w:noProof/>
        </w:rPr>
        <w:drawing>
          <wp:anchor distT="0" distB="0" distL="114300" distR="114300" simplePos="0" relativeHeight="251658241" behindDoc="0" locked="0" layoutInCell="1" allowOverlap="1" wp14:anchorId="1CBD96DF" wp14:editId="0DCADF11">
            <wp:simplePos x="0" y="0"/>
            <wp:positionH relativeFrom="margin">
              <wp:posOffset>2983478</wp:posOffset>
            </wp:positionH>
            <wp:positionV relativeFrom="paragraph">
              <wp:posOffset>262890</wp:posOffset>
            </wp:positionV>
            <wp:extent cx="2748915" cy="3195955"/>
            <wp:effectExtent l="0" t="0" r="0" b="4445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cstheme="minorBidi"/>
          <w:b w:val="0"/>
          <w:i/>
          <w:iCs/>
          <w:color w:val="auto"/>
          <w:sz w:val="24"/>
          <w:szCs w:val="22"/>
        </w:rPr>
        <w:t xml:space="preserve">Tabela 5. Tablica trafności (standardowa)   </w:t>
      </w:r>
      <w:bookmarkStart w:id="13" w:name="_Hlk58607716"/>
      <w:r>
        <w:rPr>
          <w:rFonts w:eastAsiaTheme="minorHAnsi" w:cstheme="minorBidi"/>
          <w:b w:val="0"/>
          <w:i/>
          <w:iCs/>
          <w:color w:val="auto"/>
          <w:sz w:val="24"/>
          <w:szCs w:val="22"/>
        </w:rPr>
        <w:t xml:space="preserve">Tabela 6. Tablica trafności (metoda </w:t>
      </w:r>
      <w:proofErr w:type="spellStart"/>
      <w:r>
        <w:rPr>
          <w:rFonts w:eastAsiaTheme="minorHAnsi" w:cstheme="minorBidi"/>
          <w:b w:val="0"/>
          <w:i/>
          <w:iCs/>
          <w:color w:val="auto"/>
          <w:sz w:val="24"/>
          <w:szCs w:val="22"/>
        </w:rPr>
        <w:t>Cramera</w:t>
      </w:r>
      <w:proofErr w:type="spellEnd"/>
      <w:r>
        <w:rPr>
          <w:rFonts w:eastAsiaTheme="minorHAnsi" w:cstheme="minorBidi"/>
          <w:b w:val="0"/>
          <w:i/>
          <w:iCs/>
          <w:color w:val="auto"/>
          <w:sz w:val="24"/>
          <w:szCs w:val="22"/>
        </w:rPr>
        <w:t>)</w:t>
      </w:r>
      <w:bookmarkEnd w:id="12"/>
      <w:r>
        <w:rPr>
          <w:rFonts w:eastAsiaTheme="minorHAnsi" w:cstheme="minorBidi"/>
          <w:b w:val="0"/>
          <w:i/>
          <w:iCs/>
          <w:color w:val="auto"/>
          <w:sz w:val="24"/>
          <w:szCs w:val="22"/>
        </w:rPr>
        <w:t xml:space="preserve">   </w:t>
      </w:r>
      <w:bookmarkEnd w:id="13"/>
    </w:p>
    <w:p w14:paraId="1F41D906" w14:textId="6CDDD331" w:rsidR="005F4250" w:rsidRDefault="00245284" w:rsidP="00D06D22">
      <w:r>
        <w:rPr>
          <w:noProof/>
        </w:rPr>
        <w:drawing>
          <wp:anchor distT="0" distB="0" distL="114300" distR="114300" simplePos="0" relativeHeight="251658240" behindDoc="0" locked="0" layoutInCell="1" allowOverlap="1" wp14:anchorId="50D47597" wp14:editId="57CBF021">
            <wp:simplePos x="0" y="0"/>
            <wp:positionH relativeFrom="column">
              <wp:posOffset>-1298</wp:posOffset>
            </wp:positionH>
            <wp:positionV relativeFrom="paragraph">
              <wp:posOffset>3838</wp:posOffset>
            </wp:positionV>
            <wp:extent cx="3002676" cy="3228229"/>
            <wp:effectExtent l="0" t="0" r="762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676" cy="3228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B8A3C" w14:textId="65BBC988" w:rsidR="009F5FF8" w:rsidRPr="00E62289" w:rsidRDefault="005F3E1B" w:rsidP="005F3E1B">
      <w:pPr>
        <w:pStyle w:val="Nagwek2"/>
        <w:spacing w:before="0" w:line="360" w:lineRule="auto"/>
      </w:pPr>
      <w:bookmarkStart w:id="14" w:name="_Toc58614429"/>
      <w:r>
        <w:t>Interp</w:t>
      </w:r>
      <w:r w:rsidR="00067A67">
        <w:t>retacja modelu</w:t>
      </w:r>
      <w:bookmarkEnd w:id="14"/>
    </w:p>
    <w:p w14:paraId="2322B4E0" w14:textId="52324475" w:rsidR="00666D41" w:rsidRDefault="00067A67" w:rsidP="00CA3F6A">
      <w:pPr>
        <w:spacing w:line="360" w:lineRule="auto"/>
      </w:pPr>
      <w:r>
        <w:tab/>
      </w:r>
      <w:r w:rsidR="007A46E7">
        <w:t>Po upewnieniu się, że skonstruowany model jest poprawny</w:t>
      </w:r>
      <w:r w:rsidR="004677C4">
        <w:t>, można przejść do interpretacji wyników modelu.</w:t>
      </w:r>
    </w:p>
    <w:p w14:paraId="57E521D0" w14:textId="6C29C02B" w:rsidR="005D0F90" w:rsidRDefault="004677C4" w:rsidP="00CA3F6A">
      <w:pPr>
        <w:spacing w:line="360" w:lineRule="auto"/>
      </w:pPr>
      <w:r>
        <w:tab/>
      </w:r>
      <w:r w:rsidR="0090218D">
        <w:t xml:space="preserve">W programie </w:t>
      </w:r>
      <w:proofErr w:type="spellStart"/>
      <w:r w:rsidR="0090218D">
        <w:t>stata</w:t>
      </w:r>
      <w:proofErr w:type="spellEnd"/>
      <w:r w:rsidR="0090218D">
        <w:t xml:space="preserve"> wygenerowano </w:t>
      </w:r>
      <w:r w:rsidR="00FD0D54">
        <w:t>efekty krańcowe</w:t>
      </w:r>
      <w:r w:rsidR="00605269">
        <w:t xml:space="preserve"> </w:t>
      </w:r>
      <w:r w:rsidR="00605269" w:rsidRPr="00CA3F6A">
        <w:t xml:space="preserve">(Tabela </w:t>
      </w:r>
      <w:r w:rsidR="00F13DA5">
        <w:t>7</w:t>
      </w:r>
      <w:r w:rsidR="00605269" w:rsidRPr="00CA3F6A">
        <w:t>)</w:t>
      </w:r>
      <w:r w:rsidR="00605269">
        <w:t xml:space="preserve"> </w:t>
      </w:r>
      <w:r w:rsidR="00FD0D54">
        <w:t xml:space="preserve"> dla poszczególnych zmiennych obliczone dla wartości średnich.</w:t>
      </w:r>
      <w:r w:rsidR="005D0F90">
        <w:t xml:space="preserve"> </w:t>
      </w:r>
      <w:r w:rsidR="008D566A">
        <w:t xml:space="preserve">Razem z ilorazem szans </w:t>
      </w:r>
      <w:r w:rsidR="00E576D0" w:rsidRPr="00CA3F6A">
        <w:t>(</w:t>
      </w:r>
      <w:r w:rsidR="00605269" w:rsidRPr="00CA3F6A">
        <w:t>T</w:t>
      </w:r>
      <w:r w:rsidR="00E576D0" w:rsidRPr="00CA3F6A">
        <w:t>abela</w:t>
      </w:r>
      <w:r w:rsidR="00605269" w:rsidRPr="00CA3F6A">
        <w:t xml:space="preserve"> </w:t>
      </w:r>
      <w:r w:rsidR="00F13DA5">
        <w:t>4</w:t>
      </w:r>
      <w:r w:rsidR="00E576D0" w:rsidRPr="00CA3F6A">
        <w:t>)</w:t>
      </w:r>
      <w:r w:rsidR="00E576D0">
        <w:t xml:space="preserve"> posłużą one </w:t>
      </w:r>
      <w:r w:rsidR="005E4EBC">
        <w:br/>
      </w:r>
      <w:r w:rsidR="00E576D0">
        <w:t>do interpretacji otrzymanych wyników.</w:t>
      </w:r>
      <w:r w:rsidR="00F7616E">
        <w:t xml:space="preserve"> Wszystkie </w:t>
      </w:r>
      <w:r w:rsidR="001756FA">
        <w:t xml:space="preserve">interpretacje w swym </w:t>
      </w:r>
      <w:r w:rsidR="001023A8">
        <w:t xml:space="preserve">założeniu </w:t>
      </w:r>
      <w:r w:rsidR="00723B61">
        <w:t>mówi</w:t>
      </w:r>
      <w:r w:rsidR="00621A92">
        <w:t>ą</w:t>
      </w:r>
      <w:r w:rsidR="001023A8">
        <w:t xml:space="preserve"> </w:t>
      </w:r>
      <w:r w:rsidR="00621A92">
        <w:t>osobach</w:t>
      </w:r>
      <w:r w:rsidR="001023A8">
        <w:t xml:space="preserve"> </w:t>
      </w:r>
      <w:r w:rsidR="00723B61" w:rsidRPr="00723B61">
        <w:t>mających identyczne wartości zmiennych objaśniających za wyjątkiem tej jednej, która objaśniam</w:t>
      </w:r>
      <w:r w:rsidR="00621A92">
        <w:t xml:space="preserve">y (zasada </w:t>
      </w:r>
      <w:proofErr w:type="spellStart"/>
      <w:r w:rsidR="00621A92">
        <w:t>ceteris</w:t>
      </w:r>
      <w:proofErr w:type="spellEnd"/>
      <w:r w:rsidR="00621A92">
        <w:t xml:space="preserve"> paribus).</w:t>
      </w:r>
    </w:p>
    <w:p w14:paraId="7BAA0540" w14:textId="4FEE6B30" w:rsidR="00035151" w:rsidRDefault="005D0F90" w:rsidP="00CA3F6A">
      <w:pPr>
        <w:spacing w:line="360" w:lineRule="auto"/>
      </w:pPr>
      <w:r>
        <w:tab/>
      </w:r>
      <w:r w:rsidR="002D2D98">
        <w:t xml:space="preserve">Dane pokazują, że </w:t>
      </w:r>
      <w:r w:rsidR="00FA00D8">
        <w:t xml:space="preserve">mężczyźni </w:t>
      </w:r>
      <w:r w:rsidR="00E579D2">
        <w:t xml:space="preserve">mają o </w:t>
      </w:r>
      <w:r w:rsidR="00F7616E">
        <w:t xml:space="preserve">26% większą szansę na zgon spowodowany </w:t>
      </w:r>
      <w:r w:rsidR="00621A92">
        <w:t>Covid-19.</w:t>
      </w:r>
      <w:r w:rsidR="00AA66F3">
        <w:t xml:space="preserve"> </w:t>
      </w:r>
      <w:r w:rsidR="00B1214B">
        <w:t>Biorąc po uwagę badania z Brescii omówione w wstępie można przypuszczać,</w:t>
      </w:r>
      <w:r w:rsidR="005E4EBC">
        <w:br/>
      </w:r>
      <w:r w:rsidR="00B1214B">
        <w:t xml:space="preserve"> że jest to spow</w:t>
      </w:r>
      <w:r w:rsidR="00035151">
        <w:t>odowane większym uszkodzeniem płuc u mężczyzn.</w:t>
      </w:r>
    </w:p>
    <w:p w14:paraId="6EF194AE" w14:textId="44D23956" w:rsidR="005D0F90" w:rsidRDefault="00035151" w:rsidP="00CA3F6A">
      <w:pPr>
        <w:spacing w:line="360" w:lineRule="auto"/>
      </w:pPr>
      <w:r>
        <w:lastRenderedPageBreak/>
        <w:tab/>
      </w:r>
      <w:r w:rsidR="000B6AF9">
        <w:t xml:space="preserve">Hospitalizacja pacjenta jak i </w:t>
      </w:r>
      <w:r w:rsidR="000C1B78">
        <w:t>przebywanie na intensywnej terapii</w:t>
      </w:r>
      <w:r w:rsidR="006977E7">
        <w:t xml:space="preserve"> </w:t>
      </w:r>
      <w:r w:rsidR="00D75D83">
        <w:t xml:space="preserve">zwiększa </w:t>
      </w:r>
      <w:r w:rsidR="000B004A">
        <w:t xml:space="preserve">o kolejno </w:t>
      </w:r>
      <w:r w:rsidR="001D3732">
        <w:t>0,</w:t>
      </w:r>
      <w:r w:rsidR="0098126E">
        <w:t>016 i 0,035</w:t>
      </w:r>
      <w:r w:rsidR="007452C1">
        <w:t xml:space="preserve"> (średnio) </w:t>
      </w:r>
      <w:r w:rsidR="004646EA">
        <w:t>prawdopodobieństwo</w:t>
      </w:r>
      <w:r w:rsidR="007452C1">
        <w:t xml:space="preserve"> zgon</w:t>
      </w:r>
      <w:r w:rsidR="004646EA">
        <w:t>u</w:t>
      </w:r>
      <w:r w:rsidR="007452C1">
        <w:t xml:space="preserve"> pacjenta. </w:t>
      </w:r>
      <w:r w:rsidR="00D04280">
        <w:t>Jest to fakt zgodny</w:t>
      </w:r>
      <w:r w:rsidR="005E4EBC">
        <w:br/>
      </w:r>
      <w:r w:rsidR="00D04280">
        <w:t xml:space="preserve"> z </w:t>
      </w:r>
      <w:r w:rsidR="003865B5">
        <w:t>oczekiwaniami</w:t>
      </w:r>
      <w:r w:rsidR="00FB06C4">
        <w:t>,</w:t>
      </w:r>
      <w:r w:rsidR="003D4E85">
        <w:t xml:space="preserve"> jednak </w:t>
      </w:r>
      <w:r w:rsidR="004646EA">
        <w:t>szczególnie pobyt na intensywnej terapi</w:t>
      </w:r>
      <w:r w:rsidR="00FE7FD7">
        <w:t>i</w:t>
      </w:r>
      <w:r w:rsidR="00FB06C4">
        <w:t>,</w:t>
      </w:r>
      <w:r w:rsidR="00FE7FD7">
        <w:t xml:space="preserve"> </w:t>
      </w:r>
      <w:r w:rsidR="003865B5">
        <w:t>wiążę się z duż</w:t>
      </w:r>
      <w:r w:rsidR="00FB06C4">
        <w:t>ym</w:t>
      </w:r>
      <w:r w:rsidR="003865B5">
        <w:t xml:space="preserve"> </w:t>
      </w:r>
      <w:r w:rsidR="000A70C7">
        <w:t xml:space="preserve">wzrostem prawdopodobieństwa zgonu. </w:t>
      </w:r>
      <w:r w:rsidR="00633171">
        <w:t>Wywnioskować można, że pacjenci</w:t>
      </w:r>
      <w:r w:rsidR="00FB06C4">
        <w:t>,</w:t>
      </w:r>
      <w:r w:rsidR="00633171">
        <w:t xml:space="preserve"> którzy trafiają do szpitala</w:t>
      </w:r>
      <w:r w:rsidR="00FB06C4">
        <w:t>,</w:t>
      </w:r>
      <w:r w:rsidR="00633171">
        <w:t xml:space="preserve"> są w gorszym stanie niż ci do niego nie trafiający.</w:t>
      </w:r>
    </w:p>
    <w:p w14:paraId="740775B9" w14:textId="12029D2A" w:rsidR="00183240" w:rsidRDefault="00183240" w:rsidP="00CA3F6A">
      <w:pPr>
        <w:spacing w:line="360" w:lineRule="auto"/>
      </w:pPr>
      <w:r>
        <w:tab/>
      </w:r>
      <w:r w:rsidR="001D5938">
        <w:t xml:space="preserve">Często powtarzane w mediach choroby współistniejące </w:t>
      </w:r>
      <w:r w:rsidR="0041474E">
        <w:t>zwiększają</w:t>
      </w:r>
      <w:r w:rsidR="00ED55EC">
        <w:t xml:space="preserve"> prawdopodobieństwo zgonu o </w:t>
      </w:r>
      <w:r w:rsidR="00C900EC">
        <w:t>0,00</w:t>
      </w:r>
      <w:r w:rsidR="0041474E">
        <w:t xml:space="preserve">5. Jest </w:t>
      </w:r>
      <w:r w:rsidR="007140C2">
        <w:t xml:space="preserve">do dość wysoka </w:t>
      </w:r>
      <w:r w:rsidR="007E1AB9">
        <w:t>wartość</w:t>
      </w:r>
      <w:r w:rsidR="007077BB">
        <w:t xml:space="preserve">, </w:t>
      </w:r>
      <w:r w:rsidR="00380628">
        <w:t xml:space="preserve">jednak </w:t>
      </w:r>
      <w:r w:rsidR="00B13B89">
        <w:t>wpływ tej zmiennej jest niższy niż np. wiek pacjenta lub jego hospitalizacja.</w:t>
      </w:r>
    </w:p>
    <w:p w14:paraId="797CD4A9" w14:textId="6A3CE2F7" w:rsidR="00B13B89" w:rsidRDefault="00B13B89" w:rsidP="00CA3F6A">
      <w:pPr>
        <w:spacing w:line="360" w:lineRule="auto"/>
      </w:pPr>
      <w:r>
        <w:tab/>
      </w:r>
      <w:r w:rsidR="00ED018E">
        <w:t>Dzienny przyrost zakażeń w dniu zarejestrowania pacjenta</w:t>
      </w:r>
      <w:r w:rsidR="00EF7CDE">
        <w:t xml:space="preserve"> praktycznie nie ma wpływu na </w:t>
      </w:r>
      <w:r w:rsidR="00847051">
        <w:t>prawdopodobieństwo zgonu</w:t>
      </w:r>
      <w:r w:rsidR="0089420B">
        <w:t>.</w:t>
      </w:r>
      <w:r w:rsidR="00B96E3F">
        <w:t xml:space="preserve"> </w:t>
      </w:r>
      <w:r w:rsidR="00E1425C">
        <w:t>Na tej podstawie można wnioskować, że służba zdrowia</w:t>
      </w:r>
      <w:r w:rsidR="00DC3D3B">
        <w:br/>
      </w:r>
      <w:r w:rsidR="00E1425C">
        <w:t xml:space="preserve"> w USA </w:t>
      </w:r>
      <w:r w:rsidR="00D1436E">
        <w:t>poprawnie radzi sobie z pandemią</w:t>
      </w:r>
      <w:r w:rsidR="002C438D">
        <w:t xml:space="preserve"> i nawet przy dużej ilości zakażeń jest w stanie pomóc wszystkim pacjentom</w:t>
      </w:r>
      <w:r w:rsidR="006A132E">
        <w:t xml:space="preserve">. </w:t>
      </w:r>
      <w:r w:rsidR="00DE062D">
        <w:t>Z ogólnie dostępnych danych wiemy, że niestety nie wszystkie kraje poradziły sobie pod tym kątem poprawnie</w:t>
      </w:r>
      <w:r w:rsidR="00666386">
        <w:t>,</w:t>
      </w:r>
      <w:r w:rsidR="00DE062D">
        <w:t xml:space="preserve"> szczególnie w pierwszej fazie rozwoju pandemii.</w:t>
      </w:r>
    </w:p>
    <w:p w14:paraId="007FF784" w14:textId="12FD02F8" w:rsidR="0089420B" w:rsidRDefault="0089420B" w:rsidP="00CA3F6A">
      <w:pPr>
        <w:spacing w:line="360" w:lineRule="auto"/>
      </w:pPr>
      <w:r>
        <w:tab/>
      </w:r>
      <w:r w:rsidR="003D3937">
        <w:t xml:space="preserve">Zachorowanie w każdym kolejnym miesiącu </w:t>
      </w:r>
      <w:r w:rsidR="003C7AB9">
        <w:t xml:space="preserve">trwania pandemii </w:t>
      </w:r>
      <w:r w:rsidR="0012175B">
        <w:t xml:space="preserve">zmniejsza szanse na zgon o </w:t>
      </w:r>
      <w:r w:rsidR="00E12641">
        <w:t xml:space="preserve">27,5%. Prawdopodobnie jest to związane </w:t>
      </w:r>
      <w:r w:rsidR="00C554F8">
        <w:t>z tym, że z czasem system zdrowia lepiej zaczął radzić sobie z wirus</w:t>
      </w:r>
      <w:r w:rsidR="006C76A9">
        <w:t>em i wprowadzono kilka względnie skutecznych terapii. Jednak</w:t>
      </w:r>
      <w:r w:rsidR="00EC3653">
        <w:t xml:space="preserve">, może to również wiązać się z mniejszą ilością wykrytych pozytywnych zakażeń </w:t>
      </w:r>
      <w:r w:rsidR="007C3833">
        <w:t>c</w:t>
      </w:r>
      <w:r w:rsidR="00735137">
        <w:t xml:space="preserve">o sprawia, że wykrywane zaczęły być tylko te cięższe przypadki. </w:t>
      </w:r>
      <w:r w:rsidR="001F028D">
        <w:t xml:space="preserve">Z trzeciej </w:t>
      </w:r>
      <w:r w:rsidR="00D20483">
        <w:t xml:space="preserve">strony może to również wiązać </w:t>
      </w:r>
      <w:r w:rsidR="00B3771F">
        <w:t>się z mutacją sprawiającą mniejszą „zjadliwość” wirusa. Na podstawie zebranych danych nie jesteśmy w stanie</w:t>
      </w:r>
      <w:r w:rsidR="001A3BFC">
        <w:t>,</w:t>
      </w:r>
      <w:r w:rsidR="00B3771F">
        <w:t xml:space="preserve"> jednoznacznie zinterpretować tego wyniku, należałoby </w:t>
      </w:r>
      <w:r w:rsidR="00C71F4B">
        <w:t xml:space="preserve">to zrobić w bardziej </w:t>
      </w:r>
      <w:r w:rsidR="00363BB9">
        <w:t>wyspecjalizowanych</w:t>
      </w:r>
      <w:r w:rsidR="00C71F4B">
        <w:t xml:space="preserve"> badaniach</w:t>
      </w:r>
      <w:r w:rsidR="007B17AC">
        <w:t>.</w:t>
      </w:r>
    </w:p>
    <w:p w14:paraId="5126209A" w14:textId="1D348D2F" w:rsidR="00865599" w:rsidRDefault="007B17AC" w:rsidP="00CA3F6A">
      <w:pPr>
        <w:spacing w:line="360" w:lineRule="auto"/>
      </w:pPr>
      <w:r>
        <w:tab/>
      </w:r>
      <w:r w:rsidR="00570134">
        <w:t xml:space="preserve">Zmienne </w:t>
      </w:r>
      <w:proofErr w:type="spellStart"/>
      <w:r w:rsidR="00570134">
        <w:t>age</w:t>
      </w:r>
      <w:proofErr w:type="spellEnd"/>
      <w:r w:rsidR="00570134">
        <w:t xml:space="preserve"> oraz race będziemy </w:t>
      </w:r>
      <w:r w:rsidR="008F039F">
        <w:t>interpretować</w:t>
      </w:r>
      <w:r w:rsidR="00FA61AF">
        <w:t>,</w:t>
      </w:r>
      <w:r w:rsidR="008F039F">
        <w:t xml:space="preserve"> </w:t>
      </w:r>
      <w:r w:rsidR="002058DE">
        <w:t>z powodu specyfiki modelu</w:t>
      </w:r>
      <w:r w:rsidR="00FA61AF">
        <w:t>,</w:t>
      </w:r>
      <w:r w:rsidR="002058DE">
        <w:t xml:space="preserve"> </w:t>
      </w:r>
      <w:r w:rsidR="008F039F">
        <w:t xml:space="preserve">względem pominiętych zmiennych czyli </w:t>
      </w:r>
      <w:r w:rsidR="00F75F16">
        <w:t>a</w:t>
      </w:r>
      <w:r w:rsidR="008F039F">
        <w:t>ge</w:t>
      </w:r>
      <w:r w:rsidR="00F75F16">
        <w:t>9</w:t>
      </w:r>
      <w:r w:rsidR="008F039F">
        <w:t xml:space="preserve"> (</w:t>
      </w:r>
      <w:r w:rsidR="00F75F16">
        <w:t>wiek 80+) oraz race7 (rasa biała)</w:t>
      </w:r>
      <w:r w:rsidR="000A5CCA">
        <w:t>.</w:t>
      </w:r>
      <w:r w:rsidR="0008087F">
        <w:t xml:space="preserve"> </w:t>
      </w:r>
    </w:p>
    <w:p w14:paraId="526FC573" w14:textId="18BE17D3" w:rsidR="005716F1" w:rsidRDefault="005716F1" w:rsidP="00CA3F6A">
      <w:pPr>
        <w:spacing w:line="360" w:lineRule="auto"/>
      </w:pPr>
      <w:r>
        <w:tab/>
      </w:r>
      <w:r w:rsidR="00633A4C">
        <w:t xml:space="preserve">Model wykazał, że wraz z wiekiem </w:t>
      </w:r>
      <w:r w:rsidR="009876E8">
        <w:t xml:space="preserve">szanse na zgon pacjentów rosną. Jest to zgodne </w:t>
      </w:r>
      <w:r w:rsidR="00DC3D3B">
        <w:br/>
      </w:r>
      <w:r w:rsidR="009876E8">
        <w:t>z ogólnodostępnymi danymi. Najwię</w:t>
      </w:r>
      <w:r w:rsidR="001D3DE8">
        <w:t>kszy skok szansy zgonu widać miedzy grupą age9 i age8</w:t>
      </w:r>
      <w:r w:rsidR="00C041C3">
        <w:t>. Pacjenci z grupy age8 mają</w:t>
      </w:r>
      <w:r w:rsidR="00174E0A">
        <w:t xml:space="preserve"> około </w:t>
      </w:r>
      <w:r w:rsidR="00CE2713">
        <w:t xml:space="preserve">73% mniejsze szanse na zgon </w:t>
      </w:r>
      <w:r w:rsidR="00E1693E">
        <w:t xml:space="preserve">w stosunku do grupy z age9. </w:t>
      </w:r>
      <w:r w:rsidR="004F54B6">
        <w:t>Potem kolejno</w:t>
      </w:r>
      <w:r w:rsidR="005033E9">
        <w:t xml:space="preserve"> od najstarszej grupy: </w:t>
      </w:r>
      <w:r w:rsidR="00764783">
        <w:t xml:space="preserve">87%, </w:t>
      </w:r>
      <w:r w:rsidR="00AC75FE">
        <w:t xml:space="preserve">94%, </w:t>
      </w:r>
      <w:r w:rsidR="001D1B6E">
        <w:t>97%,</w:t>
      </w:r>
      <w:r w:rsidR="00354D4B">
        <w:t xml:space="preserve"> </w:t>
      </w:r>
      <w:r w:rsidR="003F04E1">
        <w:t xml:space="preserve">98%, </w:t>
      </w:r>
      <w:r w:rsidR="003B0EE9">
        <w:t xml:space="preserve">99%, </w:t>
      </w:r>
      <w:r w:rsidR="00594538">
        <w:t>99,</w:t>
      </w:r>
      <w:r w:rsidR="00E1781D">
        <w:t xml:space="preserve">3%, </w:t>
      </w:r>
      <w:r w:rsidR="006F60BD">
        <w:t>99,2</w:t>
      </w:r>
      <w:r w:rsidR="00656854">
        <w:t xml:space="preserve">%. Jak widać </w:t>
      </w:r>
      <w:r w:rsidR="00DC3D3B">
        <w:br/>
      </w:r>
      <w:r w:rsidR="00656854">
        <w:t xml:space="preserve">u osób młodych </w:t>
      </w:r>
      <w:r w:rsidR="004C54C6">
        <w:t xml:space="preserve">szansa na zgon </w:t>
      </w:r>
      <w:r w:rsidR="00B10AC9">
        <w:t xml:space="preserve">w stosunku do osób najstarszych jest </w:t>
      </w:r>
      <w:r w:rsidR="00A054B0">
        <w:t xml:space="preserve">bardzo niska. </w:t>
      </w:r>
    </w:p>
    <w:p w14:paraId="4FA4CA33" w14:textId="7FEDEA7A" w:rsidR="00F13DA5" w:rsidRDefault="00F13DA5" w:rsidP="00CA3F6A">
      <w:pPr>
        <w:spacing w:line="360" w:lineRule="auto"/>
      </w:pPr>
    </w:p>
    <w:p w14:paraId="6549565C" w14:textId="77777777" w:rsidR="00F13DA5" w:rsidRDefault="00F13DA5" w:rsidP="00CA3F6A">
      <w:pPr>
        <w:spacing w:line="360" w:lineRule="auto"/>
      </w:pPr>
    </w:p>
    <w:p w14:paraId="5F8CEB29" w14:textId="7F8931B6" w:rsidR="00232106" w:rsidRDefault="00232106" w:rsidP="00CA3F6A">
      <w:pPr>
        <w:spacing w:line="360" w:lineRule="auto"/>
      </w:pPr>
      <w:r>
        <w:lastRenderedPageBreak/>
        <w:tab/>
      </w:r>
      <w:r w:rsidR="00E8536F">
        <w:t xml:space="preserve">Wpływ rasy </w:t>
      </w:r>
      <w:r w:rsidR="005C7EEE">
        <w:t xml:space="preserve">na </w:t>
      </w:r>
      <w:r w:rsidR="003116F3">
        <w:t>szanse zgonu jest zauważaln</w:t>
      </w:r>
      <w:r w:rsidR="009714A0">
        <w:t>y</w:t>
      </w:r>
      <w:r w:rsidR="003116F3">
        <w:t xml:space="preserve">. </w:t>
      </w:r>
      <w:r w:rsidR="004158FD">
        <w:t>Szczególnie</w:t>
      </w:r>
      <w:r w:rsidR="00570080">
        <w:t xml:space="preserve"> dużą różnicę można zauważyć</w:t>
      </w:r>
      <w:r w:rsidR="004158FD">
        <w:t xml:space="preserve"> dla ras </w:t>
      </w:r>
      <w:r w:rsidR="00775E9E">
        <w:t xml:space="preserve">American Indian, </w:t>
      </w:r>
      <w:proofErr w:type="spellStart"/>
      <w:r w:rsidR="00775E9E">
        <w:t>Asian</w:t>
      </w:r>
      <w:proofErr w:type="spellEnd"/>
      <w:r w:rsidR="00775E9E">
        <w:t xml:space="preserve"> i Black </w:t>
      </w:r>
      <w:r w:rsidR="00570080">
        <w:t>gdzie szansa zgonu jest o</w:t>
      </w:r>
      <w:r w:rsidR="0099264E">
        <w:t xml:space="preserve"> około</w:t>
      </w:r>
      <w:r w:rsidR="00570080">
        <w:t xml:space="preserve"> 20% większa niż u osób rasy białej.</w:t>
      </w:r>
      <w:r w:rsidR="00FB1F56">
        <w:t xml:space="preserve"> Z kolei </w:t>
      </w:r>
      <w:r w:rsidR="00C21F65">
        <w:t xml:space="preserve">dla ras określonych jako </w:t>
      </w:r>
      <w:proofErr w:type="spellStart"/>
      <w:r w:rsidR="001D0766">
        <w:t>Multiple</w:t>
      </w:r>
      <w:proofErr w:type="spellEnd"/>
      <w:r w:rsidR="001D0766">
        <w:t>/</w:t>
      </w:r>
      <w:proofErr w:type="spellStart"/>
      <w:r w:rsidR="001D0766">
        <w:t>Other</w:t>
      </w:r>
      <w:proofErr w:type="spellEnd"/>
      <w:r w:rsidR="001D0766">
        <w:t xml:space="preserve"> oraz</w:t>
      </w:r>
      <w:r w:rsidR="003256EA">
        <w:t xml:space="preserve"> Native </w:t>
      </w:r>
      <w:proofErr w:type="spellStart"/>
      <w:r w:rsidR="003256EA">
        <w:t>Hawaiian</w:t>
      </w:r>
      <w:proofErr w:type="spellEnd"/>
      <w:r w:rsidR="003256EA">
        <w:t xml:space="preserve"> szanse na zgon z powodu zakażenia są o około 15% mniejsze w stosunku do rasy białej. Jednak z powodu małej </w:t>
      </w:r>
      <w:r w:rsidR="00C631DE">
        <w:t>populacji</w:t>
      </w:r>
      <w:r w:rsidR="00481C6F">
        <w:t xml:space="preserve"> tych ras</w:t>
      </w:r>
      <w:r w:rsidR="00C631DE">
        <w:t xml:space="preserve"> w próbie</w:t>
      </w:r>
      <w:r w:rsidR="006779D1">
        <w:t xml:space="preserve"> należałoby przeprowadzić </w:t>
      </w:r>
      <w:r w:rsidR="009657EE">
        <w:t>dokładniejsze badania.</w:t>
      </w:r>
      <w:r w:rsidR="00E05833">
        <w:t xml:space="preserve"> Zauważyć należy, że wyższa szansa zgon</w:t>
      </w:r>
      <w:r w:rsidR="00952619">
        <w:t>u</w:t>
      </w:r>
      <w:r w:rsidR="00E05833">
        <w:t xml:space="preserve"> w grupie </w:t>
      </w:r>
      <w:r w:rsidR="00417152">
        <w:t xml:space="preserve">pacjentów czarnych </w:t>
      </w:r>
      <w:r w:rsidR="00EA39A6">
        <w:t xml:space="preserve">jest zgodna </w:t>
      </w:r>
      <w:r w:rsidR="00DC3D3B">
        <w:br/>
      </w:r>
      <w:r w:rsidR="00EA39A6">
        <w:t>z badaniami: „</w:t>
      </w:r>
      <w:proofErr w:type="spellStart"/>
      <w:r w:rsidR="00EA39A6" w:rsidRPr="00CA3F6A">
        <w:t>Racial</w:t>
      </w:r>
      <w:proofErr w:type="spellEnd"/>
      <w:r w:rsidR="00EA39A6" w:rsidRPr="00CA3F6A">
        <w:t xml:space="preserve"> </w:t>
      </w:r>
      <w:proofErr w:type="spellStart"/>
      <w:r w:rsidR="00EA39A6" w:rsidRPr="00CA3F6A">
        <w:t>disparities</w:t>
      </w:r>
      <w:proofErr w:type="spellEnd"/>
      <w:r w:rsidR="00EA39A6" w:rsidRPr="00CA3F6A">
        <w:t xml:space="preserve"> in </w:t>
      </w:r>
      <w:proofErr w:type="spellStart"/>
      <w:r w:rsidR="00EA39A6" w:rsidRPr="00CA3F6A">
        <w:t>patients</w:t>
      </w:r>
      <w:proofErr w:type="spellEnd"/>
      <w:r w:rsidR="00EA39A6" w:rsidRPr="00CA3F6A">
        <w:t xml:space="preserve"> with </w:t>
      </w:r>
      <w:proofErr w:type="spellStart"/>
      <w:r w:rsidR="00EA39A6" w:rsidRPr="00CA3F6A">
        <w:t>coronavirus</w:t>
      </w:r>
      <w:proofErr w:type="spellEnd"/>
      <w:r w:rsidR="00EA39A6" w:rsidRPr="00CA3F6A">
        <w:t xml:space="preserve"> </w:t>
      </w:r>
      <w:proofErr w:type="spellStart"/>
      <w:r w:rsidR="00EA39A6" w:rsidRPr="00CA3F6A">
        <w:t>disease</w:t>
      </w:r>
      <w:proofErr w:type="spellEnd"/>
      <w:r w:rsidR="00EA39A6" w:rsidRPr="00CA3F6A">
        <w:t xml:space="preserve"> 2019 </w:t>
      </w:r>
      <w:proofErr w:type="spellStart"/>
      <w:r w:rsidR="00EA39A6" w:rsidRPr="00CA3F6A">
        <w:t>infection</w:t>
      </w:r>
      <w:proofErr w:type="spellEnd"/>
      <w:r w:rsidR="00EA39A6" w:rsidRPr="00CA3F6A">
        <w:t xml:space="preserve"> and </w:t>
      </w:r>
      <w:proofErr w:type="spellStart"/>
      <w:r w:rsidR="00EA39A6" w:rsidRPr="00CA3F6A">
        <w:t>gynecologic</w:t>
      </w:r>
      <w:proofErr w:type="spellEnd"/>
      <w:r w:rsidR="00EA39A6" w:rsidRPr="00CA3F6A">
        <w:t xml:space="preserve"> </w:t>
      </w:r>
      <w:proofErr w:type="spellStart"/>
      <w:r w:rsidR="00EA39A6" w:rsidRPr="00CA3F6A">
        <w:t>malignancy</w:t>
      </w:r>
      <w:proofErr w:type="spellEnd"/>
      <w:r w:rsidR="00EA39A6" w:rsidRPr="00CA3F6A">
        <w:t>”.</w:t>
      </w:r>
    </w:p>
    <w:p w14:paraId="4D451DCF" w14:textId="77777777" w:rsidR="00035F45" w:rsidRDefault="00035F45" w:rsidP="00CA3F6A">
      <w:pPr>
        <w:spacing w:line="360" w:lineRule="auto"/>
      </w:pPr>
    </w:p>
    <w:p w14:paraId="76DAE2D1" w14:textId="6F95706D" w:rsidR="00035F45" w:rsidRPr="00CA3F6A" w:rsidRDefault="00035F45" w:rsidP="00035F45">
      <w:pPr>
        <w:jc w:val="center"/>
      </w:pPr>
      <w:r w:rsidRPr="00923829">
        <w:rPr>
          <w:bCs/>
          <w:i/>
          <w:iCs/>
        </w:rPr>
        <w:t xml:space="preserve">Tabela </w:t>
      </w:r>
      <w:r>
        <w:rPr>
          <w:bCs/>
          <w:i/>
          <w:iCs/>
        </w:rPr>
        <w:t>7</w:t>
      </w:r>
      <w:r w:rsidRPr="00923829">
        <w:rPr>
          <w:bCs/>
          <w:i/>
          <w:iCs/>
        </w:rPr>
        <w:t xml:space="preserve">. </w:t>
      </w:r>
      <w:r>
        <w:rPr>
          <w:bCs/>
          <w:i/>
          <w:iCs/>
        </w:rPr>
        <w:t>Efekty krańcowe zmiennych</w:t>
      </w:r>
    </w:p>
    <w:p w14:paraId="416B248B" w14:textId="497240B7" w:rsidR="006C6CEF" w:rsidRDefault="6A5C7A4A" w:rsidP="00666D41">
      <w:pPr>
        <w:rPr>
          <w:rStyle w:val="spellingerror"/>
        </w:rPr>
      </w:pPr>
      <w:r>
        <w:rPr>
          <w:noProof/>
        </w:rPr>
        <w:drawing>
          <wp:inline distT="0" distB="0" distL="0" distR="0" wp14:anchorId="3F2999A7" wp14:editId="3BA565E3">
            <wp:extent cx="5423182" cy="4666891"/>
            <wp:effectExtent l="0" t="0" r="635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882" cy="46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6FC2" w14:textId="77777777" w:rsidR="00035F45" w:rsidRDefault="00035F45" w:rsidP="00666D41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</w:p>
    <w:p w14:paraId="5D290C03" w14:textId="4982F3FE" w:rsidR="00035F45" w:rsidRDefault="00035F45" w:rsidP="00666D41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</w:p>
    <w:p w14:paraId="3FD738AE" w14:textId="77777777" w:rsidR="00F13DA5" w:rsidRDefault="00F13DA5" w:rsidP="00666D41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</w:p>
    <w:p w14:paraId="137DF8C1" w14:textId="1077C0B8" w:rsidR="00953D36" w:rsidRDefault="00953D36" w:rsidP="00666D41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 w:rsidRPr="00953D36">
        <w:rPr>
          <w:rFonts w:eastAsiaTheme="majorEastAsia" w:cstheme="majorBidi"/>
          <w:b/>
          <w:color w:val="2F5496" w:themeColor="accent1" w:themeShade="BF"/>
          <w:sz w:val="32"/>
          <w:szCs w:val="32"/>
        </w:rPr>
        <w:lastRenderedPageBreak/>
        <w:t>Zakończenie</w:t>
      </w:r>
    </w:p>
    <w:p w14:paraId="7592E8F0" w14:textId="65997F6C" w:rsidR="00EA39A6" w:rsidRPr="00CA3F6A" w:rsidRDefault="00EA39A6" w:rsidP="00CA3F6A">
      <w:pPr>
        <w:spacing w:line="360" w:lineRule="auto"/>
      </w:pPr>
      <w:r w:rsidRPr="00CA3F6A">
        <w:tab/>
      </w:r>
      <w:r w:rsidR="00953D36" w:rsidRPr="00CA3F6A">
        <w:t>Przeprowadzo</w:t>
      </w:r>
      <w:r w:rsidR="00EB38AF" w:rsidRPr="00CA3F6A">
        <w:t>na estymacja</w:t>
      </w:r>
      <w:r w:rsidR="00953D36" w:rsidRPr="00CA3F6A">
        <w:t xml:space="preserve"> daj</w:t>
      </w:r>
      <w:r w:rsidR="00EB38AF" w:rsidRPr="00CA3F6A">
        <w:t>e</w:t>
      </w:r>
      <w:r w:rsidR="00953D36" w:rsidRPr="00CA3F6A">
        <w:t xml:space="preserve"> wiele informacji na temat zgonów z powodu Covid-19.</w:t>
      </w:r>
      <w:r w:rsidR="006C6E10" w:rsidRPr="00CA3F6A">
        <w:t xml:space="preserve"> </w:t>
      </w:r>
      <w:r w:rsidR="00EB38AF" w:rsidRPr="00CA3F6A">
        <w:t>Wyniki</w:t>
      </w:r>
      <w:r w:rsidR="000C00F0" w:rsidRPr="00CA3F6A">
        <w:t xml:space="preserve"> potwierdzają część wcześniejszych badań i </w:t>
      </w:r>
      <w:r w:rsidR="000D01CD" w:rsidRPr="00CA3F6A">
        <w:t xml:space="preserve">niosą dodatkowe informacje. </w:t>
      </w:r>
    </w:p>
    <w:p w14:paraId="5121963D" w14:textId="7FAF0D43" w:rsidR="000D01CD" w:rsidRDefault="000D01CD" w:rsidP="00CA3F6A">
      <w:pPr>
        <w:spacing w:line="360" w:lineRule="auto"/>
      </w:pPr>
      <w:r w:rsidRPr="00CA3F6A">
        <w:tab/>
        <w:t xml:space="preserve">Na podstawie </w:t>
      </w:r>
      <w:r w:rsidR="00EB38AF" w:rsidRPr="00CA3F6A">
        <w:t>wyników</w:t>
      </w:r>
      <w:r w:rsidRPr="00CA3F6A">
        <w:t xml:space="preserve"> zalecić</w:t>
      </w:r>
      <w:r w:rsidR="00A819DB" w:rsidRPr="00CA3F6A">
        <w:t xml:space="preserve"> można</w:t>
      </w:r>
      <w:r w:rsidR="003149B0" w:rsidRPr="00CA3F6A">
        <w:t>, przeprowadzenie ściślejszych badań na</w:t>
      </w:r>
      <w:r w:rsidR="001B36A8" w:rsidRPr="00CA3F6A">
        <w:t xml:space="preserve"> temat wpływu </w:t>
      </w:r>
      <w:r w:rsidR="00C4287A" w:rsidRPr="00CA3F6A">
        <w:t xml:space="preserve">śmiertelności Covid-19 ze względu na rasę. </w:t>
      </w:r>
      <w:r w:rsidR="00DA7E24" w:rsidRPr="00CA3F6A">
        <w:t>Model</w:t>
      </w:r>
      <w:r w:rsidR="00C4287A" w:rsidRPr="00CA3F6A">
        <w:t xml:space="preserve"> wykazał dość dużą rozbieżność</w:t>
      </w:r>
      <w:r w:rsidR="00DC3D3B" w:rsidRPr="00CA3F6A">
        <w:br/>
      </w:r>
      <w:r w:rsidR="00C4287A" w:rsidRPr="00CA3F6A">
        <w:t xml:space="preserve"> </w:t>
      </w:r>
      <w:r w:rsidR="00D65C00" w:rsidRPr="00CA3F6A">
        <w:t>w śmiertelności</w:t>
      </w:r>
      <w:r w:rsidR="00DA7E24" w:rsidRPr="00CA3F6A">
        <w:t xml:space="preserve"> w zależności od rasy. </w:t>
      </w:r>
      <w:r w:rsidR="009E0460" w:rsidRPr="00CA3F6A">
        <w:t>Mogła</w:t>
      </w:r>
      <w:r w:rsidR="006E5B3C" w:rsidRPr="00CA3F6A">
        <w:t xml:space="preserve"> mieć na to wpływ </w:t>
      </w:r>
      <w:r w:rsidR="00ED2224" w:rsidRPr="00CA3F6A">
        <w:t>niepoprawna próbka statystyczna</w:t>
      </w:r>
      <w:r w:rsidR="009E0460" w:rsidRPr="00CA3F6A">
        <w:t xml:space="preserve"> jednak warto przeprowadzić </w:t>
      </w:r>
      <w:r w:rsidR="00567CD2" w:rsidRPr="00CA3F6A">
        <w:t xml:space="preserve">dokładniejsze </w:t>
      </w:r>
      <w:r w:rsidR="009E0460" w:rsidRPr="00CA3F6A">
        <w:t>badania</w:t>
      </w:r>
      <w:r w:rsidR="00EB38AF" w:rsidRPr="00CA3F6A">
        <w:t>,</w:t>
      </w:r>
      <w:r w:rsidR="009E0460" w:rsidRPr="00CA3F6A">
        <w:t xml:space="preserve"> szczególnie w </w:t>
      </w:r>
      <w:r w:rsidR="0036062A" w:rsidRPr="00CA3F6A">
        <w:t xml:space="preserve">grupie pacjentów o rasie </w:t>
      </w:r>
      <w:proofErr w:type="spellStart"/>
      <w:r w:rsidR="0047690E">
        <w:t>Multiple</w:t>
      </w:r>
      <w:proofErr w:type="spellEnd"/>
      <w:r w:rsidR="0047690E">
        <w:t>/</w:t>
      </w:r>
      <w:proofErr w:type="spellStart"/>
      <w:r w:rsidR="0047690E">
        <w:t>Other</w:t>
      </w:r>
      <w:proofErr w:type="spellEnd"/>
      <w:r w:rsidR="0047690E">
        <w:t xml:space="preserve"> oraz Native </w:t>
      </w:r>
      <w:proofErr w:type="spellStart"/>
      <w:r w:rsidR="0047690E">
        <w:t>Hawaiian</w:t>
      </w:r>
      <w:proofErr w:type="spellEnd"/>
      <w:r w:rsidR="0047690E">
        <w:t xml:space="preserve">. Dane </w:t>
      </w:r>
      <w:r w:rsidR="00EB4849">
        <w:t>pokazują, że mogą mieć oni większą odporność na wirusa co może pomó</w:t>
      </w:r>
      <w:r w:rsidR="004A0358">
        <w:t>c</w:t>
      </w:r>
      <w:r w:rsidR="00EB4849">
        <w:t xml:space="preserve"> odnalezieniu skutecznego leku na wirusa.</w:t>
      </w:r>
    </w:p>
    <w:p w14:paraId="0C07334F" w14:textId="4A809E70" w:rsidR="00EB4849" w:rsidRDefault="00EB4849" w:rsidP="00CA3F6A">
      <w:pPr>
        <w:spacing w:line="360" w:lineRule="auto"/>
      </w:pPr>
      <w:r>
        <w:tab/>
      </w:r>
      <w:r w:rsidR="00484BED">
        <w:t>Dodatkową</w:t>
      </w:r>
      <w:r w:rsidR="00FD37AF">
        <w:t xml:space="preserve"> zależnością wartą zbadania jest powód</w:t>
      </w:r>
      <w:r w:rsidR="006A0234">
        <w:t>,</w:t>
      </w:r>
      <w:r w:rsidR="00FD37AF">
        <w:t xml:space="preserve"> </w:t>
      </w:r>
      <w:r w:rsidR="00F24373">
        <w:t>dla którego u pacjentów zakażonych wirusem w późniejszych miesiącach pandemii</w:t>
      </w:r>
      <w:r w:rsidR="00DB72D5">
        <w:t xml:space="preserve"> </w:t>
      </w:r>
      <w:r w:rsidR="0046652B">
        <w:t>śmiertelność jest niższa niż u tych zakażonych wcześniej.</w:t>
      </w:r>
    </w:p>
    <w:p w14:paraId="532B1DDE" w14:textId="2D993322" w:rsidR="00242CED" w:rsidRDefault="00242CED" w:rsidP="00CA3F6A">
      <w:pPr>
        <w:spacing w:line="360" w:lineRule="auto"/>
      </w:pPr>
      <w:r>
        <w:tab/>
        <w:t>Pandemia Covid-19 pomimo wynalezienia szczepionki na pewno potrwa jeszcze wiele miesięcy. Dane zebrane podczas naszej analizy mogą posłużyć do zmniejszania ilości zgonów</w:t>
      </w:r>
      <w:r w:rsidR="00400BC2">
        <w:t xml:space="preserve"> oraz powiększenia naszej wiedzy na temat samej choroby i jej przebiegu.</w:t>
      </w:r>
    </w:p>
    <w:p w14:paraId="6F0D6FD4" w14:textId="53B82EFA" w:rsidR="000852FB" w:rsidRDefault="00780AFE" w:rsidP="00CD596A">
      <w:pPr>
        <w:spacing w:line="360" w:lineRule="auto"/>
      </w:pPr>
      <w:r>
        <w:tab/>
      </w:r>
      <w:bookmarkStart w:id="15" w:name="_Toc534888913"/>
    </w:p>
    <w:p w14:paraId="1914B81C" w14:textId="6A016D1B" w:rsidR="00035F45" w:rsidRDefault="00035F45" w:rsidP="00035F45">
      <w:pPr>
        <w:pStyle w:val="Nagwek1"/>
        <w:spacing w:before="0" w:line="360" w:lineRule="auto"/>
      </w:pPr>
      <w:bookmarkStart w:id="16" w:name="_Toc535108520"/>
      <w:bookmarkEnd w:id="15"/>
      <w:r>
        <w:t>Bibliografia</w:t>
      </w:r>
    </w:p>
    <w:p w14:paraId="74167C74" w14:textId="6B1814BE" w:rsidR="00CD596A" w:rsidRDefault="00CD596A" w:rsidP="00CD596A">
      <w:pPr>
        <w:pStyle w:val="Akapitzlist"/>
        <w:numPr>
          <w:ilvl w:val="0"/>
          <w:numId w:val="6"/>
        </w:numPr>
        <w:spacing w:line="360" w:lineRule="auto"/>
      </w:pPr>
      <w:r w:rsidRPr="00807961">
        <w:t xml:space="preserve">Olivia D. Lara MD  Maria J. </w:t>
      </w:r>
      <w:proofErr w:type="spellStart"/>
      <w:r w:rsidRPr="00807961">
        <w:t>Smith</w:t>
      </w:r>
      <w:proofErr w:type="spellEnd"/>
      <w:r w:rsidRPr="00807961">
        <w:t xml:space="preserve"> BS  </w:t>
      </w:r>
      <w:proofErr w:type="spellStart"/>
      <w:r w:rsidRPr="00807961">
        <w:t>Yuyan</w:t>
      </w:r>
      <w:proofErr w:type="spellEnd"/>
      <w:r w:rsidRPr="00807961">
        <w:t xml:space="preserve"> </w:t>
      </w:r>
      <w:proofErr w:type="spellStart"/>
      <w:r w:rsidRPr="00807961">
        <w:t>Wang</w:t>
      </w:r>
      <w:proofErr w:type="spellEnd"/>
      <w:r w:rsidRPr="00807961">
        <w:t xml:space="preserve"> </w:t>
      </w:r>
      <w:proofErr w:type="spellStart"/>
      <w:r w:rsidRPr="00807961">
        <w:t>PhD</w:t>
      </w:r>
      <w:proofErr w:type="spellEnd"/>
      <w:r>
        <w:t xml:space="preserve">, </w:t>
      </w:r>
      <w:proofErr w:type="spellStart"/>
      <w:r w:rsidRPr="00807961">
        <w:rPr>
          <w:i/>
          <w:iCs/>
        </w:rPr>
        <w:t>Racial</w:t>
      </w:r>
      <w:proofErr w:type="spellEnd"/>
      <w:r w:rsidRPr="00807961">
        <w:rPr>
          <w:i/>
          <w:iCs/>
        </w:rPr>
        <w:t xml:space="preserve"> </w:t>
      </w:r>
      <w:proofErr w:type="spellStart"/>
      <w:r w:rsidRPr="00807961">
        <w:rPr>
          <w:i/>
          <w:iCs/>
        </w:rPr>
        <w:t>disparities</w:t>
      </w:r>
      <w:proofErr w:type="spellEnd"/>
      <w:r w:rsidRPr="00807961">
        <w:rPr>
          <w:i/>
          <w:iCs/>
        </w:rPr>
        <w:t xml:space="preserve"> in </w:t>
      </w:r>
      <w:proofErr w:type="spellStart"/>
      <w:r w:rsidRPr="00807961">
        <w:rPr>
          <w:i/>
          <w:iCs/>
        </w:rPr>
        <w:t>patients</w:t>
      </w:r>
      <w:proofErr w:type="spellEnd"/>
      <w:r w:rsidRPr="00807961">
        <w:rPr>
          <w:i/>
          <w:iCs/>
        </w:rPr>
        <w:t xml:space="preserve"> with </w:t>
      </w:r>
      <w:proofErr w:type="spellStart"/>
      <w:r w:rsidRPr="00807961">
        <w:rPr>
          <w:i/>
          <w:iCs/>
        </w:rPr>
        <w:t>coronavirus</w:t>
      </w:r>
      <w:proofErr w:type="spellEnd"/>
      <w:r w:rsidRPr="00807961">
        <w:rPr>
          <w:i/>
          <w:iCs/>
        </w:rPr>
        <w:t xml:space="preserve"> </w:t>
      </w:r>
      <w:proofErr w:type="spellStart"/>
      <w:r w:rsidRPr="00807961">
        <w:rPr>
          <w:i/>
          <w:iCs/>
        </w:rPr>
        <w:t>disease</w:t>
      </w:r>
      <w:proofErr w:type="spellEnd"/>
      <w:r w:rsidRPr="00807961">
        <w:rPr>
          <w:i/>
          <w:iCs/>
        </w:rPr>
        <w:t xml:space="preserve"> 2019 </w:t>
      </w:r>
      <w:proofErr w:type="spellStart"/>
      <w:r w:rsidRPr="00807961">
        <w:rPr>
          <w:i/>
          <w:iCs/>
        </w:rPr>
        <w:t>infection</w:t>
      </w:r>
      <w:proofErr w:type="spellEnd"/>
      <w:r w:rsidRPr="00807961">
        <w:rPr>
          <w:i/>
          <w:iCs/>
        </w:rPr>
        <w:t xml:space="preserve"> and </w:t>
      </w:r>
      <w:proofErr w:type="spellStart"/>
      <w:r w:rsidRPr="00807961">
        <w:rPr>
          <w:i/>
          <w:iCs/>
        </w:rPr>
        <w:t>gynecologic</w:t>
      </w:r>
      <w:proofErr w:type="spellEnd"/>
      <w:r w:rsidRPr="00807961">
        <w:rPr>
          <w:i/>
          <w:iCs/>
        </w:rPr>
        <w:t xml:space="preserve"> </w:t>
      </w:r>
      <w:proofErr w:type="spellStart"/>
      <w:r w:rsidRPr="00807961">
        <w:rPr>
          <w:i/>
          <w:iCs/>
        </w:rPr>
        <w:t>malignancy</w:t>
      </w:r>
      <w:proofErr w:type="spellEnd"/>
      <w:r>
        <w:rPr>
          <w:i/>
          <w:iCs/>
        </w:rPr>
        <w:t xml:space="preserve">, </w:t>
      </w:r>
      <w:r w:rsidRPr="00807961">
        <w:t xml:space="preserve">American </w:t>
      </w:r>
      <w:proofErr w:type="spellStart"/>
      <w:r w:rsidRPr="00807961">
        <w:t>Cancer</w:t>
      </w:r>
      <w:proofErr w:type="spellEnd"/>
      <w:r w:rsidRPr="00807961">
        <w:t xml:space="preserve"> </w:t>
      </w:r>
      <w:proofErr w:type="spellStart"/>
      <w:r w:rsidRPr="00807961">
        <w:t>Society</w:t>
      </w:r>
      <w:proofErr w:type="spellEnd"/>
      <w:r w:rsidRPr="00807961">
        <w:t xml:space="preserve"> </w:t>
      </w:r>
      <w:r w:rsidRPr="00E877C5">
        <w:t>(2020)</w:t>
      </w:r>
    </w:p>
    <w:p w14:paraId="15E09F2F" w14:textId="41D8667D" w:rsidR="00CD596A" w:rsidRDefault="00CD596A" w:rsidP="00CD596A">
      <w:pPr>
        <w:pStyle w:val="Akapitzlist"/>
        <w:numPr>
          <w:ilvl w:val="0"/>
          <w:numId w:val="6"/>
        </w:numPr>
        <w:spacing w:line="360" w:lineRule="auto"/>
      </w:pPr>
      <w:r w:rsidRPr="0016273A">
        <w:t xml:space="preserve">Andrea </w:t>
      </w:r>
      <w:proofErr w:type="spellStart"/>
      <w:r w:rsidRPr="0016273A">
        <w:t>Borghesi</w:t>
      </w:r>
      <w:proofErr w:type="spellEnd"/>
      <w:r w:rsidRPr="0016273A">
        <w:t xml:space="preserve">, Angelo </w:t>
      </w:r>
      <w:proofErr w:type="spellStart"/>
      <w:r w:rsidRPr="0016273A">
        <w:t>Zigliani</w:t>
      </w:r>
      <w:proofErr w:type="spellEnd"/>
      <w:r w:rsidRPr="0016273A">
        <w:t xml:space="preserve">, Roberto </w:t>
      </w:r>
      <w:proofErr w:type="spellStart"/>
      <w:r w:rsidRPr="0016273A">
        <w:t>Masciullo</w:t>
      </w:r>
      <w:proofErr w:type="spellEnd"/>
      <w:r w:rsidRPr="0016273A">
        <w:t xml:space="preserve">, </w:t>
      </w:r>
      <w:proofErr w:type="spellStart"/>
      <w:r w:rsidRPr="0016273A">
        <w:t>Salvatore</w:t>
      </w:r>
      <w:proofErr w:type="spellEnd"/>
      <w:r w:rsidRPr="0016273A">
        <w:t xml:space="preserve"> </w:t>
      </w:r>
      <w:proofErr w:type="spellStart"/>
      <w:r w:rsidRPr="0016273A">
        <w:t>Golemi</w:t>
      </w:r>
      <w:proofErr w:type="spellEnd"/>
      <w:r w:rsidRPr="0016273A">
        <w:t xml:space="preserve">, </w:t>
      </w:r>
      <w:proofErr w:type="spellStart"/>
      <w:r w:rsidRPr="0016273A">
        <w:rPr>
          <w:i/>
          <w:iCs/>
        </w:rPr>
        <w:t>Radiographic</w:t>
      </w:r>
      <w:proofErr w:type="spellEnd"/>
      <w:r w:rsidRPr="0016273A">
        <w:rPr>
          <w:i/>
          <w:iCs/>
        </w:rPr>
        <w:t xml:space="preserve"> </w:t>
      </w:r>
      <w:proofErr w:type="spellStart"/>
      <w:r w:rsidRPr="0016273A">
        <w:rPr>
          <w:i/>
          <w:iCs/>
        </w:rPr>
        <w:t>severity</w:t>
      </w:r>
      <w:proofErr w:type="spellEnd"/>
      <w:r w:rsidRPr="0016273A">
        <w:rPr>
          <w:i/>
          <w:iCs/>
        </w:rPr>
        <w:t xml:space="preserve"> index in COVID-19 pneumonia: </w:t>
      </w:r>
      <w:proofErr w:type="spellStart"/>
      <w:r w:rsidRPr="0016273A">
        <w:rPr>
          <w:i/>
          <w:iCs/>
        </w:rPr>
        <w:t>relationship</w:t>
      </w:r>
      <w:proofErr w:type="spellEnd"/>
      <w:r w:rsidRPr="0016273A">
        <w:rPr>
          <w:i/>
          <w:iCs/>
        </w:rPr>
        <w:t xml:space="preserve"> to </w:t>
      </w:r>
      <w:proofErr w:type="spellStart"/>
      <w:r w:rsidRPr="0016273A">
        <w:rPr>
          <w:i/>
          <w:iCs/>
        </w:rPr>
        <w:t>age</w:t>
      </w:r>
      <w:proofErr w:type="spellEnd"/>
      <w:r w:rsidRPr="0016273A">
        <w:rPr>
          <w:i/>
          <w:iCs/>
        </w:rPr>
        <w:t xml:space="preserve"> and sex in 783 </w:t>
      </w:r>
      <w:proofErr w:type="spellStart"/>
      <w:r w:rsidRPr="0016273A">
        <w:rPr>
          <w:i/>
          <w:iCs/>
        </w:rPr>
        <w:t>Italian</w:t>
      </w:r>
      <w:proofErr w:type="spellEnd"/>
      <w:r w:rsidRPr="0016273A">
        <w:rPr>
          <w:i/>
          <w:iCs/>
        </w:rPr>
        <w:t xml:space="preserve"> </w:t>
      </w:r>
      <w:proofErr w:type="spellStart"/>
      <w:r w:rsidRPr="0016273A">
        <w:rPr>
          <w:i/>
          <w:iCs/>
        </w:rPr>
        <w:t>patients</w:t>
      </w:r>
      <w:proofErr w:type="spellEnd"/>
      <w:r>
        <w:rPr>
          <w:i/>
          <w:iCs/>
        </w:rPr>
        <w:t xml:space="preserve">. </w:t>
      </w:r>
      <w:r w:rsidRPr="0016273A">
        <w:t xml:space="preserve">La radiologia </w:t>
      </w:r>
      <w:proofErr w:type="spellStart"/>
      <w:r w:rsidRPr="0016273A">
        <w:t>medica</w:t>
      </w:r>
      <w:proofErr w:type="spellEnd"/>
      <w:r>
        <w:t xml:space="preserve"> (2020)</w:t>
      </w:r>
    </w:p>
    <w:p w14:paraId="0EA969DE" w14:textId="31756D6C" w:rsidR="00CD596A" w:rsidRDefault="00CD596A" w:rsidP="00CD596A">
      <w:pPr>
        <w:pStyle w:val="Akapitzlist"/>
        <w:numPr>
          <w:ilvl w:val="0"/>
          <w:numId w:val="6"/>
        </w:numPr>
        <w:spacing w:line="360" w:lineRule="auto"/>
      </w:pPr>
      <w:r>
        <w:t xml:space="preserve">Abu Reza Md. </w:t>
      </w:r>
      <w:proofErr w:type="spellStart"/>
      <w:r>
        <w:t>Towfiqul</w:t>
      </w:r>
      <w:proofErr w:type="spellEnd"/>
      <w:r>
        <w:t xml:space="preserve"> Islam, Md. </w:t>
      </w:r>
      <w:proofErr w:type="spellStart"/>
      <w:r>
        <w:t>Hasanuzzaman</w:t>
      </w:r>
      <w:proofErr w:type="spellEnd"/>
      <w:r>
        <w:t xml:space="preserve">, Md. </w:t>
      </w:r>
      <w:proofErr w:type="spellStart"/>
      <w:r>
        <w:t>Abul</w:t>
      </w:r>
      <w:proofErr w:type="spellEnd"/>
      <w:r>
        <w:t xml:space="preserve"> Kalam </w:t>
      </w:r>
      <w:proofErr w:type="spellStart"/>
      <w:r>
        <w:t>Azad</w:t>
      </w:r>
      <w:proofErr w:type="spellEnd"/>
      <w:r w:rsidRPr="00CD596A">
        <w:rPr>
          <w:i/>
          <w:iCs/>
        </w:rPr>
        <w:t xml:space="preserve">, </w:t>
      </w:r>
      <w:proofErr w:type="spellStart"/>
      <w:r w:rsidRPr="00CD596A">
        <w:rPr>
          <w:i/>
          <w:iCs/>
        </w:rPr>
        <w:t>Effect</w:t>
      </w:r>
      <w:proofErr w:type="spellEnd"/>
      <w:r w:rsidRPr="00CD596A">
        <w:rPr>
          <w:i/>
          <w:iCs/>
        </w:rPr>
        <w:t xml:space="preserve"> of </w:t>
      </w:r>
      <w:proofErr w:type="spellStart"/>
      <w:r w:rsidRPr="00CD596A">
        <w:rPr>
          <w:i/>
          <w:iCs/>
        </w:rPr>
        <w:t>meteorological</w:t>
      </w:r>
      <w:proofErr w:type="spellEnd"/>
      <w:r w:rsidRPr="00CD596A">
        <w:rPr>
          <w:i/>
          <w:iCs/>
        </w:rPr>
        <w:t xml:space="preserve"> </w:t>
      </w:r>
      <w:proofErr w:type="spellStart"/>
      <w:r w:rsidRPr="00CD596A">
        <w:rPr>
          <w:i/>
          <w:iCs/>
        </w:rPr>
        <w:t>factors</w:t>
      </w:r>
      <w:proofErr w:type="spellEnd"/>
      <w:r w:rsidRPr="00CD596A">
        <w:rPr>
          <w:i/>
          <w:iCs/>
        </w:rPr>
        <w:t xml:space="preserve"> on COVID-19 </w:t>
      </w:r>
      <w:proofErr w:type="spellStart"/>
      <w:r w:rsidRPr="00CD596A">
        <w:rPr>
          <w:i/>
          <w:iCs/>
        </w:rPr>
        <w:t>cases</w:t>
      </w:r>
      <w:proofErr w:type="spellEnd"/>
      <w:r w:rsidRPr="00CD596A">
        <w:rPr>
          <w:i/>
          <w:iCs/>
        </w:rPr>
        <w:t xml:space="preserve"> in </w:t>
      </w:r>
      <w:proofErr w:type="spellStart"/>
      <w:r w:rsidRPr="00CD596A">
        <w:rPr>
          <w:i/>
          <w:iCs/>
        </w:rPr>
        <w:t>Bangladesh</w:t>
      </w:r>
      <w:proofErr w:type="spellEnd"/>
      <w:r w:rsidRPr="00CD596A">
        <w:rPr>
          <w:i/>
          <w:iCs/>
        </w:rPr>
        <w:t>,</w:t>
      </w:r>
      <w:r>
        <w:t xml:space="preserve"> Environment, Development and </w:t>
      </w:r>
      <w:proofErr w:type="spellStart"/>
      <w:r>
        <w:t>Sustainability</w:t>
      </w:r>
      <w:proofErr w:type="spellEnd"/>
      <w:r>
        <w:t xml:space="preserve"> (2020)</w:t>
      </w:r>
    </w:p>
    <w:p w14:paraId="25E0B3F6" w14:textId="0CC80288" w:rsidR="00CD596A" w:rsidRDefault="00CD596A" w:rsidP="00CD596A">
      <w:pPr>
        <w:pStyle w:val="Akapitzlist"/>
        <w:numPr>
          <w:ilvl w:val="0"/>
          <w:numId w:val="6"/>
        </w:numPr>
        <w:spacing w:line="360" w:lineRule="auto"/>
      </w:pPr>
      <w:r w:rsidRPr="00CD596A">
        <w:rPr>
          <w:i/>
          <w:iCs/>
        </w:rPr>
        <w:t xml:space="preserve">Raport zakażeń </w:t>
      </w:r>
      <w:proofErr w:type="spellStart"/>
      <w:r w:rsidRPr="00CD596A">
        <w:rPr>
          <w:i/>
          <w:iCs/>
        </w:rPr>
        <w:t>koronawirusem</w:t>
      </w:r>
      <w:proofErr w:type="spellEnd"/>
      <w:r w:rsidRPr="00CD596A">
        <w:rPr>
          <w:i/>
          <w:iCs/>
        </w:rPr>
        <w:t xml:space="preserve"> SARS-CoV-2</w:t>
      </w:r>
      <w:r>
        <w:t xml:space="preserve">, </w:t>
      </w:r>
      <w:hyperlink r:id="rId20" w:history="1">
        <w:r w:rsidRPr="00AB5DB7">
          <w:rPr>
            <w:rStyle w:val="Hipercze"/>
          </w:rPr>
          <w:t>https://www.gov.pl/web/koronawirus/</w:t>
        </w:r>
      </w:hyperlink>
    </w:p>
    <w:p w14:paraId="4F403741" w14:textId="04B0ECE8" w:rsidR="00CD596A" w:rsidRDefault="00CD596A" w:rsidP="00280A9D">
      <w:pPr>
        <w:pStyle w:val="Akapitzlist"/>
        <w:numPr>
          <w:ilvl w:val="0"/>
          <w:numId w:val="6"/>
        </w:numPr>
        <w:spacing w:line="360" w:lineRule="auto"/>
      </w:pPr>
      <w:r>
        <w:t xml:space="preserve">Valentin </w:t>
      </w:r>
      <w:proofErr w:type="spellStart"/>
      <w:r>
        <w:t>Amrhein</w:t>
      </w:r>
      <w:proofErr w:type="spellEnd"/>
      <w:r>
        <w:t>,</w:t>
      </w:r>
      <w:r>
        <w:t xml:space="preserve"> </w:t>
      </w:r>
      <w:r>
        <w:t xml:space="preserve">Sander </w:t>
      </w:r>
      <w:proofErr w:type="spellStart"/>
      <w:r>
        <w:t>Greenland</w:t>
      </w:r>
      <w:proofErr w:type="spellEnd"/>
      <w:r>
        <w:t xml:space="preserve">, </w:t>
      </w:r>
      <w:r>
        <w:t xml:space="preserve">Blake </w:t>
      </w:r>
      <w:proofErr w:type="spellStart"/>
      <w:r>
        <w:t>McShane</w:t>
      </w:r>
      <w:proofErr w:type="spellEnd"/>
      <w:r>
        <w:t xml:space="preserve">, </w:t>
      </w:r>
      <w:proofErr w:type="spellStart"/>
      <w:r w:rsidRPr="00CD596A">
        <w:rPr>
          <w:i/>
          <w:iCs/>
        </w:rPr>
        <w:t>Scientists</w:t>
      </w:r>
      <w:proofErr w:type="spellEnd"/>
      <w:r w:rsidRPr="00CD596A">
        <w:rPr>
          <w:i/>
          <w:iCs/>
        </w:rPr>
        <w:t xml:space="preserve"> </w:t>
      </w:r>
      <w:proofErr w:type="spellStart"/>
      <w:r w:rsidRPr="00CD596A">
        <w:rPr>
          <w:i/>
          <w:iCs/>
        </w:rPr>
        <w:t>rise</w:t>
      </w:r>
      <w:proofErr w:type="spellEnd"/>
      <w:r w:rsidRPr="00CD596A">
        <w:rPr>
          <w:i/>
          <w:iCs/>
        </w:rPr>
        <w:t xml:space="preserve"> </w:t>
      </w:r>
      <w:proofErr w:type="spellStart"/>
      <w:r w:rsidRPr="00CD596A">
        <w:rPr>
          <w:i/>
          <w:iCs/>
        </w:rPr>
        <w:t>up</w:t>
      </w:r>
      <w:proofErr w:type="spellEnd"/>
      <w:r w:rsidRPr="00CD596A">
        <w:rPr>
          <w:i/>
          <w:iCs/>
        </w:rPr>
        <w:t xml:space="preserve"> </w:t>
      </w:r>
      <w:proofErr w:type="spellStart"/>
      <w:r w:rsidRPr="00CD596A">
        <w:rPr>
          <w:i/>
          <w:iCs/>
        </w:rPr>
        <w:t>against</w:t>
      </w:r>
      <w:proofErr w:type="spellEnd"/>
      <w:r w:rsidRPr="00CD596A">
        <w:rPr>
          <w:i/>
          <w:iCs/>
        </w:rPr>
        <w:t xml:space="preserve"> </w:t>
      </w:r>
      <w:proofErr w:type="spellStart"/>
      <w:r w:rsidRPr="00CD596A">
        <w:rPr>
          <w:i/>
          <w:iCs/>
        </w:rPr>
        <w:t>statistical</w:t>
      </w:r>
      <w:proofErr w:type="spellEnd"/>
      <w:r w:rsidRPr="00CD596A">
        <w:rPr>
          <w:i/>
          <w:iCs/>
        </w:rPr>
        <w:t xml:space="preserve"> </w:t>
      </w:r>
      <w:proofErr w:type="spellStart"/>
      <w:r w:rsidRPr="00CD596A">
        <w:rPr>
          <w:i/>
          <w:iCs/>
        </w:rPr>
        <w:t>significance</w:t>
      </w:r>
      <w:proofErr w:type="spellEnd"/>
      <w:r>
        <w:t>. Nature (2019)</w:t>
      </w:r>
    </w:p>
    <w:p w14:paraId="6F0D6FDA" w14:textId="77777777" w:rsidR="0093728A" w:rsidRPr="0093728A" w:rsidRDefault="0093728A" w:rsidP="0093728A">
      <w:pPr>
        <w:sectPr w:rsidR="0093728A" w:rsidRPr="0093728A" w:rsidSect="0093728A">
          <w:footerReference w:type="default" r:id="rId21"/>
          <w:footerReference w:type="first" r:id="rId22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bookmarkEnd w:id="16"/>
    <w:p w14:paraId="6F0D702C" w14:textId="77777777" w:rsidR="003B0327" w:rsidRPr="00952D63" w:rsidRDefault="003B0327" w:rsidP="00CD596A">
      <w:pPr>
        <w:pStyle w:val="Nagwek1"/>
      </w:pPr>
    </w:p>
    <w:sectPr w:rsidR="003B0327" w:rsidRPr="00952D63" w:rsidSect="002E7AE5">
      <w:type w:val="continuous"/>
      <w:pgSz w:w="11906" w:h="16838"/>
      <w:pgMar w:top="1417" w:right="1417" w:bottom="1417" w:left="1417" w:header="708" w:footer="708" w:gutter="0"/>
      <w:cols w:num="2" w:space="28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FCBB2" w14:textId="77777777" w:rsidR="001D7C90" w:rsidRDefault="001D7C90" w:rsidP="00E1635F">
      <w:pPr>
        <w:spacing w:after="0" w:line="240" w:lineRule="auto"/>
      </w:pPr>
      <w:r>
        <w:separator/>
      </w:r>
    </w:p>
  </w:endnote>
  <w:endnote w:type="continuationSeparator" w:id="0">
    <w:p w14:paraId="11F3E19C" w14:textId="77777777" w:rsidR="001D7C90" w:rsidRDefault="001D7C90" w:rsidP="00E1635F">
      <w:pPr>
        <w:spacing w:after="0" w:line="240" w:lineRule="auto"/>
      </w:pPr>
      <w:r>
        <w:continuationSeparator/>
      </w:r>
    </w:p>
  </w:endnote>
  <w:endnote w:type="continuationNotice" w:id="1">
    <w:p w14:paraId="57DB03AC" w14:textId="77777777" w:rsidR="001D7C90" w:rsidRDefault="001D7C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pacing w:val="30"/>
      </w:rPr>
      <w:id w:val="-1022173542"/>
      <w:docPartObj>
        <w:docPartGallery w:val="Page Numbers (Bottom of Page)"/>
        <w:docPartUnique/>
      </w:docPartObj>
    </w:sdtPr>
    <w:sdtEndPr>
      <w:rPr>
        <w:spacing w:val="26"/>
      </w:rPr>
    </w:sdtEndPr>
    <w:sdtContent>
      <w:p w14:paraId="6F0D704F" w14:textId="77777777" w:rsidR="0093728A" w:rsidRPr="00082854" w:rsidRDefault="0093728A">
        <w:pPr>
          <w:pStyle w:val="Stopka"/>
          <w:jc w:val="right"/>
          <w:rPr>
            <w:spacing w:val="26"/>
          </w:rPr>
        </w:pPr>
        <w:r w:rsidRPr="00082854">
          <w:rPr>
            <w:spacing w:val="26"/>
          </w:rPr>
          <w:t xml:space="preserve">Strona | </w:t>
        </w:r>
        <w:r w:rsidRPr="00082854">
          <w:rPr>
            <w:b/>
            <w:color w:val="2F5496" w:themeColor="accent1" w:themeShade="BF"/>
            <w:spacing w:val="26"/>
          </w:rPr>
          <w:fldChar w:fldCharType="begin"/>
        </w:r>
        <w:r w:rsidRPr="00082854">
          <w:rPr>
            <w:b/>
            <w:color w:val="2F5496" w:themeColor="accent1" w:themeShade="BF"/>
            <w:spacing w:val="26"/>
          </w:rPr>
          <w:instrText>PAGE   \* MERGEFORMAT</w:instrText>
        </w:r>
        <w:r w:rsidRPr="00082854">
          <w:rPr>
            <w:b/>
            <w:color w:val="2F5496" w:themeColor="accent1" w:themeShade="BF"/>
            <w:spacing w:val="26"/>
          </w:rPr>
          <w:fldChar w:fldCharType="separate"/>
        </w:r>
        <w:r w:rsidR="00FC307E">
          <w:rPr>
            <w:b/>
            <w:noProof/>
            <w:color w:val="2F5496" w:themeColor="accent1" w:themeShade="BF"/>
            <w:spacing w:val="26"/>
          </w:rPr>
          <w:t>16</w:t>
        </w:r>
        <w:r w:rsidRPr="00082854">
          <w:rPr>
            <w:b/>
            <w:color w:val="2F5496" w:themeColor="accent1" w:themeShade="BF"/>
            <w:spacing w:val="26"/>
          </w:rPr>
          <w:fldChar w:fldCharType="end"/>
        </w:r>
      </w:p>
    </w:sdtContent>
  </w:sdt>
  <w:p w14:paraId="6F0D7050" w14:textId="77777777" w:rsidR="0093728A" w:rsidRDefault="0093728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D7051" w14:textId="77777777" w:rsidR="0093728A" w:rsidRDefault="0093728A" w:rsidP="001B346B">
    <w:pPr>
      <w:pStyle w:val="Stopka"/>
      <w:tabs>
        <w:tab w:val="left" w:pos="7815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C1612" w14:textId="77777777" w:rsidR="001D7C90" w:rsidRDefault="001D7C90" w:rsidP="00E1635F">
      <w:pPr>
        <w:spacing w:after="0" w:line="240" w:lineRule="auto"/>
      </w:pPr>
      <w:r>
        <w:separator/>
      </w:r>
    </w:p>
  </w:footnote>
  <w:footnote w:type="continuationSeparator" w:id="0">
    <w:p w14:paraId="473D8245" w14:textId="77777777" w:rsidR="001D7C90" w:rsidRDefault="001D7C90" w:rsidP="00E1635F">
      <w:pPr>
        <w:spacing w:after="0" w:line="240" w:lineRule="auto"/>
      </w:pPr>
      <w:r>
        <w:continuationSeparator/>
      </w:r>
    </w:p>
  </w:footnote>
  <w:footnote w:type="continuationNotice" w:id="1">
    <w:p w14:paraId="3C4E5D71" w14:textId="77777777" w:rsidR="001D7C90" w:rsidRDefault="001D7C90">
      <w:pPr>
        <w:spacing w:after="0" w:line="240" w:lineRule="auto"/>
      </w:pPr>
    </w:p>
  </w:footnote>
  <w:footnote w:id="2">
    <w:p w14:paraId="18A9688A" w14:textId="5376B9B6" w:rsidR="00807961" w:rsidRDefault="0080796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bookmarkStart w:id="2" w:name="_Hlk58616349"/>
      <w:r w:rsidRPr="00807961">
        <w:t xml:space="preserve">Olivia D. Lara MD  Maria J. </w:t>
      </w:r>
      <w:proofErr w:type="spellStart"/>
      <w:r w:rsidRPr="00807961">
        <w:t>Smith</w:t>
      </w:r>
      <w:proofErr w:type="spellEnd"/>
      <w:r w:rsidRPr="00807961">
        <w:t xml:space="preserve"> BS  </w:t>
      </w:r>
      <w:proofErr w:type="spellStart"/>
      <w:r w:rsidRPr="00807961">
        <w:t>Yuyan</w:t>
      </w:r>
      <w:proofErr w:type="spellEnd"/>
      <w:r w:rsidRPr="00807961">
        <w:t xml:space="preserve"> </w:t>
      </w:r>
      <w:proofErr w:type="spellStart"/>
      <w:r w:rsidRPr="00807961">
        <w:t>Wang</w:t>
      </w:r>
      <w:proofErr w:type="spellEnd"/>
      <w:r w:rsidRPr="00807961">
        <w:t xml:space="preserve"> </w:t>
      </w:r>
      <w:proofErr w:type="spellStart"/>
      <w:r w:rsidRPr="00807961">
        <w:t>PhD</w:t>
      </w:r>
      <w:proofErr w:type="spellEnd"/>
      <w:r>
        <w:t xml:space="preserve">, </w:t>
      </w:r>
      <w:proofErr w:type="spellStart"/>
      <w:r w:rsidRPr="00807961">
        <w:rPr>
          <w:i/>
          <w:iCs/>
        </w:rPr>
        <w:t>Racial</w:t>
      </w:r>
      <w:proofErr w:type="spellEnd"/>
      <w:r w:rsidRPr="00807961">
        <w:rPr>
          <w:i/>
          <w:iCs/>
        </w:rPr>
        <w:t xml:space="preserve"> </w:t>
      </w:r>
      <w:proofErr w:type="spellStart"/>
      <w:r w:rsidRPr="00807961">
        <w:rPr>
          <w:i/>
          <w:iCs/>
        </w:rPr>
        <w:t>disparities</w:t>
      </w:r>
      <w:proofErr w:type="spellEnd"/>
      <w:r w:rsidRPr="00807961">
        <w:rPr>
          <w:i/>
          <w:iCs/>
        </w:rPr>
        <w:t xml:space="preserve"> in </w:t>
      </w:r>
      <w:proofErr w:type="spellStart"/>
      <w:r w:rsidRPr="00807961">
        <w:rPr>
          <w:i/>
          <w:iCs/>
        </w:rPr>
        <w:t>patients</w:t>
      </w:r>
      <w:proofErr w:type="spellEnd"/>
      <w:r w:rsidRPr="00807961">
        <w:rPr>
          <w:i/>
          <w:iCs/>
        </w:rPr>
        <w:t xml:space="preserve"> with </w:t>
      </w:r>
      <w:proofErr w:type="spellStart"/>
      <w:r w:rsidRPr="00807961">
        <w:rPr>
          <w:i/>
          <w:iCs/>
        </w:rPr>
        <w:t>coronavirus</w:t>
      </w:r>
      <w:proofErr w:type="spellEnd"/>
      <w:r w:rsidRPr="00807961">
        <w:rPr>
          <w:i/>
          <w:iCs/>
        </w:rPr>
        <w:t xml:space="preserve"> </w:t>
      </w:r>
      <w:proofErr w:type="spellStart"/>
      <w:r w:rsidRPr="00807961">
        <w:rPr>
          <w:i/>
          <w:iCs/>
        </w:rPr>
        <w:t>disease</w:t>
      </w:r>
      <w:proofErr w:type="spellEnd"/>
      <w:r w:rsidRPr="00807961">
        <w:rPr>
          <w:i/>
          <w:iCs/>
        </w:rPr>
        <w:t xml:space="preserve"> 2019 </w:t>
      </w:r>
      <w:proofErr w:type="spellStart"/>
      <w:r w:rsidRPr="00807961">
        <w:rPr>
          <w:i/>
          <w:iCs/>
        </w:rPr>
        <w:t>infection</w:t>
      </w:r>
      <w:proofErr w:type="spellEnd"/>
      <w:r w:rsidRPr="00807961">
        <w:rPr>
          <w:i/>
          <w:iCs/>
        </w:rPr>
        <w:t xml:space="preserve"> and </w:t>
      </w:r>
      <w:proofErr w:type="spellStart"/>
      <w:r w:rsidRPr="00807961">
        <w:rPr>
          <w:i/>
          <w:iCs/>
        </w:rPr>
        <w:t>gynecologic</w:t>
      </w:r>
      <w:proofErr w:type="spellEnd"/>
      <w:r w:rsidRPr="00807961">
        <w:rPr>
          <w:i/>
          <w:iCs/>
        </w:rPr>
        <w:t xml:space="preserve"> </w:t>
      </w:r>
      <w:proofErr w:type="spellStart"/>
      <w:r w:rsidRPr="00807961">
        <w:rPr>
          <w:i/>
          <w:iCs/>
        </w:rPr>
        <w:t>malignancy</w:t>
      </w:r>
      <w:proofErr w:type="spellEnd"/>
      <w:r>
        <w:rPr>
          <w:i/>
          <w:iCs/>
        </w:rPr>
        <w:t>,</w:t>
      </w:r>
      <w:r>
        <w:rPr>
          <w:i/>
          <w:iCs/>
        </w:rPr>
        <w:t xml:space="preserve">, </w:t>
      </w:r>
      <w:r w:rsidRPr="00807961">
        <w:t xml:space="preserve">American </w:t>
      </w:r>
      <w:proofErr w:type="spellStart"/>
      <w:r w:rsidRPr="00807961">
        <w:t>Cancer</w:t>
      </w:r>
      <w:proofErr w:type="spellEnd"/>
      <w:r w:rsidRPr="00807961">
        <w:t xml:space="preserve"> </w:t>
      </w:r>
      <w:proofErr w:type="spellStart"/>
      <w:r w:rsidRPr="00807961">
        <w:t>Society</w:t>
      </w:r>
      <w:proofErr w:type="spellEnd"/>
      <w:r w:rsidRPr="00807961">
        <w:t xml:space="preserve"> </w:t>
      </w:r>
      <w:r w:rsidRPr="00E877C5">
        <w:t>(2020)</w:t>
      </w:r>
      <w:bookmarkEnd w:id="2"/>
    </w:p>
  </w:footnote>
  <w:footnote w:id="3">
    <w:p w14:paraId="23088E3B" w14:textId="70EE10C2" w:rsidR="00807961" w:rsidRPr="0016273A" w:rsidRDefault="0080796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16273A" w:rsidRPr="0016273A">
        <w:t xml:space="preserve">Andrea </w:t>
      </w:r>
      <w:proofErr w:type="spellStart"/>
      <w:r w:rsidR="0016273A" w:rsidRPr="0016273A">
        <w:t>Borghesi</w:t>
      </w:r>
      <w:proofErr w:type="spellEnd"/>
      <w:r w:rsidR="0016273A" w:rsidRPr="0016273A">
        <w:t xml:space="preserve">, Angelo </w:t>
      </w:r>
      <w:proofErr w:type="spellStart"/>
      <w:r w:rsidR="0016273A" w:rsidRPr="0016273A">
        <w:t>Zigliani</w:t>
      </w:r>
      <w:proofErr w:type="spellEnd"/>
      <w:r w:rsidR="0016273A" w:rsidRPr="0016273A">
        <w:t xml:space="preserve">, Roberto </w:t>
      </w:r>
      <w:proofErr w:type="spellStart"/>
      <w:r w:rsidR="0016273A" w:rsidRPr="0016273A">
        <w:t>Masciullo</w:t>
      </w:r>
      <w:proofErr w:type="spellEnd"/>
      <w:r w:rsidR="0016273A" w:rsidRPr="0016273A">
        <w:t xml:space="preserve">, </w:t>
      </w:r>
      <w:proofErr w:type="spellStart"/>
      <w:r w:rsidR="0016273A" w:rsidRPr="0016273A">
        <w:t>Salvatore</w:t>
      </w:r>
      <w:proofErr w:type="spellEnd"/>
      <w:r w:rsidR="0016273A" w:rsidRPr="0016273A">
        <w:t xml:space="preserve"> </w:t>
      </w:r>
      <w:proofErr w:type="spellStart"/>
      <w:r w:rsidR="0016273A" w:rsidRPr="0016273A">
        <w:t>Golemi</w:t>
      </w:r>
      <w:proofErr w:type="spellEnd"/>
      <w:r w:rsidR="0016273A" w:rsidRPr="0016273A">
        <w:t>,</w:t>
      </w:r>
      <w:r w:rsidR="0016273A" w:rsidRPr="0016273A">
        <w:t xml:space="preserve"> </w:t>
      </w:r>
      <w:proofErr w:type="spellStart"/>
      <w:r w:rsidR="0016273A" w:rsidRPr="0016273A">
        <w:rPr>
          <w:i/>
          <w:iCs/>
        </w:rPr>
        <w:t>Radiographic</w:t>
      </w:r>
      <w:proofErr w:type="spellEnd"/>
      <w:r w:rsidR="0016273A" w:rsidRPr="0016273A">
        <w:rPr>
          <w:i/>
          <w:iCs/>
        </w:rPr>
        <w:t xml:space="preserve"> </w:t>
      </w:r>
      <w:proofErr w:type="spellStart"/>
      <w:r w:rsidR="0016273A" w:rsidRPr="0016273A">
        <w:rPr>
          <w:i/>
          <w:iCs/>
        </w:rPr>
        <w:t>severity</w:t>
      </w:r>
      <w:proofErr w:type="spellEnd"/>
      <w:r w:rsidR="0016273A" w:rsidRPr="0016273A">
        <w:rPr>
          <w:i/>
          <w:iCs/>
        </w:rPr>
        <w:t xml:space="preserve"> index in COVID-19 pneumonia: </w:t>
      </w:r>
      <w:proofErr w:type="spellStart"/>
      <w:r w:rsidR="0016273A" w:rsidRPr="0016273A">
        <w:rPr>
          <w:i/>
          <w:iCs/>
        </w:rPr>
        <w:t>relationship</w:t>
      </w:r>
      <w:proofErr w:type="spellEnd"/>
      <w:r w:rsidR="0016273A" w:rsidRPr="0016273A">
        <w:rPr>
          <w:i/>
          <w:iCs/>
        </w:rPr>
        <w:t xml:space="preserve"> to </w:t>
      </w:r>
      <w:proofErr w:type="spellStart"/>
      <w:r w:rsidR="0016273A" w:rsidRPr="0016273A">
        <w:rPr>
          <w:i/>
          <w:iCs/>
        </w:rPr>
        <w:t>age</w:t>
      </w:r>
      <w:proofErr w:type="spellEnd"/>
      <w:r w:rsidR="0016273A" w:rsidRPr="0016273A">
        <w:rPr>
          <w:i/>
          <w:iCs/>
        </w:rPr>
        <w:t xml:space="preserve"> and sex in 783 </w:t>
      </w:r>
      <w:proofErr w:type="spellStart"/>
      <w:r w:rsidR="0016273A" w:rsidRPr="0016273A">
        <w:rPr>
          <w:i/>
          <w:iCs/>
        </w:rPr>
        <w:t>Italian</w:t>
      </w:r>
      <w:proofErr w:type="spellEnd"/>
      <w:r w:rsidR="0016273A" w:rsidRPr="0016273A">
        <w:rPr>
          <w:i/>
          <w:iCs/>
        </w:rPr>
        <w:t xml:space="preserve"> </w:t>
      </w:r>
      <w:proofErr w:type="spellStart"/>
      <w:r w:rsidR="0016273A" w:rsidRPr="0016273A">
        <w:rPr>
          <w:i/>
          <w:iCs/>
        </w:rPr>
        <w:t>patients</w:t>
      </w:r>
      <w:proofErr w:type="spellEnd"/>
      <w:r w:rsidR="0016273A">
        <w:rPr>
          <w:i/>
          <w:iCs/>
        </w:rPr>
        <w:t xml:space="preserve">. </w:t>
      </w:r>
      <w:r w:rsidR="0016273A" w:rsidRPr="0016273A">
        <w:t xml:space="preserve">La radiologia </w:t>
      </w:r>
      <w:proofErr w:type="spellStart"/>
      <w:r w:rsidR="0016273A" w:rsidRPr="0016273A">
        <w:t>medica</w:t>
      </w:r>
      <w:proofErr w:type="spellEnd"/>
      <w:r w:rsidR="0016273A">
        <w:t xml:space="preserve"> (2020)</w:t>
      </w:r>
    </w:p>
  </w:footnote>
  <w:footnote w:id="4">
    <w:p w14:paraId="17397709" w14:textId="02BD4A65" w:rsidR="0016273A" w:rsidRPr="0016273A" w:rsidRDefault="0016273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16273A">
        <w:t xml:space="preserve">Abu Reza Md. </w:t>
      </w:r>
      <w:proofErr w:type="spellStart"/>
      <w:r w:rsidRPr="0016273A">
        <w:t>Towfiqul</w:t>
      </w:r>
      <w:proofErr w:type="spellEnd"/>
      <w:r w:rsidRPr="0016273A">
        <w:t xml:space="preserve"> Islam, Md. </w:t>
      </w:r>
      <w:proofErr w:type="spellStart"/>
      <w:r w:rsidRPr="0016273A">
        <w:t>Hasanuzzaman</w:t>
      </w:r>
      <w:proofErr w:type="spellEnd"/>
      <w:r w:rsidRPr="0016273A">
        <w:t xml:space="preserve">, Md. </w:t>
      </w:r>
      <w:proofErr w:type="spellStart"/>
      <w:r w:rsidRPr="0016273A">
        <w:t>Abul</w:t>
      </w:r>
      <w:proofErr w:type="spellEnd"/>
      <w:r w:rsidRPr="0016273A">
        <w:t xml:space="preserve"> Kalam </w:t>
      </w:r>
      <w:proofErr w:type="spellStart"/>
      <w:r w:rsidRPr="0016273A">
        <w:t>Azad</w:t>
      </w:r>
      <w:proofErr w:type="spellEnd"/>
      <w:r w:rsidRPr="0016273A">
        <w:t>,</w:t>
      </w:r>
      <w:r>
        <w:t xml:space="preserve"> </w:t>
      </w:r>
      <w:proofErr w:type="spellStart"/>
      <w:r w:rsidRPr="0016273A">
        <w:rPr>
          <w:i/>
          <w:iCs/>
        </w:rPr>
        <w:t>Effect</w:t>
      </w:r>
      <w:proofErr w:type="spellEnd"/>
      <w:r w:rsidRPr="0016273A">
        <w:rPr>
          <w:i/>
          <w:iCs/>
        </w:rPr>
        <w:t xml:space="preserve"> of </w:t>
      </w:r>
      <w:proofErr w:type="spellStart"/>
      <w:r w:rsidRPr="0016273A">
        <w:rPr>
          <w:i/>
          <w:iCs/>
        </w:rPr>
        <w:t>meteorological</w:t>
      </w:r>
      <w:proofErr w:type="spellEnd"/>
      <w:r w:rsidRPr="0016273A">
        <w:rPr>
          <w:i/>
          <w:iCs/>
        </w:rPr>
        <w:t xml:space="preserve"> </w:t>
      </w:r>
      <w:proofErr w:type="spellStart"/>
      <w:r w:rsidRPr="0016273A">
        <w:rPr>
          <w:i/>
          <w:iCs/>
        </w:rPr>
        <w:t>factors</w:t>
      </w:r>
      <w:proofErr w:type="spellEnd"/>
      <w:r w:rsidRPr="0016273A">
        <w:rPr>
          <w:i/>
          <w:iCs/>
        </w:rPr>
        <w:t xml:space="preserve"> on COVID-19 </w:t>
      </w:r>
      <w:proofErr w:type="spellStart"/>
      <w:r w:rsidRPr="0016273A">
        <w:rPr>
          <w:i/>
          <w:iCs/>
        </w:rPr>
        <w:t>cases</w:t>
      </w:r>
      <w:proofErr w:type="spellEnd"/>
      <w:r w:rsidRPr="0016273A">
        <w:rPr>
          <w:i/>
          <w:iCs/>
        </w:rPr>
        <w:t xml:space="preserve"> in </w:t>
      </w:r>
      <w:proofErr w:type="spellStart"/>
      <w:r w:rsidRPr="0016273A">
        <w:rPr>
          <w:i/>
          <w:iCs/>
        </w:rPr>
        <w:t>Bangladesh</w:t>
      </w:r>
      <w:proofErr w:type="spellEnd"/>
      <w:r>
        <w:t xml:space="preserve">, </w:t>
      </w:r>
      <w:r w:rsidRPr="0016273A">
        <w:t xml:space="preserve">Environment, Development and </w:t>
      </w:r>
      <w:proofErr w:type="spellStart"/>
      <w:r w:rsidRPr="0016273A">
        <w:t>Sustainability</w:t>
      </w:r>
      <w:proofErr w:type="spellEnd"/>
      <w:r w:rsidRPr="0016273A">
        <w:t xml:space="preserve"> (2020)</w:t>
      </w:r>
    </w:p>
  </w:footnote>
  <w:footnote w:id="5">
    <w:p w14:paraId="31FE7DC1" w14:textId="57DA55F6" w:rsidR="0016273A" w:rsidRDefault="0016273A" w:rsidP="0016273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16273A">
        <w:rPr>
          <w:i/>
          <w:iCs/>
        </w:rPr>
        <w:t xml:space="preserve">Raport zakażeń </w:t>
      </w:r>
      <w:proofErr w:type="spellStart"/>
      <w:r w:rsidRPr="0016273A">
        <w:rPr>
          <w:i/>
          <w:iCs/>
        </w:rPr>
        <w:t>koronawirusem</w:t>
      </w:r>
      <w:proofErr w:type="spellEnd"/>
      <w:r w:rsidRPr="0016273A">
        <w:rPr>
          <w:i/>
          <w:iCs/>
        </w:rPr>
        <w:t xml:space="preserve"> </w:t>
      </w:r>
      <w:r w:rsidRPr="0016273A">
        <w:rPr>
          <w:i/>
          <w:iCs/>
        </w:rPr>
        <w:t>(SARS-CoV-2)</w:t>
      </w:r>
      <w:r>
        <w:rPr>
          <w:i/>
          <w:iCs/>
        </w:rPr>
        <w:t xml:space="preserve">, </w:t>
      </w:r>
      <w:r w:rsidRPr="0016273A">
        <w:t>https://www.gov.pl/web/koronawirus/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C7FA1"/>
    <w:multiLevelType w:val="hybridMultilevel"/>
    <w:tmpl w:val="D81889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9642A"/>
    <w:multiLevelType w:val="hybridMultilevel"/>
    <w:tmpl w:val="B03A1B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81B6B"/>
    <w:multiLevelType w:val="hybridMultilevel"/>
    <w:tmpl w:val="FFFFFFFF"/>
    <w:lvl w:ilvl="0" w:tplc="02D89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22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A7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84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4D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28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E1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88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164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C15AE"/>
    <w:multiLevelType w:val="hybridMultilevel"/>
    <w:tmpl w:val="DF9036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03B89"/>
    <w:multiLevelType w:val="hybridMultilevel"/>
    <w:tmpl w:val="9328ED8E"/>
    <w:lvl w:ilvl="0" w:tplc="E64C8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08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2A01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AE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F6E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3C5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E05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B2D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4D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46C22"/>
    <w:multiLevelType w:val="hybridMultilevel"/>
    <w:tmpl w:val="3CE823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0AA"/>
    <w:rsid w:val="0000497A"/>
    <w:rsid w:val="00006AA5"/>
    <w:rsid w:val="00010D2B"/>
    <w:rsid w:val="00012171"/>
    <w:rsid w:val="00014463"/>
    <w:rsid w:val="00026BDD"/>
    <w:rsid w:val="00027474"/>
    <w:rsid w:val="00035151"/>
    <w:rsid w:val="000352FC"/>
    <w:rsid w:val="00035F45"/>
    <w:rsid w:val="00041ADA"/>
    <w:rsid w:val="00043A2D"/>
    <w:rsid w:val="00044E35"/>
    <w:rsid w:val="00050374"/>
    <w:rsid w:val="000525BD"/>
    <w:rsid w:val="00053199"/>
    <w:rsid w:val="0005396C"/>
    <w:rsid w:val="000549CF"/>
    <w:rsid w:val="00055677"/>
    <w:rsid w:val="00062140"/>
    <w:rsid w:val="00067A67"/>
    <w:rsid w:val="0008087F"/>
    <w:rsid w:val="00082854"/>
    <w:rsid w:val="0008466A"/>
    <w:rsid w:val="0008527E"/>
    <w:rsid w:val="000852FB"/>
    <w:rsid w:val="00086609"/>
    <w:rsid w:val="0009030A"/>
    <w:rsid w:val="00093EFB"/>
    <w:rsid w:val="000947BA"/>
    <w:rsid w:val="00096414"/>
    <w:rsid w:val="000978CF"/>
    <w:rsid w:val="000A2820"/>
    <w:rsid w:val="000A2CFF"/>
    <w:rsid w:val="000A5487"/>
    <w:rsid w:val="000A5CCA"/>
    <w:rsid w:val="000A70C7"/>
    <w:rsid w:val="000B004A"/>
    <w:rsid w:val="000B4EB5"/>
    <w:rsid w:val="000B57A3"/>
    <w:rsid w:val="000B6AF9"/>
    <w:rsid w:val="000B6C9B"/>
    <w:rsid w:val="000C00F0"/>
    <w:rsid w:val="000C0FE3"/>
    <w:rsid w:val="000C1B78"/>
    <w:rsid w:val="000D01CD"/>
    <w:rsid w:val="000D4238"/>
    <w:rsid w:val="000D56EE"/>
    <w:rsid w:val="000D5EFC"/>
    <w:rsid w:val="000E24EC"/>
    <w:rsid w:val="000E3F6F"/>
    <w:rsid w:val="000E4743"/>
    <w:rsid w:val="000E6CFD"/>
    <w:rsid w:val="000E762B"/>
    <w:rsid w:val="000F649B"/>
    <w:rsid w:val="000F65EF"/>
    <w:rsid w:val="00100E57"/>
    <w:rsid w:val="001023A8"/>
    <w:rsid w:val="00102692"/>
    <w:rsid w:val="00103431"/>
    <w:rsid w:val="00104C3F"/>
    <w:rsid w:val="001170CA"/>
    <w:rsid w:val="00117952"/>
    <w:rsid w:val="0012175B"/>
    <w:rsid w:val="00131C40"/>
    <w:rsid w:val="00132739"/>
    <w:rsid w:val="0014160D"/>
    <w:rsid w:val="00153556"/>
    <w:rsid w:val="00154C78"/>
    <w:rsid w:val="00157D28"/>
    <w:rsid w:val="0016273A"/>
    <w:rsid w:val="0016288B"/>
    <w:rsid w:val="00163F1C"/>
    <w:rsid w:val="00173C5E"/>
    <w:rsid w:val="00174E0A"/>
    <w:rsid w:val="001756FA"/>
    <w:rsid w:val="00176BED"/>
    <w:rsid w:val="001776C7"/>
    <w:rsid w:val="00181727"/>
    <w:rsid w:val="0018232F"/>
    <w:rsid w:val="00183240"/>
    <w:rsid w:val="00184CD1"/>
    <w:rsid w:val="00190C1E"/>
    <w:rsid w:val="0019160F"/>
    <w:rsid w:val="00192754"/>
    <w:rsid w:val="0019500A"/>
    <w:rsid w:val="001977FD"/>
    <w:rsid w:val="001A3BFC"/>
    <w:rsid w:val="001A5F4B"/>
    <w:rsid w:val="001A7CF1"/>
    <w:rsid w:val="001B0703"/>
    <w:rsid w:val="001B210F"/>
    <w:rsid w:val="001B226D"/>
    <w:rsid w:val="001B301A"/>
    <w:rsid w:val="001B346B"/>
    <w:rsid w:val="001B36A8"/>
    <w:rsid w:val="001B5FFA"/>
    <w:rsid w:val="001C0747"/>
    <w:rsid w:val="001C36E7"/>
    <w:rsid w:val="001C4DDC"/>
    <w:rsid w:val="001C612E"/>
    <w:rsid w:val="001C7BB3"/>
    <w:rsid w:val="001D0766"/>
    <w:rsid w:val="001D1B6E"/>
    <w:rsid w:val="001D25D2"/>
    <w:rsid w:val="001D3732"/>
    <w:rsid w:val="001D3DE8"/>
    <w:rsid w:val="001D5938"/>
    <w:rsid w:val="001D7C90"/>
    <w:rsid w:val="001E4192"/>
    <w:rsid w:val="001E528A"/>
    <w:rsid w:val="001E7AA8"/>
    <w:rsid w:val="001F028D"/>
    <w:rsid w:val="001F3B84"/>
    <w:rsid w:val="001F7F9A"/>
    <w:rsid w:val="002008F1"/>
    <w:rsid w:val="0020102F"/>
    <w:rsid w:val="002058DE"/>
    <w:rsid w:val="00211DBB"/>
    <w:rsid w:val="002168FF"/>
    <w:rsid w:val="00220422"/>
    <w:rsid w:val="00221193"/>
    <w:rsid w:val="00221F31"/>
    <w:rsid w:val="00224E75"/>
    <w:rsid w:val="0022509D"/>
    <w:rsid w:val="0022789B"/>
    <w:rsid w:val="002279E4"/>
    <w:rsid w:val="00232106"/>
    <w:rsid w:val="00236601"/>
    <w:rsid w:val="00242CED"/>
    <w:rsid w:val="00242F95"/>
    <w:rsid w:val="00244FFD"/>
    <w:rsid w:val="00245284"/>
    <w:rsid w:val="00246194"/>
    <w:rsid w:val="00246936"/>
    <w:rsid w:val="0025544A"/>
    <w:rsid w:val="00255706"/>
    <w:rsid w:val="00255E48"/>
    <w:rsid w:val="0027146F"/>
    <w:rsid w:val="0027578D"/>
    <w:rsid w:val="00285DFF"/>
    <w:rsid w:val="0028761C"/>
    <w:rsid w:val="00290483"/>
    <w:rsid w:val="0029615C"/>
    <w:rsid w:val="0029748D"/>
    <w:rsid w:val="002A09E4"/>
    <w:rsid w:val="002A68BA"/>
    <w:rsid w:val="002A6CDB"/>
    <w:rsid w:val="002B40B9"/>
    <w:rsid w:val="002B60AA"/>
    <w:rsid w:val="002C2C1C"/>
    <w:rsid w:val="002C438D"/>
    <w:rsid w:val="002C72E5"/>
    <w:rsid w:val="002D2D98"/>
    <w:rsid w:val="002D7E2A"/>
    <w:rsid w:val="002E0DE3"/>
    <w:rsid w:val="002E1D7A"/>
    <w:rsid w:val="002E6105"/>
    <w:rsid w:val="002E7AE5"/>
    <w:rsid w:val="002F4620"/>
    <w:rsid w:val="002F7BF5"/>
    <w:rsid w:val="0030037B"/>
    <w:rsid w:val="0030084E"/>
    <w:rsid w:val="00301A50"/>
    <w:rsid w:val="0030335D"/>
    <w:rsid w:val="003116F3"/>
    <w:rsid w:val="003149B0"/>
    <w:rsid w:val="003172C1"/>
    <w:rsid w:val="00320FD6"/>
    <w:rsid w:val="00322E67"/>
    <w:rsid w:val="0032358D"/>
    <w:rsid w:val="003247CC"/>
    <w:rsid w:val="003256EA"/>
    <w:rsid w:val="00325B8D"/>
    <w:rsid w:val="00331227"/>
    <w:rsid w:val="003465E7"/>
    <w:rsid w:val="00351E4E"/>
    <w:rsid w:val="00353017"/>
    <w:rsid w:val="00354D4B"/>
    <w:rsid w:val="00356C5B"/>
    <w:rsid w:val="00357C91"/>
    <w:rsid w:val="00357E57"/>
    <w:rsid w:val="0036062A"/>
    <w:rsid w:val="00363BB9"/>
    <w:rsid w:val="00370C78"/>
    <w:rsid w:val="0037520D"/>
    <w:rsid w:val="00380628"/>
    <w:rsid w:val="00381FE5"/>
    <w:rsid w:val="003853F4"/>
    <w:rsid w:val="003865B5"/>
    <w:rsid w:val="00391DD8"/>
    <w:rsid w:val="00391E95"/>
    <w:rsid w:val="003A1ED9"/>
    <w:rsid w:val="003A3FB7"/>
    <w:rsid w:val="003A5E98"/>
    <w:rsid w:val="003B0327"/>
    <w:rsid w:val="003B0EE9"/>
    <w:rsid w:val="003B11F4"/>
    <w:rsid w:val="003B6A67"/>
    <w:rsid w:val="003C58FE"/>
    <w:rsid w:val="003C615A"/>
    <w:rsid w:val="003C7AB9"/>
    <w:rsid w:val="003C7F0D"/>
    <w:rsid w:val="003D035A"/>
    <w:rsid w:val="003D086C"/>
    <w:rsid w:val="003D3937"/>
    <w:rsid w:val="003D4E85"/>
    <w:rsid w:val="003D6A1D"/>
    <w:rsid w:val="003D7D9C"/>
    <w:rsid w:val="003E18A5"/>
    <w:rsid w:val="003F04E1"/>
    <w:rsid w:val="003F1E10"/>
    <w:rsid w:val="003F20F4"/>
    <w:rsid w:val="003F35FC"/>
    <w:rsid w:val="003F3F39"/>
    <w:rsid w:val="003F7426"/>
    <w:rsid w:val="00400BC2"/>
    <w:rsid w:val="0040203B"/>
    <w:rsid w:val="00411AEA"/>
    <w:rsid w:val="0041248D"/>
    <w:rsid w:val="0041474E"/>
    <w:rsid w:val="004158FD"/>
    <w:rsid w:val="00417152"/>
    <w:rsid w:val="004200BD"/>
    <w:rsid w:val="00425D36"/>
    <w:rsid w:val="0042705E"/>
    <w:rsid w:val="00427C0F"/>
    <w:rsid w:val="00432070"/>
    <w:rsid w:val="00437394"/>
    <w:rsid w:val="004402BD"/>
    <w:rsid w:val="00442CAE"/>
    <w:rsid w:val="0044614A"/>
    <w:rsid w:val="00446BCE"/>
    <w:rsid w:val="00447226"/>
    <w:rsid w:val="0045123D"/>
    <w:rsid w:val="00454952"/>
    <w:rsid w:val="0046366F"/>
    <w:rsid w:val="004646EA"/>
    <w:rsid w:val="0046652B"/>
    <w:rsid w:val="004677C4"/>
    <w:rsid w:val="00467927"/>
    <w:rsid w:val="00467B2D"/>
    <w:rsid w:val="00472092"/>
    <w:rsid w:val="0047690E"/>
    <w:rsid w:val="00481C6F"/>
    <w:rsid w:val="00482EE0"/>
    <w:rsid w:val="00484BED"/>
    <w:rsid w:val="00487EB8"/>
    <w:rsid w:val="00495535"/>
    <w:rsid w:val="004960B6"/>
    <w:rsid w:val="004A0358"/>
    <w:rsid w:val="004A5BAF"/>
    <w:rsid w:val="004A60F5"/>
    <w:rsid w:val="004B0E51"/>
    <w:rsid w:val="004B32C3"/>
    <w:rsid w:val="004B3BA9"/>
    <w:rsid w:val="004C4764"/>
    <w:rsid w:val="004C4EEC"/>
    <w:rsid w:val="004C512B"/>
    <w:rsid w:val="004C54C6"/>
    <w:rsid w:val="004D19DE"/>
    <w:rsid w:val="004D271A"/>
    <w:rsid w:val="004D7EA1"/>
    <w:rsid w:val="004E4C44"/>
    <w:rsid w:val="004E529A"/>
    <w:rsid w:val="004E614D"/>
    <w:rsid w:val="004E7B62"/>
    <w:rsid w:val="004E7DD9"/>
    <w:rsid w:val="004F1354"/>
    <w:rsid w:val="004F54B6"/>
    <w:rsid w:val="005033E9"/>
    <w:rsid w:val="00516DD0"/>
    <w:rsid w:val="005202CA"/>
    <w:rsid w:val="0052216B"/>
    <w:rsid w:val="00526268"/>
    <w:rsid w:val="00531C75"/>
    <w:rsid w:val="00533B5A"/>
    <w:rsid w:val="005353C0"/>
    <w:rsid w:val="0053580B"/>
    <w:rsid w:val="00537324"/>
    <w:rsid w:val="00537887"/>
    <w:rsid w:val="00542A53"/>
    <w:rsid w:val="00543553"/>
    <w:rsid w:val="00551237"/>
    <w:rsid w:val="0055621F"/>
    <w:rsid w:val="00557469"/>
    <w:rsid w:val="00561165"/>
    <w:rsid w:val="00567CD2"/>
    <w:rsid w:val="00570080"/>
    <w:rsid w:val="00570134"/>
    <w:rsid w:val="00570C41"/>
    <w:rsid w:val="005716F1"/>
    <w:rsid w:val="00571FEE"/>
    <w:rsid w:val="00577D41"/>
    <w:rsid w:val="0058096C"/>
    <w:rsid w:val="0058197F"/>
    <w:rsid w:val="00582183"/>
    <w:rsid w:val="00587182"/>
    <w:rsid w:val="00592725"/>
    <w:rsid w:val="00594538"/>
    <w:rsid w:val="005A090C"/>
    <w:rsid w:val="005A1D19"/>
    <w:rsid w:val="005A2280"/>
    <w:rsid w:val="005A300F"/>
    <w:rsid w:val="005A378B"/>
    <w:rsid w:val="005A547B"/>
    <w:rsid w:val="005A6498"/>
    <w:rsid w:val="005B0189"/>
    <w:rsid w:val="005B152A"/>
    <w:rsid w:val="005B2926"/>
    <w:rsid w:val="005C537D"/>
    <w:rsid w:val="005C5496"/>
    <w:rsid w:val="005C7EEE"/>
    <w:rsid w:val="005D02E7"/>
    <w:rsid w:val="005D0F90"/>
    <w:rsid w:val="005D1243"/>
    <w:rsid w:val="005D13BD"/>
    <w:rsid w:val="005D3369"/>
    <w:rsid w:val="005D4148"/>
    <w:rsid w:val="005D6B0D"/>
    <w:rsid w:val="005E4EBC"/>
    <w:rsid w:val="005E5138"/>
    <w:rsid w:val="005F3E1B"/>
    <w:rsid w:val="005F4250"/>
    <w:rsid w:val="005F4579"/>
    <w:rsid w:val="005F66FE"/>
    <w:rsid w:val="005F6E7F"/>
    <w:rsid w:val="006001FF"/>
    <w:rsid w:val="00601199"/>
    <w:rsid w:val="006035BC"/>
    <w:rsid w:val="00604754"/>
    <w:rsid w:val="00605269"/>
    <w:rsid w:val="0061355F"/>
    <w:rsid w:val="0061513C"/>
    <w:rsid w:val="00620036"/>
    <w:rsid w:val="0062126D"/>
    <w:rsid w:val="00621A92"/>
    <w:rsid w:val="00630607"/>
    <w:rsid w:val="00633171"/>
    <w:rsid w:val="00633A4C"/>
    <w:rsid w:val="006438D1"/>
    <w:rsid w:val="00650C20"/>
    <w:rsid w:val="006538CA"/>
    <w:rsid w:val="00656854"/>
    <w:rsid w:val="00664291"/>
    <w:rsid w:val="00665FF1"/>
    <w:rsid w:val="00666386"/>
    <w:rsid w:val="00666C36"/>
    <w:rsid w:val="00666D41"/>
    <w:rsid w:val="006779D1"/>
    <w:rsid w:val="00682277"/>
    <w:rsid w:val="00684901"/>
    <w:rsid w:val="00692A1F"/>
    <w:rsid w:val="00694351"/>
    <w:rsid w:val="00695F56"/>
    <w:rsid w:val="006977E7"/>
    <w:rsid w:val="006A0234"/>
    <w:rsid w:val="006A02E9"/>
    <w:rsid w:val="006A0EAF"/>
    <w:rsid w:val="006A132E"/>
    <w:rsid w:val="006B1712"/>
    <w:rsid w:val="006B1C74"/>
    <w:rsid w:val="006B5F13"/>
    <w:rsid w:val="006B63DF"/>
    <w:rsid w:val="006B6469"/>
    <w:rsid w:val="006B7B2E"/>
    <w:rsid w:val="006C24E6"/>
    <w:rsid w:val="006C263B"/>
    <w:rsid w:val="006C3E01"/>
    <w:rsid w:val="006C5078"/>
    <w:rsid w:val="006C5EAE"/>
    <w:rsid w:val="006C6CEF"/>
    <w:rsid w:val="006C6E10"/>
    <w:rsid w:val="006C76A9"/>
    <w:rsid w:val="006C7AD6"/>
    <w:rsid w:val="006C7E5D"/>
    <w:rsid w:val="006D0C1D"/>
    <w:rsid w:val="006D7519"/>
    <w:rsid w:val="006D75DE"/>
    <w:rsid w:val="006E08CC"/>
    <w:rsid w:val="006E22DF"/>
    <w:rsid w:val="006E59C6"/>
    <w:rsid w:val="006E5B3C"/>
    <w:rsid w:val="006E5E5E"/>
    <w:rsid w:val="006F0F04"/>
    <w:rsid w:val="006F3D9D"/>
    <w:rsid w:val="006F60BD"/>
    <w:rsid w:val="00703022"/>
    <w:rsid w:val="007077BB"/>
    <w:rsid w:val="007140C2"/>
    <w:rsid w:val="00714DB6"/>
    <w:rsid w:val="007150C5"/>
    <w:rsid w:val="007153EE"/>
    <w:rsid w:val="00723473"/>
    <w:rsid w:val="00723B61"/>
    <w:rsid w:val="007269A1"/>
    <w:rsid w:val="00726D45"/>
    <w:rsid w:val="0073063B"/>
    <w:rsid w:val="00730899"/>
    <w:rsid w:val="0073135B"/>
    <w:rsid w:val="00735137"/>
    <w:rsid w:val="00735CBF"/>
    <w:rsid w:val="00736455"/>
    <w:rsid w:val="00742F91"/>
    <w:rsid w:val="007452C1"/>
    <w:rsid w:val="00745C9F"/>
    <w:rsid w:val="00745FF5"/>
    <w:rsid w:val="00746A28"/>
    <w:rsid w:val="00750315"/>
    <w:rsid w:val="007504FD"/>
    <w:rsid w:val="00760BD4"/>
    <w:rsid w:val="0076127B"/>
    <w:rsid w:val="00763453"/>
    <w:rsid w:val="007645F6"/>
    <w:rsid w:val="00764783"/>
    <w:rsid w:val="00766B6F"/>
    <w:rsid w:val="007670F4"/>
    <w:rsid w:val="00767368"/>
    <w:rsid w:val="007739E1"/>
    <w:rsid w:val="00775E9E"/>
    <w:rsid w:val="0078030F"/>
    <w:rsid w:val="00780AFE"/>
    <w:rsid w:val="00783875"/>
    <w:rsid w:val="00784E9E"/>
    <w:rsid w:val="0078520D"/>
    <w:rsid w:val="00785393"/>
    <w:rsid w:val="0079439E"/>
    <w:rsid w:val="007A1E10"/>
    <w:rsid w:val="007A392D"/>
    <w:rsid w:val="007A460D"/>
    <w:rsid w:val="007A46E7"/>
    <w:rsid w:val="007B17AC"/>
    <w:rsid w:val="007B1E11"/>
    <w:rsid w:val="007B6975"/>
    <w:rsid w:val="007C3833"/>
    <w:rsid w:val="007C42B4"/>
    <w:rsid w:val="007D243D"/>
    <w:rsid w:val="007D2489"/>
    <w:rsid w:val="007D2AA1"/>
    <w:rsid w:val="007D6EFB"/>
    <w:rsid w:val="007E1AB9"/>
    <w:rsid w:val="007E35AF"/>
    <w:rsid w:val="007E44C5"/>
    <w:rsid w:val="007E44F6"/>
    <w:rsid w:val="007F164F"/>
    <w:rsid w:val="007F7C36"/>
    <w:rsid w:val="0080006F"/>
    <w:rsid w:val="00800D64"/>
    <w:rsid w:val="0080697E"/>
    <w:rsid w:val="00806FC0"/>
    <w:rsid w:val="00807961"/>
    <w:rsid w:val="00810CFA"/>
    <w:rsid w:val="008113FF"/>
    <w:rsid w:val="008121C6"/>
    <w:rsid w:val="008138EB"/>
    <w:rsid w:val="008204E0"/>
    <w:rsid w:val="00824223"/>
    <w:rsid w:val="00827DD1"/>
    <w:rsid w:val="00834E39"/>
    <w:rsid w:val="00837942"/>
    <w:rsid w:val="00837B30"/>
    <w:rsid w:val="00847051"/>
    <w:rsid w:val="008474AC"/>
    <w:rsid w:val="008517DA"/>
    <w:rsid w:val="00855ED4"/>
    <w:rsid w:val="00856DD3"/>
    <w:rsid w:val="0085763F"/>
    <w:rsid w:val="00857952"/>
    <w:rsid w:val="00863B9A"/>
    <w:rsid w:val="00864934"/>
    <w:rsid w:val="00864997"/>
    <w:rsid w:val="008653F0"/>
    <w:rsid w:val="00865599"/>
    <w:rsid w:val="00865B16"/>
    <w:rsid w:val="00870C6A"/>
    <w:rsid w:val="008773BB"/>
    <w:rsid w:val="0088524C"/>
    <w:rsid w:val="00886B8B"/>
    <w:rsid w:val="0089420B"/>
    <w:rsid w:val="008951C8"/>
    <w:rsid w:val="008A15EC"/>
    <w:rsid w:val="008B1A43"/>
    <w:rsid w:val="008B2EA0"/>
    <w:rsid w:val="008B4E6F"/>
    <w:rsid w:val="008B7804"/>
    <w:rsid w:val="008B79E9"/>
    <w:rsid w:val="008C3EBD"/>
    <w:rsid w:val="008D375E"/>
    <w:rsid w:val="008D566A"/>
    <w:rsid w:val="008D7D19"/>
    <w:rsid w:val="008E06E8"/>
    <w:rsid w:val="008E0BD3"/>
    <w:rsid w:val="008E71B3"/>
    <w:rsid w:val="008F039F"/>
    <w:rsid w:val="008F108A"/>
    <w:rsid w:val="008F1D20"/>
    <w:rsid w:val="008F1E2A"/>
    <w:rsid w:val="0090218D"/>
    <w:rsid w:val="00907ABB"/>
    <w:rsid w:val="00922557"/>
    <w:rsid w:val="00923829"/>
    <w:rsid w:val="00925B66"/>
    <w:rsid w:val="009270CF"/>
    <w:rsid w:val="0093081A"/>
    <w:rsid w:val="0093489C"/>
    <w:rsid w:val="0093657D"/>
    <w:rsid w:val="0093728A"/>
    <w:rsid w:val="00942804"/>
    <w:rsid w:val="00947441"/>
    <w:rsid w:val="0095209C"/>
    <w:rsid w:val="00952619"/>
    <w:rsid w:val="00952D63"/>
    <w:rsid w:val="00953D36"/>
    <w:rsid w:val="009541D5"/>
    <w:rsid w:val="009577A5"/>
    <w:rsid w:val="00957DD1"/>
    <w:rsid w:val="009620A7"/>
    <w:rsid w:val="009646D0"/>
    <w:rsid w:val="009657EE"/>
    <w:rsid w:val="009678A9"/>
    <w:rsid w:val="009704AD"/>
    <w:rsid w:val="009714A0"/>
    <w:rsid w:val="00972666"/>
    <w:rsid w:val="0097559E"/>
    <w:rsid w:val="00976316"/>
    <w:rsid w:val="0098126E"/>
    <w:rsid w:val="0098273F"/>
    <w:rsid w:val="00984015"/>
    <w:rsid w:val="009876E8"/>
    <w:rsid w:val="0099264E"/>
    <w:rsid w:val="0099363C"/>
    <w:rsid w:val="00993886"/>
    <w:rsid w:val="0099607A"/>
    <w:rsid w:val="0099676B"/>
    <w:rsid w:val="009B10E7"/>
    <w:rsid w:val="009B231F"/>
    <w:rsid w:val="009C0711"/>
    <w:rsid w:val="009D4A81"/>
    <w:rsid w:val="009E0460"/>
    <w:rsid w:val="009E7FF9"/>
    <w:rsid w:val="009F17DD"/>
    <w:rsid w:val="009F2D8B"/>
    <w:rsid w:val="009F2FC8"/>
    <w:rsid w:val="009F3283"/>
    <w:rsid w:val="009F4391"/>
    <w:rsid w:val="009F55B0"/>
    <w:rsid w:val="009F5FF8"/>
    <w:rsid w:val="009F6008"/>
    <w:rsid w:val="00A01CD7"/>
    <w:rsid w:val="00A03912"/>
    <w:rsid w:val="00A03C61"/>
    <w:rsid w:val="00A054B0"/>
    <w:rsid w:val="00A102F7"/>
    <w:rsid w:val="00A116DA"/>
    <w:rsid w:val="00A25109"/>
    <w:rsid w:val="00A254A7"/>
    <w:rsid w:val="00A27421"/>
    <w:rsid w:val="00A37EC4"/>
    <w:rsid w:val="00A411A0"/>
    <w:rsid w:val="00A47403"/>
    <w:rsid w:val="00A5222B"/>
    <w:rsid w:val="00A619B4"/>
    <w:rsid w:val="00A63C27"/>
    <w:rsid w:val="00A65BE0"/>
    <w:rsid w:val="00A67023"/>
    <w:rsid w:val="00A73E14"/>
    <w:rsid w:val="00A819DB"/>
    <w:rsid w:val="00A84FCF"/>
    <w:rsid w:val="00A95674"/>
    <w:rsid w:val="00A9753A"/>
    <w:rsid w:val="00A97A69"/>
    <w:rsid w:val="00AA262F"/>
    <w:rsid w:val="00AA5454"/>
    <w:rsid w:val="00AA5DDE"/>
    <w:rsid w:val="00AA66F3"/>
    <w:rsid w:val="00AB0459"/>
    <w:rsid w:val="00AB1995"/>
    <w:rsid w:val="00AB5886"/>
    <w:rsid w:val="00AB7390"/>
    <w:rsid w:val="00AC1EDC"/>
    <w:rsid w:val="00AC292A"/>
    <w:rsid w:val="00AC75FE"/>
    <w:rsid w:val="00AC7B07"/>
    <w:rsid w:val="00AD6690"/>
    <w:rsid w:val="00AF2627"/>
    <w:rsid w:val="00B005A3"/>
    <w:rsid w:val="00B024B1"/>
    <w:rsid w:val="00B108C7"/>
    <w:rsid w:val="00B10AC9"/>
    <w:rsid w:val="00B11C67"/>
    <w:rsid w:val="00B1214B"/>
    <w:rsid w:val="00B1271E"/>
    <w:rsid w:val="00B13108"/>
    <w:rsid w:val="00B13B89"/>
    <w:rsid w:val="00B22511"/>
    <w:rsid w:val="00B235BF"/>
    <w:rsid w:val="00B32EA8"/>
    <w:rsid w:val="00B3771F"/>
    <w:rsid w:val="00B40969"/>
    <w:rsid w:val="00B50DDC"/>
    <w:rsid w:val="00B514EB"/>
    <w:rsid w:val="00B53A26"/>
    <w:rsid w:val="00B5439D"/>
    <w:rsid w:val="00B55476"/>
    <w:rsid w:val="00B555C3"/>
    <w:rsid w:val="00B55882"/>
    <w:rsid w:val="00B55C64"/>
    <w:rsid w:val="00B56E51"/>
    <w:rsid w:val="00B631E9"/>
    <w:rsid w:val="00B91EDC"/>
    <w:rsid w:val="00B96E3F"/>
    <w:rsid w:val="00BA1074"/>
    <w:rsid w:val="00BA2055"/>
    <w:rsid w:val="00BA2908"/>
    <w:rsid w:val="00BB2EB6"/>
    <w:rsid w:val="00BB6A4A"/>
    <w:rsid w:val="00BC0FF7"/>
    <w:rsid w:val="00BE4A89"/>
    <w:rsid w:val="00BE67A0"/>
    <w:rsid w:val="00BF3821"/>
    <w:rsid w:val="00BF7004"/>
    <w:rsid w:val="00C041C3"/>
    <w:rsid w:val="00C04BFF"/>
    <w:rsid w:val="00C07150"/>
    <w:rsid w:val="00C0719E"/>
    <w:rsid w:val="00C122EF"/>
    <w:rsid w:val="00C14121"/>
    <w:rsid w:val="00C20B8F"/>
    <w:rsid w:val="00C21F65"/>
    <w:rsid w:val="00C26482"/>
    <w:rsid w:val="00C26CF5"/>
    <w:rsid w:val="00C319C1"/>
    <w:rsid w:val="00C4033A"/>
    <w:rsid w:val="00C4287A"/>
    <w:rsid w:val="00C437C8"/>
    <w:rsid w:val="00C44657"/>
    <w:rsid w:val="00C44AF4"/>
    <w:rsid w:val="00C456DB"/>
    <w:rsid w:val="00C549D6"/>
    <w:rsid w:val="00C554F8"/>
    <w:rsid w:val="00C55514"/>
    <w:rsid w:val="00C566A2"/>
    <w:rsid w:val="00C6045A"/>
    <w:rsid w:val="00C60BB2"/>
    <w:rsid w:val="00C631DE"/>
    <w:rsid w:val="00C654CC"/>
    <w:rsid w:val="00C65F52"/>
    <w:rsid w:val="00C67757"/>
    <w:rsid w:val="00C70A28"/>
    <w:rsid w:val="00C70C01"/>
    <w:rsid w:val="00C71F4B"/>
    <w:rsid w:val="00C72C80"/>
    <w:rsid w:val="00C73A5A"/>
    <w:rsid w:val="00C75A11"/>
    <w:rsid w:val="00C812D8"/>
    <w:rsid w:val="00C86B00"/>
    <w:rsid w:val="00C86FAC"/>
    <w:rsid w:val="00C900EC"/>
    <w:rsid w:val="00C91100"/>
    <w:rsid w:val="00C94261"/>
    <w:rsid w:val="00C944A6"/>
    <w:rsid w:val="00C95FD0"/>
    <w:rsid w:val="00CA0284"/>
    <w:rsid w:val="00CA3BF6"/>
    <w:rsid w:val="00CA3F6A"/>
    <w:rsid w:val="00CB5C36"/>
    <w:rsid w:val="00CB70AF"/>
    <w:rsid w:val="00CC2FFF"/>
    <w:rsid w:val="00CC5194"/>
    <w:rsid w:val="00CD1582"/>
    <w:rsid w:val="00CD596A"/>
    <w:rsid w:val="00CE2713"/>
    <w:rsid w:val="00CE3055"/>
    <w:rsid w:val="00CE3FFB"/>
    <w:rsid w:val="00CE770B"/>
    <w:rsid w:val="00CF5783"/>
    <w:rsid w:val="00D0136A"/>
    <w:rsid w:val="00D01C5E"/>
    <w:rsid w:val="00D01C86"/>
    <w:rsid w:val="00D04280"/>
    <w:rsid w:val="00D04E23"/>
    <w:rsid w:val="00D06D22"/>
    <w:rsid w:val="00D07EC1"/>
    <w:rsid w:val="00D11C4F"/>
    <w:rsid w:val="00D1436E"/>
    <w:rsid w:val="00D14B0A"/>
    <w:rsid w:val="00D16D92"/>
    <w:rsid w:val="00D20483"/>
    <w:rsid w:val="00D22604"/>
    <w:rsid w:val="00D26619"/>
    <w:rsid w:val="00D3195D"/>
    <w:rsid w:val="00D35C66"/>
    <w:rsid w:val="00D37668"/>
    <w:rsid w:val="00D4520A"/>
    <w:rsid w:val="00D46266"/>
    <w:rsid w:val="00D46478"/>
    <w:rsid w:val="00D47329"/>
    <w:rsid w:val="00D47DF2"/>
    <w:rsid w:val="00D534E2"/>
    <w:rsid w:val="00D55D64"/>
    <w:rsid w:val="00D57A35"/>
    <w:rsid w:val="00D63F2A"/>
    <w:rsid w:val="00D648E2"/>
    <w:rsid w:val="00D65C00"/>
    <w:rsid w:val="00D66441"/>
    <w:rsid w:val="00D72BF6"/>
    <w:rsid w:val="00D734E4"/>
    <w:rsid w:val="00D74876"/>
    <w:rsid w:val="00D75D83"/>
    <w:rsid w:val="00D767DD"/>
    <w:rsid w:val="00D8626E"/>
    <w:rsid w:val="00D90540"/>
    <w:rsid w:val="00D90541"/>
    <w:rsid w:val="00D91DFA"/>
    <w:rsid w:val="00D9322F"/>
    <w:rsid w:val="00DA16F9"/>
    <w:rsid w:val="00DA5DBD"/>
    <w:rsid w:val="00DA6C5B"/>
    <w:rsid w:val="00DA7E24"/>
    <w:rsid w:val="00DB3863"/>
    <w:rsid w:val="00DB5BCC"/>
    <w:rsid w:val="00DB6494"/>
    <w:rsid w:val="00DB72D5"/>
    <w:rsid w:val="00DB7C18"/>
    <w:rsid w:val="00DC1616"/>
    <w:rsid w:val="00DC3D3B"/>
    <w:rsid w:val="00DC43F4"/>
    <w:rsid w:val="00DC67D0"/>
    <w:rsid w:val="00DC71AE"/>
    <w:rsid w:val="00DE062D"/>
    <w:rsid w:val="00DE0850"/>
    <w:rsid w:val="00DE24D0"/>
    <w:rsid w:val="00DE4325"/>
    <w:rsid w:val="00DE4805"/>
    <w:rsid w:val="00DE7F9F"/>
    <w:rsid w:val="00DF0A9E"/>
    <w:rsid w:val="00E00083"/>
    <w:rsid w:val="00E05833"/>
    <w:rsid w:val="00E12641"/>
    <w:rsid w:val="00E13034"/>
    <w:rsid w:val="00E1425C"/>
    <w:rsid w:val="00E1444C"/>
    <w:rsid w:val="00E15908"/>
    <w:rsid w:val="00E1635F"/>
    <w:rsid w:val="00E1693E"/>
    <w:rsid w:val="00E1781D"/>
    <w:rsid w:val="00E17AE3"/>
    <w:rsid w:val="00E360F0"/>
    <w:rsid w:val="00E45FB2"/>
    <w:rsid w:val="00E47260"/>
    <w:rsid w:val="00E528D2"/>
    <w:rsid w:val="00E53C92"/>
    <w:rsid w:val="00E53E49"/>
    <w:rsid w:val="00E54174"/>
    <w:rsid w:val="00E55889"/>
    <w:rsid w:val="00E576D0"/>
    <w:rsid w:val="00E579D2"/>
    <w:rsid w:val="00E6149E"/>
    <w:rsid w:val="00E62289"/>
    <w:rsid w:val="00E62E39"/>
    <w:rsid w:val="00E63DD6"/>
    <w:rsid w:val="00E6424B"/>
    <w:rsid w:val="00E65135"/>
    <w:rsid w:val="00E65C7D"/>
    <w:rsid w:val="00E7416B"/>
    <w:rsid w:val="00E749F4"/>
    <w:rsid w:val="00E768C0"/>
    <w:rsid w:val="00E8536F"/>
    <w:rsid w:val="00E86D5D"/>
    <w:rsid w:val="00E87736"/>
    <w:rsid w:val="00E87D35"/>
    <w:rsid w:val="00E90643"/>
    <w:rsid w:val="00E930D8"/>
    <w:rsid w:val="00E93D23"/>
    <w:rsid w:val="00EA3448"/>
    <w:rsid w:val="00EA39A6"/>
    <w:rsid w:val="00EA3A53"/>
    <w:rsid w:val="00EA4EFC"/>
    <w:rsid w:val="00EB14AE"/>
    <w:rsid w:val="00EB25F5"/>
    <w:rsid w:val="00EB2CB7"/>
    <w:rsid w:val="00EB38AF"/>
    <w:rsid w:val="00EB40F3"/>
    <w:rsid w:val="00EB42A0"/>
    <w:rsid w:val="00EB47EA"/>
    <w:rsid w:val="00EB4849"/>
    <w:rsid w:val="00EC3653"/>
    <w:rsid w:val="00EC43F8"/>
    <w:rsid w:val="00EC53F4"/>
    <w:rsid w:val="00ED018E"/>
    <w:rsid w:val="00ED2224"/>
    <w:rsid w:val="00ED55EC"/>
    <w:rsid w:val="00EE587F"/>
    <w:rsid w:val="00EF06BC"/>
    <w:rsid w:val="00EF7CDE"/>
    <w:rsid w:val="00F06898"/>
    <w:rsid w:val="00F106A9"/>
    <w:rsid w:val="00F13DA5"/>
    <w:rsid w:val="00F15D4E"/>
    <w:rsid w:val="00F17C4B"/>
    <w:rsid w:val="00F23B2E"/>
    <w:rsid w:val="00F24373"/>
    <w:rsid w:val="00F252F4"/>
    <w:rsid w:val="00F33C7A"/>
    <w:rsid w:val="00F4392B"/>
    <w:rsid w:val="00F43BF7"/>
    <w:rsid w:val="00F46ADA"/>
    <w:rsid w:val="00F5221F"/>
    <w:rsid w:val="00F66748"/>
    <w:rsid w:val="00F707BE"/>
    <w:rsid w:val="00F71EC7"/>
    <w:rsid w:val="00F74154"/>
    <w:rsid w:val="00F75C90"/>
    <w:rsid w:val="00F75EAE"/>
    <w:rsid w:val="00F75F16"/>
    <w:rsid w:val="00F7616E"/>
    <w:rsid w:val="00F76550"/>
    <w:rsid w:val="00F8586A"/>
    <w:rsid w:val="00F860AE"/>
    <w:rsid w:val="00F908D1"/>
    <w:rsid w:val="00F90DFE"/>
    <w:rsid w:val="00F9782D"/>
    <w:rsid w:val="00FA00D8"/>
    <w:rsid w:val="00FA0D87"/>
    <w:rsid w:val="00FA4DE2"/>
    <w:rsid w:val="00FA61AF"/>
    <w:rsid w:val="00FB06C4"/>
    <w:rsid w:val="00FB1CA1"/>
    <w:rsid w:val="00FB1F56"/>
    <w:rsid w:val="00FB60F3"/>
    <w:rsid w:val="00FB6B1C"/>
    <w:rsid w:val="00FC22EE"/>
    <w:rsid w:val="00FC307E"/>
    <w:rsid w:val="00FD0D54"/>
    <w:rsid w:val="00FD1D61"/>
    <w:rsid w:val="00FD2A22"/>
    <w:rsid w:val="00FD37AF"/>
    <w:rsid w:val="00FD6317"/>
    <w:rsid w:val="00FD75BE"/>
    <w:rsid w:val="00FE4484"/>
    <w:rsid w:val="00FE7FD7"/>
    <w:rsid w:val="00FF1348"/>
    <w:rsid w:val="00FF3572"/>
    <w:rsid w:val="00FF5E40"/>
    <w:rsid w:val="02E08AAC"/>
    <w:rsid w:val="03C9E99F"/>
    <w:rsid w:val="03FEF96A"/>
    <w:rsid w:val="0630F6A2"/>
    <w:rsid w:val="088B9561"/>
    <w:rsid w:val="0A6974A8"/>
    <w:rsid w:val="0B895635"/>
    <w:rsid w:val="0B9069D3"/>
    <w:rsid w:val="0DF5A6B3"/>
    <w:rsid w:val="0E21789A"/>
    <w:rsid w:val="0EF4E81E"/>
    <w:rsid w:val="0F6EE977"/>
    <w:rsid w:val="104050D2"/>
    <w:rsid w:val="1254907B"/>
    <w:rsid w:val="13E1953B"/>
    <w:rsid w:val="141C8055"/>
    <w:rsid w:val="14889A5D"/>
    <w:rsid w:val="1F804E91"/>
    <w:rsid w:val="21D72CFD"/>
    <w:rsid w:val="2372FD5E"/>
    <w:rsid w:val="25189AFA"/>
    <w:rsid w:val="253218BB"/>
    <w:rsid w:val="363AD1EA"/>
    <w:rsid w:val="37DAD88C"/>
    <w:rsid w:val="3806865F"/>
    <w:rsid w:val="3C0CFF17"/>
    <w:rsid w:val="3E6D1CC3"/>
    <w:rsid w:val="3FB7F0D0"/>
    <w:rsid w:val="402CE7FC"/>
    <w:rsid w:val="406E8F9C"/>
    <w:rsid w:val="415C8164"/>
    <w:rsid w:val="42C35B43"/>
    <w:rsid w:val="43475AAB"/>
    <w:rsid w:val="435232A3"/>
    <w:rsid w:val="4460B72B"/>
    <w:rsid w:val="462E3F7D"/>
    <w:rsid w:val="46C73F0F"/>
    <w:rsid w:val="4765B6BF"/>
    <w:rsid w:val="479A4B1B"/>
    <w:rsid w:val="4945AAB9"/>
    <w:rsid w:val="4B58C387"/>
    <w:rsid w:val="4D4272D9"/>
    <w:rsid w:val="54C1515F"/>
    <w:rsid w:val="563A87C4"/>
    <w:rsid w:val="56CFFCCB"/>
    <w:rsid w:val="57B6693D"/>
    <w:rsid w:val="5E117C25"/>
    <w:rsid w:val="5F4D5266"/>
    <w:rsid w:val="615F76C7"/>
    <w:rsid w:val="67923DA9"/>
    <w:rsid w:val="6821D771"/>
    <w:rsid w:val="68F1F454"/>
    <w:rsid w:val="6A5C7A4A"/>
    <w:rsid w:val="6C9CB017"/>
    <w:rsid w:val="6CF64EFF"/>
    <w:rsid w:val="6EF7C5C0"/>
    <w:rsid w:val="7589AC23"/>
    <w:rsid w:val="7635A599"/>
    <w:rsid w:val="7E44EC4A"/>
    <w:rsid w:val="7EF3FD7B"/>
    <w:rsid w:val="7F0E0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D6C9E"/>
  <w15:docId w15:val="{67132EFE-06BF-431D-8BF4-4BE210E7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B60AA"/>
    <w:pPr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B60AA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B60AA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84E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B60A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styleId="Odwoaniedelikatne">
    <w:name w:val="Subtle Reference"/>
    <w:basedOn w:val="Domylnaczcionkaakapitu"/>
    <w:uiPriority w:val="31"/>
    <w:qFormat/>
    <w:rsid w:val="002B60AA"/>
    <w:rPr>
      <w:rFonts w:ascii="Times New Roman" w:hAnsi="Times New Roman"/>
      <w:smallCaps/>
      <w:color w:val="000000" w:themeColor="text1"/>
      <w:sz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2B60AA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2B60AA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B60AA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table" w:styleId="Tabela-Siatka">
    <w:name w:val="Table Grid"/>
    <w:basedOn w:val="Standardowy"/>
    <w:uiPriority w:val="59"/>
    <w:unhideWhenUsed/>
    <w:rsid w:val="002B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2B60AA"/>
    <w:pPr>
      <w:jc w:val="left"/>
      <w:outlineLvl w:val="9"/>
    </w:pPr>
    <w:rPr>
      <w:rFonts w:asciiTheme="majorHAnsi" w:hAnsiTheme="majorHAnsi"/>
      <w:b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B346B"/>
    <w:pPr>
      <w:tabs>
        <w:tab w:val="right" w:leader="dot" w:pos="9072"/>
      </w:tabs>
      <w:spacing w:after="100" w:line="360" w:lineRule="auto"/>
    </w:pPr>
  </w:style>
  <w:style w:type="character" w:styleId="Hipercze">
    <w:name w:val="Hyperlink"/>
    <w:basedOn w:val="Domylnaczcionkaakapitu"/>
    <w:uiPriority w:val="99"/>
    <w:unhideWhenUsed/>
    <w:rsid w:val="002B60AA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E6424B"/>
    <w:pPr>
      <w:tabs>
        <w:tab w:val="right" w:leader="dot" w:pos="9072"/>
      </w:tabs>
      <w:spacing w:after="100"/>
      <w:ind w:left="2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1635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1635F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1635F"/>
    <w:rPr>
      <w:vertAlign w:val="superscript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E1635F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Standardowy"/>
    <w:uiPriority w:val="49"/>
    <w:rsid w:val="00D905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agwek">
    <w:name w:val="header"/>
    <w:basedOn w:val="Normalny"/>
    <w:link w:val="NagwekZnak"/>
    <w:uiPriority w:val="99"/>
    <w:unhideWhenUsed/>
    <w:rsid w:val="00082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82854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082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82854"/>
    <w:rPr>
      <w:rFonts w:ascii="Times New Roman" w:hAnsi="Times New Roman"/>
      <w:sz w:val="24"/>
    </w:rPr>
  </w:style>
  <w:style w:type="table" w:styleId="Jasnecieniowanieakcent3">
    <w:name w:val="Light Shading Accent 3"/>
    <w:basedOn w:val="Standardowy"/>
    <w:uiPriority w:val="60"/>
    <w:rsid w:val="00472092"/>
    <w:pPr>
      <w:spacing w:after="0" w:line="240" w:lineRule="auto"/>
      <w:jc w:val="both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ListTable4-Accent11">
    <w:name w:val="List Table 4 - Accent 11"/>
    <w:basedOn w:val="Standardowy"/>
    <w:uiPriority w:val="49"/>
    <w:rsid w:val="004720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kapitzlist">
    <w:name w:val="List Paragraph"/>
    <w:basedOn w:val="Normalny"/>
    <w:uiPriority w:val="34"/>
    <w:qFormat/>
    <w:rsid w:val="000E4743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784E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E6424B"/>
    <w:pPr>
      <w:tabs>
        <w:tab w:val="right" w:leader="dot" w:pos="9072"/>
      </w:tabs>
      <w:spacing w:after="100"/>
      <w:ind w:left="4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57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7C91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B7B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B7B2E"/>
    <w:rPr>
      <w:rFonts w:ascii="Courier New" w:eastAsia="Times New Roman" w:hAnsi="Courier New" w:cs="Courier New"/>
      <w:sz w:val="20"/>
      <w:szCs w:val="20"/>
      <w:lang w:eastAsia="pl-PL"/>
    </w:rPr>
  </w:style>
  <w:style w:type="table" w:styleId="Tabelasiatki4akcent5">
    <w:name w:val="Grid Table 4 Accent 5"/>
    <w:basedOn w:val="Standardowy"/>
    <w:uiPriority w:val="49"/>
    <w:rsid w:val="00865B1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5B292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B292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B2926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B292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B2926"/>
    <w:rPr>
      <w:rFonts w:ascii="Times New Roman" w:hAnsi="Times New Roman"/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D3DE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D3DE8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D3DE8"/>
    <w:rPr>
      <w:vertAlign w:val="superscript"/>
    </w:rPr>
  </w:style>
  <w:style w:type="character" w:customStyle="1" w:styleId="normaltextrun">
    <w:name w:val="normaltextrun"/>
    <w:basedOn w:val="Domylnaczcionkaakapitu"/>
    <w:rsid w:val="00EA39A6"/>
  </w:style>
  <w:style w:type="character" w:customStyle="1" w:styleId="spellingerror">
    <w:name w:val="spellingerror"/>
    <w:basedOn w:val="Domylnaczcionkaakapitu"/>
    <w:rsid w:val="00EA39A6"/>
  </w:style>
  <w:style w:type="paragraph" w:customStyle="1" w:styleId="paragraph">
    <w:name w:val="paragraph"/>
    <w:basedOn w:val="Normalny"/>
    <w:rsid w:val="00CA3F6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character" w:customStyle="1" w:styleId="eop">
    <w:name w:val="eop"/>
    <w:basedOn w:val="Domylnaczcionkaakapitu"/>
    <w:rsid w:val="00CA3F6A"/>
  </w:style>
  <w:style w:type="character" w:styleId="Nierozpoznanawzmianka">
    <w:name w:val="Unresolved Mention"/>
    <w:basedOn w:val="Domylnaczcionkaakapitu"/>
    <w:uiPriority w:val="99"/>
    <w:semiHidden/>
    <w:unhideWhenUsed/>
    <w:rsid w:val="00CD5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gov.pl/web/koronawiru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skar\Downloads\Dane_ka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[Dane_kat.xlsx]Arkusz12!Tabela przestawna30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solidFill>
              <a:schemeClr val="accent1"/>
            </a:solidFill>
          </a:ln>
          <a:effectLst/>
        </c:spPr>
      </c:pivotFmt>
      <c:pivotFmt>
        <c:idx val="2"/>
        <c:spPr>
          <a:solidFill>
            <a:srgbClr val="FFC000"/>
          </a:solidFill>
          <a:ln>
            <a:noFill/>
          </a:ln>
          <a:effectLst/>
        </c:spPr>
      </c:pivotFmt>
      <c:pivotFmt>
        <c:idx val="3"/>
        <c:spPr>
          <a:solidFill>
            <a:srgbClr val="FFC000"/>
          </a:solidFill>
          <a:ln>
            <a:noFill/>
          </a:ln>
          <a:effectLst/>
        </c:spPr>
      </c:pivotFmt>
      <c:pivotFmt>
        <c:idx val="4"/>
        <c:spPr>
          <a:solidFill>
            <a:srgbClr val="FFC000"/>
          </a:solidFill>
          <a:ln>
            <a:noFill/>
          </a:ln>
          <a:effectLst/>
        </c:spPr>
      </c:pivotFmt>
      <c:pivotFmt>
        <c:idx val="5"/>
        <c:spPr>
          <a:solidFill>
            <a:srgbClr val="FFC000"/>
          </a:solidFill>
          <a:ln>
            <a:noFill/>
          </a:ln>
          <a:effectLst/>
        </c:spPr>
      </c:pivotFmt>
      <c:pivotFmt>
        <c:idx val="6"/>
        <c:spPr>
          <a:solidFill>
            <a:srgbClr val="FFC000"/>
          </a:solidFill>
          <a:ln>
            <a:noFill/>
          </a:ln>
          <a:effectLst/>
        </c:spPr>
      </c:pivotFmt>
      <c:pivotFmt>
        <c:idx val="7"/>
        <c:spPr>
          <a:solidFill>
            <a:srgbClr val="FFC000"/>
          </a:solidFill>
          <a:ln>
            <a:noFill/>
          </a:ln>
          <a:effectLst/>
        </c:spPr>
      </c:pivotFmt>
      <c:pivotFmt>
        <c:idx val="8"/>
        <c:spPr>
          <a:solidFill>
            <a:srgbClr val="FFC000"/>
          </a:solidFill>
          <a:ln>
            <a:noFill/>
          </a:ln>
          <a:effectLst/>
        </c:spPr>
      </c:pivotFmt>
      <c:pivotFmt>
        <c:idx val="9"/>
        <c:spPr>
          <a:solidFill>
            <a:srgbClr val="FFC000"/>
          </a:solidFill>
          <a:ln>
            <a:noFill/>
          </a:ln>
          <a:effectLst/>
        </c:spPr>
      </c:pivotFmt>
      <c:pivotFmt>
        <c:idx val="10"/>
        <c:spPr>
          <a:solidFill>
            <a:srgbClr val="FFC000"/>
          </a:solidFill>
          <a:ln>
            <a:noFill/>
          </a:ln>
          <a:effectLst/>
        </c:spP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rgbClr val="FFC000"/>
          </a:solidFill>
          <a:ln>
            <a:noFill/>
          </a:ln>
          <a:effectLst/>
        </c:spPr>
      </c:pivotFmt>
      <c:pivotFmt>
        <c:idx val="13"/>
        <c:spPr>
          <a:solidFill>
            <a:srgbClr val="FFC000"/>
          </a:solidFill>
          <a:ln>
            <a:noFill/>
          </a:ln>
          <a:effectLst/>
        </c:spPr>
      </c:pivotFmt>
      <c:pivotFmt>
        <c:idx val="14"/>
        <c:spPr>
          <a:solidFill>
            <a:srgbClr val="FFC000"/>
          </a:solidFill>
          <a:ln>
            <a:noFill/>
          </a:ln>
          <a:effectLst/>
        </c:spPr>
      </c:pivotFmt>
      <c:pivotFmt>
        <c:idx val="15"/>
        <c:spPr>
          <a:solidFill>
            <a:srgbClr val="FFC000"/>
          </a:solidFill>
          <a:ln>
            <a:noFill/>
          </a:ln>
          <a:effectLst/>
        </c:spPr>
      </c:pivotFmt>
      <c:pivotFmt>
        <c:idx val="16"/>
        <c:spPr>
          <a:solidFill>
            <a:srgbClr val="FFC000"/>
          </a:solidFill>
          <a:ln>
            <a:noFill/>
          </a:ln>
          <a:effectLst/>
        </c:spPr>
      </c:pivotFmt>
      <c:pivotFmt>
        <c:idx val="17"/>
        <c:spPr>
          <a:solidFill>
            <a:srgbClr val="FFC000"/>
          </a:solidFill>
          <a:ln>
            <a:noFill/>
          </a:ln>
          <a:effectLst/>
        </c:spPr>
      </c:pivotFmt>
      <c:pivotFmt>
        <c:idx val="18"/>
        <c:spPr>
          <a:solidFill>
            <a:srgbClr val="FFC000"/>
          </a:solidFill>
          <a:ln>
            <a:noFill/>
          </a:ln>
          <a:effectLst/>
        </c:spPr>
      </c:pivotFmt>
      <c:pivotFmt>
        <c:idx val="19"/>
        <c:spPr>
          <a:solidFill>
            <a:srgbClr val="FFC000"/>
          </a:solidFill>
          <a:ln>
            <a:noFill/>
          </a:ln>
          <a:effectLst/>
        </c:spPr>
      </c:pivotFmt>
      <c:pivotFmt>
        <c:idx val="20"/>
        <c:spPr>
          <a:solidFill>
            <a:srgbClr val="FFC000"/>
          </a:solidFill>
          <a:ln>
            <a:noFill/>
          </a:ln>
          <a:effectLst/>
        </c:spPr>
      </c:pivotFmt>
      <c:pivotFmt>
        <c:idx val="21"/>
        <c:spPr>
          <a:solidFill>
            <a:schemeClr val="accent1"/>
          </a:solidFill>
          <a:ln>
            <a:solidFill>
              <a:schemeClr val="accen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rgbClr val="FFC000"/>
          </a:solidFill>
          <a:ln>
            <a:noFill/>
          </a:ln>
          <a:effectLst/>
        </c:spPr>
      </c:pivotFmt>
      <c:pivotFmt>
        <c:idx val="24"/>
        <c:spPr>
          <a:solidFill>
            <a:srgbClr val="FFC000"/>
          </a:solidFill>
          <a:ln>
            <a:noFill/>
          </a:ln>
          <a:effectLst/>
        </c:spPr>
      </c:pivotFmt>
      <c:pivotFmt>
        <c:idx val="25"/>
        <c:spPr>
          <a:solidFill>
            <a:srgbClr val="FFC000"/>
          </a:solidFill>
          <a:ln>
            <a:noFill/>
          </a:ln>
          <a:effectLst/>
        </c:spPr>
      </c:pivotFmt>
      <c:pivotFmt>
        <c:idx val="26"/>
        <c:spPr>
          <a:solidFill>
            <a:srgbClr val="FFC000"/>
          </a:solidFill>
          <a:ln>
            <a:noFill/>
          </a:ln>
          <a:effectLst/>
        </c:spPr>
      </c:pivotFmt>
      <c:pivotFmt>
        <c:idx val="27"/>
        <c:spPr>
          <a:solidFill>
            <a:srgbClr val="FFC000"/>
          </a:solidFill>
          <a:ln>
            <a:noFill/>
          </a:ln>
          <a:effectLst/>
        </c:spPr>
      </c:pivotFmt>
      <c:pivotFmt>
        <c:idx val="28"/>
        <c:spPr>
          <a:solidFill>
            <a:srgbClr val="FFC000"/>
          </a:solidFill>
          <a:ln>
            <a:noFill/>
          </a:ln>
          <a:effectLst/>
        </c:spPr>
      </c:pivotFmt>
      <c:pivotFmt>
        <c:idx val="29"/>
        <c:spPr>
          <a:solidFill>
            <a:srgbClr val="FFC000"/>
          </a:solidFill>
          <a:ln>
            <a:noFill/>
          </a:ln>
          <a:effectLst/>
        </c:spPr>
      </c:pivotFmt>
      <c:pivotFmt>
        <c:idx val="30"/>
        <c:spPr>
          <a:solidFill>
            <a:srgbClr val="FFC000"/>
          </a:solidFill>
          <a:ln>
            <a:noFill/>
          </a:ln>
          <a:effectLst/>
        </c:spPr>
      </c:pivotFmt>
      <c:pivotFmt>
        <c:idx val="31"/>
        <c:spPr>
          <a:solidFill>
            <a:srgbClr val="FFC000"/>
          </a:solidFill>
          <a:ln>
            <a:noFill/>
          </a:ln>
          <a:effectLst/>
        </c:spPr>
      </c:pivotFmt>
      <c:pivotFmt>
        <c:idx val="32"/>
        <c:spPr>
          <a:solidFill>
            <a:schemeClr val="accent1"/>
          </a:solidFill>
          <a:ln>
            <a:solidFill>
              <a:schemeClr val="accent1"/>
            </a:solidFill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Arkusz12!$B$1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0D7E-4018-819E-490DA88132C2}"/>
              </c:ext>
            </c:extLst>
          </c:dPt>
          <c:dPt>
            <c:idx val="2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0D7E-4018-819E-490DA88132C2}"/>
              </c:ext>
            </c:extLst>
          </c:dPt>
          <c:dPt>
            <c:idx val="4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0D7E-4018-819E-490DA88132C2}"/>
              </c:ext>
            </c:extLst>
          </c:dPt>
          <c:dPt>
            <c:idx val="6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0D7E-4018-819E-490DA88132C2}"/>
              </c:ext>
            </c:extLst>
          </c:dPt>
          <c:dPt>
            <c:idx val="8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0D7E-4018-819E-490DA88132C2}"/>
              </c:ext>
            </c:extLst>
          </c:dPt>
          <c:dPt>
            <c:idx val="10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0D7E-4018-819E-490DA88132C2}"/>
              </c:ext>
            </c:extLst>
          </c:dPt>
          <c:dPt>
            <c:idx val="12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0D7E-4018-819E-490DA88132C2}"/>
              </c:ext>
            </c:extLst>
          </c:dPt>
          <c:dPt>
            <c:idx val="14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0D7E-4018-819E-490DA88132C2}"/>
              </c:ext>
            </c:extLst>
          </c:dPt>
          <c:dPt>
            <c:idx val="16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0D7E-4018-819E-490DA88132C2}"/>
              </c:ext>
            </c:extLst>
          </c:dPt>
          <c:dPt>
            <c:idx val="17"/>
            <c:invertIfNegative val="0"/>
            <c:bubble3D val="0"/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0D7E-4018-819E-490DA88132C2}"/>
              </c:ext>
            </c:extLst>
          </c:dPt>
          <c:cat>
            <c:multiLvlStrRef>
              <c:f>Arkusz12!$A$2:$A$29</c:f>
              <c:multiLvlStrCache>
                <c:ptCount val="18"/>
                <c:lvl>
                  <c:pt idx="0">
                    <c:v>Female</c:v>
                  </c:pt>
                  <c:pt idx="1">
                    <c:v>Male</c:v>
                  </c:pt>
                  <c:pt idx="2">
                    <c:v>Female</c:v>
                  </c:pt>
                  <c:pt idx="3">
                    <c:v>Male</c:v>
                  </c:pt>
                  <c:pt idx="4">
                    <c:v>Female</c:v>
                  </c:pt>
                  <c:pt idx="5">
                    <c:v>Male</c:v>
                  </c:pt>
                  <c:pt idx="6">
                    <c:v>Female</c:v>
                  </c:pt>
                  <c:pt idx="7">
                    <c:v>Male</c:v>
                  </c:pt>
                  <c:pt idx="8">
                    <c:v>Female</c:v>
                  </c:pt>
                  <c:pt idx="9">
                    <c:v>Male</c:v>
                  </c:pt>
                  <c:pt idx="10">
                    <c:v>Female</c:v>
                  </c:pt>
                  <c:pt idx="11">
                    <c:v>Male</c:v>
                  </c:pt>
                  <c:pt idx="12">
                    <c:v>Female</c:v>
                  </c:pt>
                  <c:pt idx="13">
                    <c:v>Male</c:v>
                  </c:pt>
                  <c:pt idx="14">
                    <c:v>Female</c:v>
                  </c:pt>
                  <c:pt idx="15">
                    <c:v>Male</c:v>
                  </c:pt>
                  <c:pt idx="16">
                    <c:v>Female</c:v>
                  </c:pt>
                  <c:pt idx="17">
                    <c:v>Male</c:v>
                  </c:pt>
                </c:lvl>
                <c:lvl>
                  <c:pt idx="0">
                    <c:v>0 - 9 Years</c:v>
                  </c:pt>
                  <c:pt idx="2">
                    <c:v>10 - 19 Years</c:v>
                  </c:pt>
                  <c:pt idx="4">
                    <c:v>20 - 29 Years</c:v>
                  </c:pt>
                  <c:pt idx="6">
                    <c:v>30 - 39 Years</c:v>
                  </c:pt>
                  <c:pt idx="8">
                    <c:v>40 - 49 Years</c:v>
                  </c:pt>
                  <c:pt idx="10">
                    <c:v>50 - 59 Years</c:v>
                  </c:pt>
                  <c:pt idx="12">
                    <c:v>60 - 69 Years</c:v>
                  </c:pt>
                  <c:pt idx="14">
                    <c:v>70 - 79 Years</c:v>
                  </c:pt>
                  <c:pt idx="16">
                    <c:v>80+ Years</c:v>
                  </c:pt>
                </c:lvl>
              </c:multiLvlStrCache>
            </c:multiLvlStrRef>
          </c:cat>
          <c:val>
            <c:numRef>
              <c:f>Arkusz12!$B$2:$B$29</c:f>
              <c:numCache>
                <c:formatCode>General</c:formatCode>
                <c:ptCount val="18"/>
                <c:pt idx="0">
                  <c:v>6257</c:v>
                </c:pt>
                <c:pt idx="1">
                  <c:v>6654</c:v>
                </c:pt>
                <c:pt idx="2">
                  <c:v>21584</c:v>
                </c:pt>
                <c:pt idx="3">
                  <c:v>19478</c:v>
                </c:pt>
                <c:pt idx="4">
                  <c:v>41773</c:v>
                </c:pt>
                <c:pt idx="5">
                  <c:v>33349</c:v>
                </c:pt>
                <c:pt idx="6">
                  <c:v>34113</c:v>
                </c:pt>
                <c:pt idx="7">
                  <c:v>27757</c:v>
                </c:pt>
                <c:pt idx="8">
                  <c:v>33122</c:v>
                </c:pt>
                <c:pt idx="9">
                  <c:v>27897</c:v>
                </c:pt>
                <c:pt idx="10">
                  <c:v>33248</c:v>
                </c:pt>
                <c:pt idx="11">
                  <c:v>31085</c:v>
                </c:pt>
                <c:pt idx="12">
                  <c:v>25805</c:v>
                </c:pt>
                <c:pt idx="13">
                  <c:v>25321</c:v>
                </c:pt>
                <c:pt idx="14">
                  <c:v>16174</c:v>
                </c:pt>
                <c:pt idx="15">
                  <c:v>16479</c:v>
                </c:pt>
                <c:pt idx="16">
                  <c:v>14467</c:v>
                </c:pt>
                <c:pt idx="17">
                  <c:v>10712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0D7E-4018-819E-490DA88132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89957327"/>
        <c:axId val="1789949423"/>
      </c:barChart>
      <c:catAx>
        <c:axId val="1789957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9949423"/>
        <c:crosses val="autoZero"/>
        <c:auto val="1"/>
        <c:lblAlgn val="ctr"/>
        <c:lblOffset val="100"/>
        <c:noMultiLvlLbl val="0"/>
      </c:catAx>
      <c:valAx>
        <c:axId val="1789949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89957327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EA9E9-873A-44B0-BCDB-9909CFCB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14</Pages>
  <Words>2392</Words>
  <Characters>14354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16713</CharactersWithSpaces>
  <SharedDoc>false</SharedDoc>
  <HLinks>
    <vt:vector size="84" baseType="variant">
      <vt:variant>
        <vt:i4>1638454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_Toc42097451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_Toc42097450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_Toc42097449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_Toc42097448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_Toc42097447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_Toc42097446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_Toc42097445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_Toc42097444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_Toc42097443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_Toc42097442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_Toc42097441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_Toc42097440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_Toc42097439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_Toc42097438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Chmielewska</dc:creator>
  <cp:keywords/>
  <cp:lastModifiedBy>Oskar Furmańczuk</cp:lastModifiedBy>
  <cp:revision>487</cp:revision>
  <cp:lastPrinted>2020-12-11T21:22:00Z</cp:lastPrinted>
  <dcterms:created xsi:type="dcterms:W3CDTF">2019-01-16T07:59:00Z</dcterms:created>
  <dcterms:modified xsi:type="dcterms:W3CDTF">2020-12-11T21:25:00Z</dcterms:modified>
</cp:coreProperties>
</file>