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Author: Oskar Gargas s8235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90"/>
        <w:gridCol w:w="735"/>
        <w:gridCol w:w="6225"/>
        <w:tblGridChange w:id="0">
          <w:tblGrid>
            <w:gridCol w:w="1890"/>
            <w:gridCol w:w="735"/>
            <w:gridCol w:w="62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3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Choose a payment method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Drinker chooses method to pay for his drink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Drinker chose a drink to order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Drinker chose one of available payment methods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Drinker cancelled order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Choosen payment method is not available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Primary,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Primary actor: Drinker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Secondary actor: none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Drinker chose a drink to order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Drinker</w:t>
            </w:r>
            <w:r w:rsidDel="00000000" w:rsidR="00000000" w:rsidRPr="00000000">
              <w:rPr>
                <w:rtl w:val="0"/>
              </w:rPr>
              <w:t xml:space="preserve"> browses through available payment methods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Drinker chooses payment method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Drinker displays additional information about payment method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1b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Drinker displays terms of service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User cancels order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