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Texto corregido para el manuscrito</w:t>
      </w:r>
    </w:p>
    <w:p>
      <w:pPr>
        <w:jc w:val="center"/>
      </w:pPr>
      <w:r>
        <w:rPr>
          <w:i/>
        </w:rPr>
        <w:t>Bloque metodológico (observaciones 1 a 5)</w:t>
      </w:r>
    </w:p>
    <w:p>
      <w:r>
        <w:t>Este documento contiene el texto reescrito que debe reemplazar o agregarse a las secciones correspondientes del manuscrito. Los bloques siguen el orden numérico de la nueva estructura del Capítulo 4 (4.1 → 4.2 → 4.3 → 4.4 → 4.7) y luego la nueva Sección 5.1. Las indicaciones de ubicación explican dónde colocar cada bloque. El texto que debe aparecer en el manuscrito está resaltado en amarillo.</w:t>
      </w:r>
    </w:p>
    <w:p>
      <w:pPr>
        <w:pStyle w:val="Heading1"/>
      </w:pPr>
      <w:r>
        <w:t>A. Nueva estructura del Capítulo 4</w:t>
      </w:r>
    </w:p>
    <w:p>
      <w:r>
        <w:rPr>
          <w:b/>
        </w:rPr>
        <w:t xml:space="preserve">UBICACIÓN: </w:t>
      </w:r>
      <w:r>
        <w:rPr>
          <w:i/>
        </w:rPr>
        <w:t>Capítulo 4 "Comprensión del negocio". Reordenar las sub-secciones existentes en la nueva estructura siguiente. El contenido actual no se elimina; solo se reagrupa y se renumera.</w:t>
      </w:r>
    </w:p>
    <w:p>
      <w:r>
        <w:t>Nueva estructura propuesta para el Capítulo 4:</w:t>
      </w:r>
    </w:p>
    <w:p>
      <w:pPr>
        <w:pStyle w:val="ListBullet"/>
      </w:pPr>
      <w:r>
        <w:t>4.1  Problema de negocio (NUEVA — texto en bloque B)</w:t>
      </w:r>
    </w:p>
    <w:p>
      <w:pPr>
        <w:pStyle w:val="ListBullet"/>
      </w:pPr>
      <w:r>
        <w:t>4.2  Gestión del proyecto (consolidada — texto en bloque C)</w:t>
      </w:r>
    </w:p>
    <w:p>
      <w:pPr>
        <w:pStyle w:val="ListBullet"/>
      </w:pPr>
      <w:r>
        <w:t xml:space="preserve">   4.2.1  Inventario de recursos (mover el actual 4.2)</w:t>
      </w:r>
    </w:p>
    <w:p>
      <w:pPr>
        <w:pStyle w:val="ListBullet"/>
      </w:pPr>
      <w:r>
        <w:t xml:space="preserve">   4.2.2  Requisitos del proyecto (mover el actual 4.4)</w:t>
      </w:r>
    </w:p>
    <w:p>
      <w:pPr>
        <w:pStyle w:val="ListBullet"/>
      </w:pPr>
      <w:r>
        <w:t xml:space="preserve">   4.2.3  Restricciones, riesgos y supuestos (consolidar 4.9 + 4.10)</w:t>
      </w:r>
    </w:p>
    <w:p>
      <w:pPr>
        <w:pStyle w:val="ListBullet"/>
      </w:pPr>
      <w:r>
        <w:t xml:space="preserve">   4.2.4  Herramientas analíticas (mover el actual 4.7)</w:t>
      </w:r>
    </w:p>
    <w:p>
      <w:pPr>
        <w:pStyle w:val="ListBullet"/>
      </w:pPr>
      <w:r>
        <w:t>4.3  Marco metodológico CRISP-DM (mover el actual 4.1, ampliado — texto en bloque G)</w:t>
      </w:r>
    </w:p>
    <w:p>
      <w:pPr>
        <w:pStyle w:val="ListBullet"/>
      </w:pPr>
      <w:r>
        <w:t>4.4  Objetivos de la minería de datos (texto en bloque D)</w:t>
      </w:r>
    </w:p>
    <w:p>
      <w:pPr>
        <w:pStyle w:val="ListBullet"/>
      </w:pPr>
      <w:r>
        <w:t xml:space="preserve">   4.4.1  Métricas y umbrales de éxito (NUEVA — texto en bloque D)</w:t>
      </w:r>
    </w:p>
    <w:p>
      <w:pPr>
        <w:pStyle w:val="ListBullet"/>
      </w:pPr>
      <w:r>
        <w:t>4.5  Disponibilidad y calidad de los datos (mover el actual 4.5)</w:t>
      </w:r>
    </w:p>
    <w:p>
      <w:pPr>
        <w:pStyle w:val="ListBullet"/>
      </w:pPr>
      <w:r>
        <w:t>4.6  Definición clara de variables (mover el actual 4.6)</w:t>
      </w:r>
    </w:p>
    <w:p>
      <w:pPr>
        <w:pStyle w:val="ListBullet"/>
      </w:pPr>
      <w:r>
        <w:t>4.7  Plan del proyecto (texto en bloque E)</w:t>
      </w:r>
    </w:p>
    <w:p>
      <w:r>
        <w:br w:type="page"/>
      </w:r>
    </w:p>
    <w:p>
      <w:pPr>
        <w:pStyle w:val="Heading1"/>
      </w:pPr>
      <w:r>
        <w:t>B. Sección 4.1 "Problema de negocio" (NUEVA)</w:t>
      </w:r>
    </w:p>
    <w:p>
      <w:r>
        <w:rPr>
          <w:b/>
        </w:rPr>
        <w:t xml:space="preserve">UBICACIÓN: </w:t>
      </w:r>
      <w:r>
        <w:rPr>
          <w:i/>
        </w:rPr>
        <w:t>Insertar como primera sub-sección del Capítulo 4. La versión integrada conserva el contenido sustantivo de la versión inicial (figuras 1, 2 y 3, cifras macro) y agrega lo que el jurado pidió: enunciado explícito del problema, identificación del usuario objetivo, etapa del proceso crediticio que se apoya, y conexión explícita entre la estimación del gasto y el problema.</w:t>
      </w:r>
    </w:p>
    <w:p>
      <w:pPr>
        <w:pStyle w:val="Heading2"/>
      </w:pPr>
      <w:r>
        <w:t>4.1 Problema de negocio</w:t>
      </w:r>
    </w:p>
    <w:p>
      <w:pPr>
        <w:pStyle w:val="Heading3"/>
      </w:pPr>
      <w:r>
        <w:t>4.1.1 Contexto macroeconómico y financiero</w:t>
      </w:r>
    </w:p>
    <w:p>
      <w:r>
        <w:t>En la originación de crédito de consumo, la evaluación de la capacidad de pago se realiza en un contexto donde convergen señales macroeconómicas y financieras que incrementan la sensibilidad al riesgo. En la Figura 1 (Evolutivo porcentaje del IPC) se observa que al cierre de 2025 el IPC anual se mantiene alrededor del 5,1%, cifra superior a la observada en prepandemia, lo que tiende a presionar el gasto recurrente de los hogares y, por ende, el excedente disponible para atender obligaciones financieras.</w:t>
      </w:r>
    </w:p>
    <w:p>
      <w:r>
        <w:rPr>
          <w:i/>
        </w:rPr>
        <w:t>[Insertar Figura 1 — Evolutivo porcentaje del IPC]</w:t>
      </w:r>
    </w:p>
    <w:p>
      <w:r>
        <w:t>En paralelo, en la Figura 2 (Evolutivo del indicador de cartera en mora e indicador de cartera castigada) se observa que los indicadores de calidad de cartera muestran un nivel relevante de materialización del riesgo: la cartera vencida total (ICM) se ubica cerca del 4,7% en 2025, mientras que al incorporar castigos el indicador se sitúa alrededor del 11,0% (enero de 2025).</w:t>
      </w:r>
    </w:p>
    <w:p>
      <w:r>
        <w:rPr>
          <w:i/>
        </w:rPr>
        <w:t>[Insertar Figura 2 — Evolutivo ICM y cartera castigada]</w:t>
      </w:r>
    </w:p>
    <w:p>
      <w:r>
        <w:t>Desde la demanda, el gasto agregado de los hogares también refleja presiones. En la Figura 3 (Evolutivo gasto agregado de los hogares) se evidencia que el gasto agregado pasa de $93,5 billones (enero de 2025) a $101,01 billones (enero de 2026), con un crecimiento real aproximado del 2,54%, lo que sugiere que el consumo continúa dinámico pese a las presiones de inflación y al mayor costo del crédito.</w:t>
      </w:r>
    </w:p>
    <w:p>
      <w:r>
        <w:rPr>
          <w:i/>
        </w:rPr>
        <w:t>[Insertar Figura 3 — Evolutivo gasto agregado de los hogares]</w:t>
      </w:r>
    </w:p>
    <w:p>
      <w:pPr>
        <w:pStyle w:val="Heading3"/>
      </w:pPr>
      <w:r>
        <w:t>4.1.2 Problema identificado</w:t>
      </w:r>
    </w:p>
    <w:p>
      <w:r>
        <w:rPr>
          <w:highlight w:val="yellow"/>
        </w:rPr>
        <w:t>En la práctica del análisis crediticio, las entidades financieras enfrentan una limitación concreta: para calcular la capacidad de pago de un solicitante necesitan saber cuánto gasta mensualmente, pero esta variable —a diferencia del ingreso o de las obligaciones vigentes— no proviene de una fuente oficial verificable. Ante esta ausencia, el gasto suele aproximarse con reglas internas o porcentajes estándar del ingreso, que tratan por igual a personas con condiciones socioeconómicas muy distintas. El resultado son decisiones crediticias inconsistentes que se traducen en dos errores costosos: aprobar créditos a solicitantes cuyo flujo real no soporta la cuota, lo que alimenta el sobreendeudamiento, o rechazar a perfiles de bajo riesgo cuya verdadera capacidad de pago queda invisibilizada por la regla.</w:t>
      </w:r>
    </w:p>
    <w:p>
      <w:r>
        <w:t>En este escenario, el desafío operativo para las entidades financieras no se limita a observar el nivel de endeudamiento, sino a estimar con precisión el flujo disponible del solicitante una vez cubiertos los gastos básicos y las obligaciones existentes. En la práctica, el proceso de originación dispone de mecanismos relativamente estandarizados para validar ingresos y verificar endeudamiento mediante fuentes externas y centrales de información financiera; sin embargo, el componente de gasto personal no cuenta con una fuente oficial directamente verificable y se aproxima mediante reglas internas (porcentajes estándar del ingreso, canastas normativas o inferencias transaccionales).</w:t>
      </w:r>
    </w:p>
    <w:p>
      <w:r>
        <w:t>Esta brecha introduce un riesgo metodológico: una regla fija puede ser consistente en promedio, pero resulta insuficiente cuando la estructura socioeconómica del solicitante (composición del hogar, condiciones de vivienda, territorio, capital humano) induce presiones de gasto distintas aun con ingresos similares. En consecuencia, pueden presentarse sesgos por sobreestimación o subestimación de la capacidad real de pago, afectando la consistencia de las decisiones crediticias y elevando la probabilidad de sobreendeudamiento en perfiles específicos.</w:t>
      </w:r>
    </w:p>
    <w:p>
      <w:pPr>
        <w:pStyle w:val="Heading3"/>
      </w:pPr>
      <w:r>
        <w:t>4.1.3 Usuario objetivo y etapa del proceso crediticio que se apoya</w:t>
      </w:r>
    </w:p>
    <w:p>
      <w:r>
        <w:rPr>
          <w:highlight w:val="yellow"/>
        </w:rPr>
        <w:t>El usuario objetivo de la herramienta desarrollada en este trabajo es el analista de crédito de entidades financieras (bancos, cooperativas de ahorro y crédito, fintechs y compañías de financiamiento) que se desempeña en la etapa de originación, específicamente en el subproceso de evaluación de capacidad de pago. Este analista es el profesional encargado de verificar que el flujo disponible del solicitante, una vez cubiertos sus gastos recurrentes y obligaciones vigentes, sea suficiente para atender la cuota propuesta dentro de los parámetros de tolerancia al riesgo de la entidad.</w:t>
      </w:r>
    </w:p>
    <w:p>
      <w:r>
        <w:rPr>
          <w:highlight w:val="yellow"/>
        </w:rPr>
        <w:t>La etapa del proceso crediticio que el presente estudio apoya es, en concreto, la estimación del gasto personal mensual del solicitante, componente del cálculo de la capacidad de pago. La fórmula operativa típica es:</w:t>
      </w:r>
    </w:p>
    <w:p>
      <w:pPr>
        <w:jc w:val="center"/>
      </w:pPr>
      <w:r>
        <w:rPr>
          <w:i/>
          <w:highlight w:val="yellow"/>
        </w:rPr>
        <w:t>Capacidad de pago = (Ingreso disponible − Gasto estimado − Cuotas vigentes) / Cuota propuesta</w:t>
      </w:r>
    </w:p>
    <w:p>
      <w:r>
        <w:rPr>
          <w:highlight w:val="yellow"/>
        </w:rPr>
        <w:t>Mientras que las entidades disponen de mecanismos sólidos para verificar el ingreso (mediante soportes laborales y reportes tributarios) y las cuotas vigentes (mediante consultas a centrales de riesgo), la variable gasto estimado es la única que no se obtiene de una fuente oficial verificable. La herramienta propuesta en este estudio no sustituye al analista de crédito ni automatiza la decisión final de aprobación o rechazo: provee al analista una estimación trazable y representativa del gasto personal del solicitante, complementada con percentiles de comportamiento que el analista puede ajustar según la política de aversión al riesgo de la entidad.</w:t>
      </w:r>
    </w:p>
    <w:p>
      <w:pPr>
        <w:pStyle w:val="Heading3"/>
      </w:pPr>
      <w:r>
        <w:t>4.1.4 Enfoque propuesto y conexión con el problema identificado</w:t>
      </w:r>
    </w:p>
    <w:p>
      <w:r>
        <w:t>A partir de la evidencia presentada, el reto se concreta en convertir una variable no observable en originación (gasto personal) en un insumo estimado, trazable y comparable. Para ello, el presente estudio propone un enfoque empírico basado en microdatos oficiales de hogares (ENPH 2016-2017), que permite modelar el gasto personal como función de características socioeconómicas observables y derivar un ratio gasto-ingreso, complementándolo con perfiles y percentiles que contextualizan la presión de gasto frente al ingreso.</w:t>
      </w:r>
    </w:p>
    <w:p>
      <w:r>
        <w:t>Por su diseño probabilístico, estratificado y por conglomerados, y por disponer de factores de expansión a nivel de integrante de hogar, la ENPH constituye la fuente más robusta para caracterizar patrones de gasto e ingreso a nivel individual con validez inferencial sobre la población colombiana. Las características formales del diseño muestral y la incorporación del factor de expansión calibrado FEX_C se documentan en detalle en la Sección 5.1.</w:t>
      </w:r>
    </w:p>
    <w:p>
      <w:r>
        <w:rPr>
          <w:highlight w:val="yellow"/>
        </w:rPr>
        <w:t>La estimación del gasto desarrollada en este estudio responde directamente al problema identificado en cuatro aspectos concretos. Primero, utiliza una fuente representativa de la población colombiana (ENPH 2016-2017 del DANE), lo que mitiga el riesgo metodológico asociado a reglas internas no fundamentadas. Segundo, emplea variables que el analista de crédito puede consultar directamente en el formulario de solicitud (edad, sexo, estrato, nivel académico, actividad principal, número de aportantes en el hogar, tipo de vivienda, ingreso reportado), garantizando aplicabilidad operativa. Tercero, entrega no únicamente un valor puntual del gasto estimado, sino un percentil del ratio gasto-ingreso por perfil de comportamiento, permitiendo calibrar la decisión según la política de riesgo de la entidad. Cuarto, se materializa en un artefacto operativo (modelo serializado en formato pickle, junto con tablas auxiliares de percentiles) que puede integrarse a los sistemas de originación de las entidades financieras.</w:t>
      </w:r>
    </w:p>
    <w:p>
      <w:r>
        <w:t>En síntesis, el presente estudio desarrolla un indicador empírico del gasto personal mensual, estimado a partir de variables socioeconómicas verificables en originación, que complementa los procesos de evaluación de capacidad de endeudamiento con un insumo trazable, segmentado y respaldado con microdatos oficiales.</w:t>
      </w:r>
    </w:p>
    <w:p>
      <w:r>
        <w:br w:type="page"/>
      </w:r>
    </w:p>
    <w:p>
      <w:pPr>
        <w:pStyle w:val="Heading1"/>
      </w:pPr>
      <w:r>
        <w:t>C. Sección 4.2 "Gestión del proyecto" (REORGANIZACIÓN)</w:t>
      </w:r>
    </w:p>
    <w:p>
      <w:r>
        <w:rPr>
          <w:b/>
        </w:rPr>
        <w:t xml:space="preserve">UBICACIÓN: </w:t>
      </w:r>
      <w:r>
        <w:rPr>
          <w:i/>
        </w:rPr>
        <w:t>Crear nueva sección 4.2 que agrupe los contenidos actualmente dispersos en 4.2 (recursos), 4.4 (requisitos), 4.7 (herramientas), 4.9 (supuestos) y 4.10 (restricciones y riesgos). Esto separa explícitamente la gestión del proyecto del marco metodológico CRISP-DM.</w:t>
      </w:r>
    </w:p>
    <w:p>
      <w:pPr>
        <w:pStyle w:val="Heading2"/>
      </w:pPr>
      <w:r>
        <w:t>4.2 Gestión del proyecto</w:t>
      </w:r>
    </w:p>
    <w:p>
      <w:r>
        <w:rPr>
          <w:highlight w:val="yellow"/>
        </w:rPr>
        <w:t>En esta sección se consolidan los elementos de gestión del proyecto (recursos, requisitos, restricciones, riesgos, supuestos y herramientas). Estos elementos no forman parte de las fases formales de la metodología CRISP-DM, pero son necesarios para garantizar la viabilidad y trazabilidad del trabajo de investigación. La metodología CRISP-DM propiamente dicha se desarrolla a partir de la Sección 4.3.</w:t>
      </w:r>
    </w:p>
    <w:p>
      <w:pPr>
        <w:pStyle w:val="Heading3"/>
      </w:pPr>
      <w:r>
        <w:t>4.2.1 Inventario de recursos</w:t>
      </w:r>
    </w:p>
    <w:p>
      <w:r>
        <w:rPr>
          <w:highlight w:val="yellow"/>
        </w:rPr>
        <w:t>[Mantener el contenido actual de 4.2.1 Recursos de Personal y 4.2.2 Recurso de hardware y software sin cambios. Solo cambia la numeración a 4.2.1.1 y 4.2.1.2.]</w:t>
      </w:r>
    </w:p>
    <w:p>
      <w:pPr>
        <w:pStyle w:val="Heading3"/>
      </w:pPr>
      <w:r>
        <w:t>4.2.2 Requisitos del proyecto</w:t>
      </w:r>
    </w:p>
    <w:p>
      <w:r>
        <w:rPr>
          <w:highlight w:val="yellow"/>
        </w:rPr>
        <w:t>[Mantener el contenido actual de la sección 4.4 sin cambios.]</w:t>
      </w:r>
    </w:p>
    <w:p>
      <w:pPr>
        <w:pStyle w:val="Heading3"/>
      </w:pPr>
      <w:r>
        <w:t>4.2.3 Restricciones, riesgos y supuestos</w:t>
      </w:r>
    </w:p>
    <w:p>
      <w:r>
        <w:rPr>
          <w:highlight w:val="yellow"/>
        </w:rPr>
        <w:t>[Consolidar los contenidos actuales de 4.9 (Supuestos del proyecto) y 4.10 (Restricciones y riesgos), manteniendo la Tabla 1 de riesgos. Agregar al cierre de esta sub-sección el siguiente párrafo de cierre que conecta con la fase metodológica.]</w:t>
      </w:r>
    </w:p>
    <w:p>
      <w:r>
        <w:rPr>
          <w:highlight w:val="yellow"/>
        </w:rPr>
        <w:t>Con estos elementos de gestión definidos, el proyecto procede a la implementación formal de las seis fases de la metodología CRISP-DM, descrita en la Sección 4.3, y al desarrollo de cada fase en los capítulos subsiguientes (Capítulos 5 a 13).</w:t>
      </w:r>
    </w:p>
    <w:p>
      <w:pPr>
        <w:pStyle w:val="Heading3"/>
      </w:pPr>
      <w:r>
        <w:t>4.2.4 Herramientas analíticas</w:t>
      </w:r>
    </w:p>
    <w:p>
      <w:r>
        <w:rPr>
          <w:highlight w:val="yellow"/>
        </w:rPr>
        <w:t>[Mantener el contenido actual de la sección 4.7 sin cambios.]</w:t>
      </w:r>
    </w:p>
    <w:p>
      <w:r>
        <w:br w:type="page"/>
      </w:r>
    </w:p>
    <w:p>
      <w:pPr>
        <w:pStyle w:val="Heading1"/>
      </w:pPr>
      <w:r>
        <w:t>D. Sección 4.3 "Marco metodológico CRISP-DM" (REESCRITO)</w:t>
      </w:r>
    </w:p>
    <w:p>
      <w:r>
        <w:rPr>
          <w:b/>
        </w:rPr>
        <w:t xml:space="preserve">UBICACIÓN: </w:t>
      </w:r>
      <w:r>
        <w:rPr>
          <w:i/>
        </w:rPr>
        <w:t>Reemplazar el contenido actual de la Sección 4.1 (que pasa a 4.3 en la nueva estructura). Atiende observación del jurado sobre implementación parcial de las seis fases de CRISP-DM.</w:t>
      </w:r>
    </w:p>
    <w:p>
      <w:pPr>
        <w:pStyle w:val="Heading2"/>
      </w:pPr>
      <w:r>
        <w:t>4.3 Marco metodológico CRISP-DM</w:t>
      </w:r>
    </w:p>
    <w:p>
      <w:r>
        <w:rPr>
          <w:highlight w:val="yellow"/>
        </w:rPr>
        <w:t>El presente estudio adopta como marco metodológico CRISP-DM (Cross-Industry Standard Process for Data Mining), propuesto por Chapman et al. (2000) y reconocido como el estándar industrial para proyectos de minería de datos y analítica avanzada. CRISP-DM organiza el proceso en seis fases iterativas, cada una con entregables y criterios de transición a la siguiente fase. Esta sección documenta cómo se materializa cada fase en el presente trabajo y en qué capítulo del documento se desarrolla.</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t>Fase CRISP-DM</w:t>
            </w:r>
          </w:p>
        </w:tc>
        <w:tc>
          <w:tcPr>
            <w:tcW w:type="dxa" w:w="2280"/>
          </w:tcPr>
          <w:p>
            <w:r>
              <w:t>Definición</w:t>
            </w:r>
          </w:p>
        </w:tc>
        <w:tc>
          <w:tcPr>
            <w:tcW w:type="dxa" w:w="2280"/>
          </w:tcPr>
          <w:p>
            <w:r>
              <w:t>Materialización en el estudio</w:t>
            </w:r>
          </w:p>
        </w:tc>
        <w:tc>
          <w:tcPr>
            <w:tcW w:type="dxa" w:w="2280"/>
          </w:tcPr>
          <w:p>
            <w:r>
              <w:t>Capítulo / Anexo</w:t>
            </w:r>
          </w:p>
        </w:tc>
      </w:tr>
      <w:tr>
        <w:tc>
          <w:tcPr>
            <w:tcW w:type="dxa" w:w="2280"/>
          </w:tcPr>
          <w:p>
            <w:r>
              <w:t>1. Comprensión del negocio</w:t>
            </w:r>
          </w:p>
        </w:tc>
        <w:tc>
          <w:tcPr>
            <w:tcW w:type="dxa" w:w="2280"/>
          </w:tcPr>
          <w:p>
            <w:r>
              <w:t>Entendimiento de los objetivos del proyecto desde la perspectiva de negocio y traducción a un problema de minería de datos.</w:t>
            </w:r>
          </w:p>
        </w:tc>
        <w:tc>
          <w:tcPr>
            <w:tcW w:type="dxa" w:w="2280"/>
          </w:tcPr>
          <w:p>
            <w:r>
              <w:t>Identificación del problema operativo de estimar el gasto personal del solicitante; definición del usuario objetivo (analista de crédito); planteamiento de la pregunta analítica y los criterios de éxito.</w:t>
            </w:r>
          </w:p>
        </w:tc>
        <w:tc>
          <w:tcPr>
            <w:tcW w:type="dxa" w:w="2280"/>
          </w:tcPr>
          <w:p>
            <w:r>
              <w:t>Capítulo 4 (en particular 4.1 y 4.4)</w:t>
            </w:r>
          </w:p>
        </w:tc>
      </w:tr>
      <w:tr>
        <w:tc>
          <w:tcPr>
            <w:tcW w:type="dxa" w:w="2280"/>
          </w:tcPr>
          <w:p>
            <w:r>
              <w:t>2. Comprensión de los datos</w:t>
            </w:r>
          </w:p>
        </w:tc>
        <w:tc>
          <w:tcPr>
            <w:tcW w:type="dxa" w:w="2280"/>
          </w:tcPr>
          <w:p>
            <w:r>
              <w:t>Recolección inicial, descripción, exploración y verificación de la calidad de los datos.</w:t>
            </w:r>
          </w:p>
        </w:tc>
        <w:tc>
          <w:tcPr>
            <w:tcW w:type="dxa" w:w="2280"/>
          </w:tcPr>
          <w:p>
            <w:r>
              <w:t>Acceso a los microdatos ENPH 2016-2017 del DANE; documentación del diseño muestral y los factores de expansión; análisis descriptivo de las variables monetarias, de capital humano, sociodemográficas, territoriales y de vivienda; identificación de valores faltantes y atípicos.</w:t>
            </w:r>
          </w:p>
        </w:tc>
        <w:tc>
          <w:tcPr>
            <w:tcW w:type="dxa" w:w="2280"/>
          </w:tcPr>
          <w:p>
            <w:r>
              <w:t>Capítulo 5</w:t>
            </w:r>
          </w:p>
        </w:tc>
      </w:tr>
      <w:tr>
        <w:tc>
          <w:tcPr>
            <w:tcW w:type="dxa" w:w="2280"/>
          </w:tcPr>
          <w:p>
            <w:r>
              <w:t>3. Preparación de los datos</w:t>
            </w:r>
          </w:p>
        </w:tc>
        <w:tc>
          <w:tcPr>
            <w:tcW w:type="dxa" w:w="2280"/>
          </w:tcPr>
          <w:p>
            <w:r>
              <w:t>Construcción del dataset analítico final mediante limpieza, transformación, integración y formateo.</w:t>
            </w:r>
          </w:p>
        </w:tc>
        <w:tc>
          <w:tcPr>
            <w:tcW w:type="dxa" w:w="2280"/>
          </w:tcPr>
          <w:p>
            <w:r>
              <w:t>Anualización de los gastos por frecuencia COICOP; indexación de variables monetarias a pesos de 2025; homologación de variables categóricas; construcción del público objetivo (aportantes del hogar); integración relacional de los cuatro cuadernillos.</w:t>
            </w:r>
          </w:p>
        </w:tc>
        <w:tc>
          <w:tcPr>
            <w:tcW w:type="dxa" w:w="2280"/>
          </w:tcPr>
          <w:p>
            <w:r>
              <w:t>Capítulo 6 + Anexo A</w:t>
            </w:r>
          </w:p>
        </w:tc>
      </w:tr>
      <w:tr>
        <w:tc>
          <w:tcPr>
            <w:tcW w:type="dxa" w:w="2280"/>
          </w:tcPr>
          <w:p>
            <w:r>
              <w:t>4. Modelado</w:t>
            </w:r>
          </w:p>
        </w:tc>
        <w:tc>
          <w:tcPr>
            <w:tcW w:type="dxa" w:w="2280"/>
          </w:tcPr>
          <w:p>
            <w:r>
              <w:t>Selección y aplicación de técnicas de modelado, calibración de parámetros y comparación de resultados.</w:t>
            </w:r>
          </w:p>
        </w:tc>
        <w:tc>
          <w:tcPr>
            <w:tcW w:type="dxa" w:w="2280"/>
          </w:tcPr>
          <w:p>
            <w:r>
              <w:t>Estimación del modelo de regresión lineal múltiple ponderado por FEX_C (MCP/WLS); contraste con regularización Ridge y Lasso; contraste con Gradient Boosting Regressor; segmentación K-Means ponderada.</w:t>
            </w:r>
          </w:p>
        </w:tc>
        <w:tc>
          <w:tcPr>
            <w:tcW w:type="dxa" w:w="2280"/>
          </w:tcPr>
          <w:p>
            <w:r>
              <w:t>Capítulos 10 y 11 + Anexos B, C, D, E, F</w:t>
            </w:r>
          </w:p>
        </w:tc>
      </w:tr>
      <w:tr>
        <w:tc>
          <w:tcPr>
            <w:tcW w:type="dxa" w:w="2280"/>
          </w:tcPr>
          <w:p>
            <w:r>
              <w:t>5. Evaluación</w:t>
            </w:r>
          </w:p>
        </w:tc>
        <w:tc>
          <w:tcPr>
            <w:tcW w:type="dxa" w:w="2280"/>
          </w:tcPr>
          <w:p>
            <w:r>
              <w:t>Verificación de que los resultados cumplen los objetivos de negocio, evaluación del desempeño predictivo, identificación de limitaciones.</w:t>
            </w:r>
          </w:p>
        </w:tc>
        <w:tc>
          <w:tcPr>
            <w:tcW w:type="dxa" w:w="2280"/>
          </w:tcPr>
          <w:p>
            <w:r>
              <w:t>Verificación de los supuestos del modelo de regresión (linealidad, homocedasticidad, normalidad de residuos, ausencia de multicolinealidad); cálculo de métricas predictivas en el subconjunto de prueba; validación cruzada de 5 folds ponderada; análisis de limitaciones (uso de datos de encuesta vs. datos de solicitantes reales).</w:t>
            </w:r>
          </w:p>
        </w:tc>
        <w:tc>
          <w:tcPr>
            <w:tcW w:type="dxa" w:w="2280"/>
          </w:tcPr>
          <w:p>
            <w:r>
              <w:t>Capítulo 12</w:t>
            </w:r>
          </w:p>
        </w:tc>
      </w:tr>
      <w:tr>
        <w:tc>
          <w:tcPr>
            <w:tcW w:type="dxa" w:w="2280"/>
          </w:tcPr>
          <w:p>
            <w:r>
              <w:t>6. Despliegue</w:t>
            </w:r>
          </w:p>
        </w:tc>
        <w:tc>
          <w:tcPr>
            <w:tcW w:type="dxa" w:w="2280"/>
          </w:tcPr>
          <w:p>
            <w:r>
              <w:t>Documentación, planificación operativa, monitoreo y entrega del producto final al usuario de negocio.</w:t>
            </w:r>
          </w:p>
        </w:tc>
        <w:tc>
          <w:tcPr>
            <w:tcW w:type="dxa" w:w="2280"/>
          </w:tcPr>
          <w:p>
            <w:r>
              <w:t>Empaquetado del modelo y los preprocesadores en formato pickle; construcción de las tablas auxiliares de percentiles del ratio gasto/ingreso (RATIO_TABLE); documentación del flujo operativo para el analista de crédito; especificación de la disponibilidad de las variables del modelo en formularios de originación.</w:t>
            </w:r>
          </w:p>
        </w:tc>
        <w:tc>
          <w:tcPr>
            <w:tcW w:type="dxa" w:w="2280"/>
          </w:tcPr>
          <w:p>
            <w:r>
              <w:t>Capítulo 13 + Anexo G</w:t>
            </w:r>
          </w:p>
        </w:tc>
      </w:tr>
    </w:tbl>
    <w:p>
      <w:r>
        <w:rPr>
          <w:highlight w:val="yellow"/>
        </w:rPr>
        <w:t>Esta organización del documento permite trazar de manera explícita la correspondencia entre cada fase formal de la metodología y los capítulos correspondientes, evitando confusiones con elementos de gestión del proyecto (recursos, requisitos, restricciones) que no constituyen fases CRISP-DM y que se documentan separadamente en la Sección 4.2.</w:t>
      </w:r>
    </w:p>
    <w:p>
      <w:r>
        <w:br w:type="page"/>
      </w:r>
    </w:p>
    <w:p>
      <w:pPr>
        <w:pStyle w:val="Heading1"/>
      </w:pPr>
      <w:r>
        <w:t>E. Sección 4.4 "Objetivos de la minería de datos" (REESCRITA + 4.4.1 NUEVA)</w:t>
      </w:r>
    </w:p>
    <w:p>
      <w:r>
        <w:rPr>
          <w:b/>
        </w:rPr>
        <w:t xml:space="preserve">UBICACIÓN: </w:t>
      </w:r>
      <w:r>
        <w:rPr>
          <w:i/>
        </w:rPr>
        <w:t>Reemplazar el contenido actual de la Sección 4.3 (que pasa a 4.4 en la nueva estructura) y agregar nueva sub-sección 4.4.1.</w:t>
      </w:r>
    </w:p>
    <w:p>
      <w:pPr>
        <w:pStyle w:val="Heading2"/>
      </w:pPr>
      <w:r>
        <w:t>4.4 Objetivos de la minería de datos</w:t>
      </w:r>
    </w:p>
    <w:p>
      <w:r>
        <w:rPr>
          <w:highlight w:val="yellow"/>
        </w:rPr>
        <w:t>Los objetivos de la minería de datos describen las tareas analíticas concretas que la metodología CRISP-DM debe ejecutar para alcanzar los objetivos del estudio (Sección 2). A diferencia de los objetivos del estudio, que se formulan en términos del problema de negocio, los objetivos de minería de datos se formulan en términos técnicos: variable objetivo, técnicas, criterios de evaluación cuantitativa.</w:t>
      </w:r>
    </w:p>
    <w:p>
      <w:r>
        <w:rPr>
          <w:highlight w:val="yellow"/>
        </w:rPr>
        <w:t>La variable objetivo del modelo es el logaritmo natural del gasto personal mensual del aportante del hogar, indexado a pesos de diciembre de 2025 (en adelante, log_gastos_2025). Esta variable se construyó a partir de los cuadernillos de gastos diarios, gastos personales y gastos menos frecuentes de la ENPH, aplicando los factores de conversión de frecuencia COICOP (diaria, semanal, mensual, etc.) y la indexación con la variación acumulada del IPC por divisiones (DANE).</w:t>
      </w:r>
    </w:p>
    <w:p>
      <w:r>
        <w:t>Los objetivos específicos de minería de datos son los siguientes:</w:t>
      </w:r>
    </w:p>
    <w:p>
      <w:r>
        <w:rPr>
          <w:highlight w:val="yellow"/>
        </w:rPr>
        <w:t>1. Construir un modelo de regresión multivariada que estime log_gastos_2025 en función de un conjunto de variables socioeconómicas verificables en originación crediticia (edad, sexo, estrato, nivel académico, actividad principal, número de aportantes en el hogar, tipo de vivienda, región, log del ingreso mensual indexado a 2025).</w:t>
      </w:r>
    </w:p>
    <w:p>
      <w:r>
        <w:rPr>
          <w:highlight w:val="yellow"/>
        </w:rPr>
        <w:t>2. Estimar el modelo incorporando el factor de expansión calibrado FEX_C de la ENPH para garantizar representatividad poblacional, mediante Mínimos Cuadrados Ponderados (MCP/WLS).</w:t>
      </w:r>
    </w:p>
    <w:p>
      <w:r>
        <w:rPr>
          <w:highlight w:val="yellow"/>
        </w:rPr>
        <w:t>3. Comparar el desempeño del modelo lineal con técnicas alternativas (regularización Ridge y Lasso, regresor Gradient Boosting) para verificar la robustez de los coeficientes y la capacidad predictiva.</w:t>
      </w:r>
    </w:p>
    <w:p>
      <w:r>
        <w:rPr>
          <w:highlight w:val="yellow"/>
        </w:rPr>
        <w:t>4. Identificar perfiles de comportamiento del gasto mediante segmentación no supervisada (K-Means ponderado por FEX_C) sobre el espacio de características socioeconómicas y residuos del modelo de regresión.</w:t>
      </w:r>
    </w:p>
    <w:p>
      <w:r>
        <w:rPr>
          <w:highlight w:val="yellow"/>
        </w:rPr>
        <w:t>5. Construir un artefacto de producción (modelo serializado y tablas auxiliares de percentiles del ratio gasto/ingreso) que pueda integrarse a un proceso operativo de evaluación crediticia.</w:t>
      </w:r>
    </w:p>
    <w:p>
      <w:pPr>
        <w:pStyle w:val="Heading3"/>
      </w:pPr>
      <w:r>
        <w:t>4.4.1 Métricas y umbrales de éxito</w:t>
      </w:r>
    </w:p>
    <w:p>
      <w:r>
        <w:rPr>
          <w:highlight w:val="yellow"/>
        </w:rPr>
        <w:t>Para evaluar de manera objetiva el cumplimiento de los objetivos de minería de datos, se establecen los siguientes criterios cuantitativos:</w:t>
      </w:r>
    </w:p>
    <w:p>
      <w:r>
        <w:rPr>
          <w:highlight w:val="yellow"/>
        </w:rPr>
        <w:t>Modelo de regresión: (i) coeficiente de determinación ajustado (R²) igual o superior a 0,40 sobre la muestra de prueba reservada (20% de los datos); (ii) raíz del error cuadrático medio (RMSE) en escala logarítmica inferior a 0,80, equivalente a un error típico aproximado de 122% sobre el gasto en niveles; (iii) error absoluto medio (MAE) en escala logarítmica inferior a 0,60; (iv) consistencia de coeficientes en validación cruzada de 5 folds, con desviación estándar inferior al 10% del coeficiente medio para las variables explicativas principales (log del ingreso, edad, estrato, nivel académico).</w:t>
      </w:r>
    </w:p>
    <w:p>
      <w:r>
        <w:rPr>
          <w:highlight w:val="yellow"/>
        </w:rPr>
        <w:t>Segmentación K-Means: (i) índice de silhouette ponderado igual o superior a 0,15 sobre una muestra representativa proporcional al peso FEX_C; (ii) estabilidad ARI (Adjusted Rand Index) promedio igual o superior a 0,70 entre asignaciones obtenidas con diez semillas aleatorias distintas, lo que evidencia que la solución no depende de la inicialización; (iii) proporción mínima del 10% de la población expandida en cada cluster, evitando segmentos no representativos.</w:t>
      </w:r>
    </w:p>
    <w:p>
      <w:r>
        <w:rPr>
          <w:highlight w:val="yellow"/>
        </w:rPr>
        <w:t>Artefacto operativo: (i) serialización exitosa del modelo, los preprocesadores y las tablas auxiliares en formato pickle; (ii) verificación de que la simulación de un caso individual reproduce el gasto estimado dentro de un margen de tolerancia del 1% respecto del cálculo en el notebook original; (iii) cobertura de las variables del modelo en formularios crediticios estándar superior al 80%.</w:t>
      </w:r>
    </w:p>
    <w:p>
      <w:r>
        <w:rPr>
          <w:highlight w:val="yellow"/>
        </w:rPr>
        <w:t>Estos umbrales se establecen con base en la literatura aplicada al análisis de presupuestos familiares (Deaton &amp; Muellbauer, 1980; Banks, Blundell &amp; Lewbel, 1997) y en estudios comparables sobre gasto y consumo de hogares en Colombia.</w:t>
      </w:r>
    </w:p>
    <w:p>
      <w:r>
        <w:br w:type="page"/>
      </w:r>
    </w:p>
    <w:p>
      <w:pPr>
        <w:pStyle w:val="Heading1"/>
      </w:pPr>
      <w:r>
        <w:t>F. Sección 4.7 "Plan del proyecto" (REESCRITA)</w:t>
      </w:r>
    </w:p>
    <w:p>
      <w:r>
        <w:rPr>
          <w:b/>
        </w:rPr>
        <w:t xml:space="preserve">UBICACIÓN: </w:t>
      </w:r>
      <w:r>
        <w:rPr>
          <w:i/>
        </w:rPr>
        <w:t>Reemplazar el contenido actual de la Sección 4.11 (que pasa a 4.7 en la nueva estructura). Atiende observación del jurado sobre cronograma, fases CRISP-DM, justificación de técnicas y esquema de validación.</w:t>
      </w:r>
    </w:p>
    <w:p>
      <w:pPr>
        <w:pStyle w:val="Heading2"/>
      </w:pPr>
      <w:r>
        <w:t>4.7 Plan del proyecto</w:t>
      </w:r>
    </w:p>
    <w:p>
      <w:r>
        <w:rPr>
          <w:highlight w:val="yellow"/>
        </w:rPr>
        <w:t>El plan del proyecto se estructura en seis fases asociadas a las etapas de la metodología CRISP-DM (Chapman et al., 2000), con una duración total estimada de 24 semanas. Cada fase produce entregables concretos que alimentan la siguiente.</w:t>
      </w:r>
    </w:p>
    <w:p>
      <w:pPr>
        <w:pStyle w:val="Heading3"/>
      </w:pPr>
      <w:r>
        <w:t>4.7.1 Cronograma del proyecto</w:t>
      </w:r>
    </w:p>
    <w:p>
      <w:r>
        <w:rPr>
          <w:highlight w:val="yellow"/>
        </w:rPr>
        <w:t>[Insertar Tabla "Cronograma del proyecto" con las siguientes filas y columnas. Recomendado graficar como diagrama de Gantt simplificado.]</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r>
              <w:t>Fase CRISP-DM</w:t>
            </w:r>
          </w:p>
        </w:tc>
        <w:tc>
          <w:tcPr>
            <w:tcW w:type="dxa" w:w="2280"/>
          </w:tcPr>
          <w:p>
            <w:r>
              <w:t>Actividades</w:t>
            </w:r>
          </w:p>
        </w:tc>
        <w:tc>
          <w:tcPr>
            <w:tcW w:type="dxa" w:w="2280"/>
          </w:tcPr>
          <w:p>
            <w:r>
              <w:t>Duración (semanas)</w:t>
            </w:r>
          </w:p>
        </w:tc>
        <w:tc>
          <w:tcPr>
            <w:tcW w:type="dxa" w:w="2280"/>
          </w:tcPr>
          <w:p>
            <w:r>
              <w:t>Entregable</w:t>
            </w:r>
          </w:p>
        </w:tc>
      </w:tr>
      <w:tr>
        <w:tc>
          <w:tcPr>
            <w:tcW w:type="dxa" w:w="2280"/>
          </w:tcPr>
          <w:p>
            <w:r>
              <w:t>1. Comprensión del negocio</w:t>
            </w:r>
          </w:p>
        </w:tc>
        <w:tc>
          <w:tcPr>
            <w:tcW w:type="dxa" w:w="2280"/>
          </w:tcPr>
          <w:p>
            <w:r>
              <w:t>Identificación del problema, definición del usuario objetivo, levantamiento de requisitos.</w:t>
            </w:r>
          </w:p>
        </w:tc>
        <w:tc>
          <w:tcPr>
            <w:tcW w:type="dxa" w:w="2280"/>
          </w:tcPr>
          <w:p>
            <w:r>
              <w:t>2</w:t>
            </w:r>
          </w:p>
        </w:tc>
        <w:tc>
          <w:tcPr>
            <w:tcW w:type="dxa" w:w="2280"/>
          </w:tcPr>
          <w:p>
            <w:r>
              <w:t>Capítulo 4 del documento</w:t>
            </w:r>
          </w:p>
        </w:tc>
      </w:tr>
      <w:tr>
        <w:tc>
          <w:tcPr>
            <w:tcW w:type="dxa" w:w="2280"/>
          </w:tcPr>
          <w:p>
            <w:r>
              <w:t>2. Comprensión de los datos</w:t>
            </w:r>
          </w:p>
        </w:tc>
        <w:tc>
          <w:tcPr>
            <w:tcW w:type="dxa" w:w="2280"/>
          </w:tcPr>
          <w:p>
            <w:r>
              <w:t>Acceso a microdatos ENPH; inventario de cuadernillos; análisis exploratorio; descriptivos ponderados.</w:t>
            </w:r>
          </w:p>
        </w:tc>
        <w:tc>
          <w:tcPr>
            <w:tcW w:type="dxa" w:w="2280"/>
          </w:tcPr>
          <w:p>
            <w:r>
              <w:t>4</w:t>
            </w:r>
          </w:p>
        </w:tc>
        <w:tc>
          <w:tcPr>
            <w:tcW w:type="dxa" w:w="2280"/>
          </w:tcPr>
          <w:p>
            <w:r>
              <w:t>Capítulo 5 + Anexo A</w:t>
            </w:r>
          </w:p>
        </w:tc>
      </w:tr>
      <w:tr>
        <w:tc>
          <w:tcPr>
            <w:tcW w:type="dxa" w:w="2280"/>
          </w:tcPr>
          <w:p>
            <w:r>
              <w:t>3. Preparación de los datos</w:t>
            </w:r>
          </w:p>
        </w:tc>
        <w:tc>
          <w:tcPr>
            <w:tcW w:type="dxa" w:w="2280"/>
          </w:tcPr>
          <w:p>
            <w:r>
              <w:t>Limpieza, anualización, indexación a 2025, homologación, integración relacional.</w:t>
            </w:r>
          </w:p>
        </w:tc>
        <w:tc>
          <w:tcPr>
            <w:tcW w:type="dxa" w:w="2280"/>
          </w:tcPr>
          <w:p>
            <w:r>
              <w:t>5</w:t>
            </w:r>
          </w:p>
        </w:tc>
        <w:tc>
          <w:tcPr>
            <w:tcW w:type="dxa" w:w="2280"/>
          </w:tcPr>
          <w:p>
            <w:r>
              <w:t>Capítulo 6 + Anexo A</w:t>
            </w:r>
          </w:p>
        </w:tc>
      </w:tr>
      <w:tr>
        <w:tc>
          <w:tcPr>
            <w:tcW w:type="dxa" w:w="2280"/>
          </w:tcPr>
          <w:p>
            <w:r>
              <w:t>4. Modelado</w:t>
            </w:r>
          </w:p>
        </w:tc>
        <w:tc>
          <w:tcPr>
            <w:tcW w:type="dxa" w:w="2280"/>
          </w:tcPr>
          <w:p>
            <w:r>
              <w:t>Estimación WLS, comparación con Ridge/Lasso/GBM, segmentación K-Means.</w:t>
            </w:r>
          </w:p>
        </w:tc>
        <w:tc>
          <w:tcPr>
            <w:tcW w:type="dxa" w:w="2280"/>
          </w:tcPr>
          <w:p>
            <w:r>
              <w:t>6</w:t>
            </w:r>
          </w:p>
        </w:tc>
        <w:tc>
          <w:tcPr>
            <w:tcW w:type="dxa" w:w="2280"/>
          </w:tcPr>
          <w:p>
            <w:r>
              <w:t>Capítulos 10 y 11</w:t>
            </w:r>
          </w:p>
        </w:tc>
      </w:tr>
      <w:tr>
        <w:tc>
          <w:tcPr>
            <w:tcW w:type="dxa" w:w="2280"/>
          </w:tcPr>
          <w:p>
            <w:r>
              <w:t>5. Evaluación</w:t>
            </w:r>
          </w:p>
        </w:tc>
        <w:tc>
          <w:tcPr>
            <w:tcW w:type="dxa" w:w="2280"/>
          </w:tcPr>
          <w:p>
            <w:r>
              <w:t>Validación cruzada, diagnósticos del modelo, verificación de supuestos, métricas predictivas.</w:t>
            </w:r>
          </w:p>
        </w:tc>
        <w:tc>
          <w:tcPr>
            <w:tcW w:type="dxa" w:w="2280"/>
          </w:tcPr>
          <w:p>
            <w:r>
              <w:t>4</w:t>
            </w:r>
          </w:p>
        </w:tc>
        <w:tc>
          <w:tcPr>
            <w:tcW w:type="dxa" w:w="2280"/>
          </w:tcPr>
          <w:p>
            <w:r>
              <w:t>Capítulo 12</w:t>
            </w:r>
          </w:p>
        </w:tc>
      </w:tr>
      <w:tr>
        <w:tc>
          <w:tcPr>
            <w:tcW w:type="dxa" w:w="2280"/>
          </w:tcPr>
          <w:p>
            <w:r>
              <w:t>6. Despliegue</w:t>
            </w:r>
          </w:p>
        </w:tc>
        <w:tc>
          <w:tcPr>
            <w:tcW w:type="dxa" w:w="2280"/>
          </w:tcPr>
          <w:p>
            <w:r>
              <w:t>Empaquetado de artefactos, prueba operativa, documentación de uso.</w:t>
            </w:r>
          </w:p>
        </w:tc>
        <w:tc>
          <w:tcPr>
            <w:tcW w:type="dxa" w:w="2280"/>
          </w:tcPr>
          <w:p>
            <w:r>
              <w:t>3</w:t>
            </w:r>
          </w:p>
        </w:tc>
        <w:tc>
          <w:tcPr>
            <w:tcW w:type="dxa" w:w="2280"/>
          </w:tcPr>
          <w:p>
            <w:r>
              <w:t>Capítulo 13 + Anexo G</w:t>
            </w:r>
          </w:p>
        </w:tc>
      </w:tr>
    </w:tbl>
    <w:p>
      <w:pPr>
        <w:pStyle w:val="Heading3"/>
      </w:pPr>
      <w:r>
        <w:t>4.7.2 Justificación de la elección de técnicas</w:t>
      </w:r>
    </w:p>
    <w:p>
      <w:r>
        <w:rPr>
          <w:highlight w:val="yellow"/>
        </w:rPr>
        <w:t>La selección de las técnicas analíticas responde a criterios de interpretabilidad, parsimonia, verificabilidad de supuestos y compatibilidad con el diseño muestral complejo de la ENPH.</w:t>
      </w:r>
    </w:p>
    <w:p>
      <w:r>
        <w:rPr>
          <w:highlight w:val="yellow"/>
        </w:rPr>
        <w:t>Regresión lineal múltiple (modelo principal). Se selecciona como técnica base porque (i) sus coeficientes son directamente interpretables como elasticidades cuando las variables se transforman en logaritmos, lo cual facilita la comunicación al analista de crédito; (ii) sus supuestos (linealidad, homocedasticidad, normalidad de residuos, ausencia de multicolinealidad) son verificables con pruebas estadísticas estándar; (iii) admite la incorporación natural de los factores de expansión mediante Mínimos Cuadrados Ponderados (MCP/WLS); (iv) produce un artefacto liviano y reproducible. Se descartan modelos de demanda como AIDS o QUAIDS porque su finalidad es estimar elasticidades por categoría de consumo, mientras que aquí interesa estimar el gasto personal agregado.</w:t>
      </w:r>
    </w:p>
    <w:p>
      <w:r>
        <w:rPr>
          <w:highlight w:val="yellow"/>
        </w:rPr>
        <w:t>Regularización Ridge y Lasso (contrastes). Se incorporan en el Anexo F para verificar la robustez de los coeficientes del modelo principal frente a posible multicolinealidad y para evaluar si la selección automática de variables (Lasso) coincide con la selección teórica.</w:t>
      </w:r>
    </w:p>
    <w:p>
      <w:r>
        <w:rPr>
          <w:highlight w:val="yellow"/>
        </w:rPr>
        <w:t>Gradient Boosting Regressor (contraste no lineal). Se utiliza para acotar el techo de capacidad predictiva alcanzable con técnicas no lineales y verificar que la pérdida de R² del modelo lineal es acotada. Se descarta como modelo principal porque no produce coeficientes interpretables ni facilita el cálculo del ratio gasto/ingreso por percentiles.</w:t>
      </w:r>
    </w:p>
    <w:p>
      <w:r>
        <w:rPr>
          <w:highlight w:val="yellow"/>
        </w:rPr>
        <w:t>K-Means ponderado (segmentación). Se selecciona porque (i) admite ponderación por FEX_C mediante el parámetro sample_weight de scikit-learn; (ii) genera centroides interpretables como perfiles arquetípicos; (iii) requiere especificar K, lo cual permite incorporar criterios técnicos (método del codo, índice de silhouette, ARI) para defender la elección; (iv) escala bien al tamaño de la ENPH. Se evaluaron como alternativas el clustering jerárquico aglomerativo (descartado por su complejidad O(N²)) y los modelos de mezcla gaussiana (descartados porque las variables categóricas codificadas no satisfacen el supuesto de normalidad multivariada).</w:t>
      </w:r>
    </w:p>
    <w:p>
      <w:pPr>
        <w:pStyle w:val="Heading3"/>
      </w:pPr>
      <w:r>
        <w:t>4.7.3 Esquema de entrenamiento, prueba y validación cruzada</w:t>
      </w:r>
    </w:p>
    <w:p>
      <w:r>
        <w:rPr>
          <w:highlight w:val="yellow"/>
        </w:rPr>
        <w:t>Para garantizar una evaluación honesta del desempeño predictivo del modelo, se utiliza el siguiente esquema de validación, aplicado de manera consistente al modelo principal y a los modelos de contraste:</w:t>
      </w:r>
    </w:p>
    <w:p>
      <w:r>
        <w:rPr>
          <w:highlight w:val="yellow"/>
        </w:rPr>
        <w:t>División entrenamiento-prueba: la base se particiona aleatoriamente en 80% para entrenamiento y 20% para prueba, con una semilla fija (random_state = 42) para reproducibilidad. Se verifica que la distribución poblacional ponderada por FEX_C de la variable objetivo y de las variables principales se mantenga estable en ambos subconjuntos (prueba de Kolmogorov-Smirnov ponderada con p-valor mayor a 0,05).</w:t>
      </w:r>
    </w:p>
    <w:p>
      <w:r>
        <w:rPr>
          <w:highlight w:val="yellow"/>
        </w:rPr>
        <w:t>Validación cruzada: sobre el conjunto de entrenamiento se aplica K-fold cross-validation con K = 5, ponderando cada fold por FEX_C normalizado. Se reportan media y desviación estándar de R² y RMSE entre folds para evaluar la estabilidad del modelo.</w:t>
      </w:r>
    </w:p>
    <w:p>
      <w:r>
        <w:rPr>
          <w:highlight w:val="yellow"/>
        </w:rPr>
        <w:t>Evaluación final: las métricas de desempeño se calculan exclusivamente sobre el conjunto de prueba reservado, que no participa en la estimación ni en la selección de hiperparámetros. Esto permite reportar un desempeño realista y no inflado por sobreajuste.</w:t>
      </w:r>
    </w:p>
    <w:p>
      <w:pPr>
        <w:pStyle w:val="Heading3"/>
      </w:pPr>
      <w:r>
        <w:t>4.7.4 Integración entre el modelo de regresión y la segmentación</w:t>
      </w:r>
    </w:p>
    <w:p>
      <w:r>
        <w:rPr>
          <w:highlight w:val="yellow"/>
        </w:rPr>
        <w:t>La regresión y la segmentación cumplen funciones complementarias dentro del producto operativo. La regresión estima el gasto promedio condicional E[log_gastos_2025 | X], es decir, el valor esperado del gasto dado un perfil socioeconómico X. Esta estimación es útil pero pierde la heterogeneidad entre individuos con el mismo perfil promedio.</w:t>
      </w:r>
    </w:p>
    <w:p>
      <w:r>
        <w:rPr>
          <w:highlight w:val="yellow"/>
        </w:rPr>
        <w:t>La segmentación K-Means se aplica sobre el espacio que combina las variables socioeconómicas estandarizadas y los residuos del modelo de regresión, y produce cuatro perfiles de comportamiento del gasto (cluster 0 a 3, ordenados por ingreso mediano). Para cada cluster se construye una tabla de percentiles del ratio gasto/ingreso (RATIO_TABLE), de modo que el analista de crédito pueda no sólo obtener un valor puntual de gasto estimado, sino también situar al solicitante en un percentil de comportamiento dentro de su cluster, ajustando la estimación según el perfil de riesgo.</w:t>
      </w:r>
    </w:p>
    <w:p>
      <w:r>
        <w:rPr>
          <w:highlight w:val="yellow"/>
        </w:rPr>
        <w:t>En la práctica operativa, el flujo es: (i) ingresar las características del solicitante; (ii) el modelo de regresión devuelve el gasto puntual estimado; (iii) el modelo K-Means asigna al solicitante a uno de los cuatro clusters; (iv) la RATIO_TABLE provee los percentiles del ratio gasto/ingreso para ese cluster, permitiendo al analista calibrar la estimación según una política de aversión al riesgo definida por la entidad financiera.</w:t>
      </w:r>
    </w:p>
    <w:p>
      <w:r>
        <w:br w:type="page"/>
      </w:r>
    </w:p>
    <w:p>
      <w:pPr>
        <w:pStyle w:val="Heading1"/>
      </w:pPr>
      <w:r>
        <w:t>G. Sección 5.1 "Diseño muestral de la ENPH 2016-2017 y unidad de análisis" (NUEVA — CRÍTICA)</w:t>
      </w:r>
    </w:p>
    <w:p>
      <w:r>
        <w:rPr>
          <w:b/>
        </w:rPr>
        <w:t xml:space="preserve">UBICACIÓN: </w:t>
      </w:r>
      <w:r>
        <w:rPr>
          <w:i/>
        </w:rPr>
        <w:t>Insertar como nueva sub-sección AL INICIO del Capítulo 5 "Comprensión de los datos", antes de cualquier otro contenido. La sub-sección 5.1 actual (que solo dice "Datos") se renumera a 5.2 y la actual 5.2 a 5.3, y así sucesivamente. Esta es la observación más crítica del jurado: el modelo se estimaba como si los datos provinieran de una muestra aleatoria simple, sin considerar el diseño muestral.</w:t>
      </w:r>
    </w:p>
    <w:p>
      <w:pPr>
        <w:pStyle w:val="Heading2"/>
      </w:pPr>
      <w:r>
        <w:t>5.1 Diseño muestral de la ENPH 2016-2017 y unidad de análisis</w:t>
      </w:r>
    </w:p>
    <w:p>
      <w:r>
        <w:rPr>
          <w:highlight w:val="yellow"/>
        </w:rPr>
        <w:t>Esta sub-sección documenta de manera formal las características del diseño muestral de la Encuesta Nacional de Presupuestos de los Hogares (ENPH) 2016-2017 del Departamento Administrativo Nacional de Estadística (DANE), por dos razones: (i) cumplir con el estándar de rigor estadístico requerido al trabajar con microdatos provenientes de encuestas con diseño complejo, y (ii) justificar metodológicamente la incorporación del factor de expansión calibrado FEX_C en todas las fases analíticas posteriores.</w:t>
      </w:r>
    </w:p>
    <w:p>
      <w:pPr>
        <w:pStyle w:val="Heading3"/>
      </w:pPr>
      <w:r>
        <w:t>5.1.1 Tipo de diseño muestral</w:t>
      </w:r>
    </w:p>
    <w:p>
      <w:r>
        <w:rPr>
          <w:highlight w:val="yellow"/>
        </w:rPr>
        <w:t>La ENPH 2016-2017 utiliza un diseño muestral probabilístico, estratificado, multietápico y por conglomerados (DANE, 2018). Esto significa que (i) cada unidad de la población tiene una probabilidad conocida y distinta de cero de ser seleccionada (probabilístico), lo que habilita la inferencia estadística poblacional; (ii) la población se divide en estratos a partir de criterios de heterogeneidad geográfica y socioeconómica (estratificado), y dentro de cada estrato se selecciona una muestra independiente; (iii) la selección se realiza en varias etapas, comenzando por unidades primarias de muestreo (UPM) hasta llegar a las viviendas y los hogares (multietápico); (iv) en lugar de seleccionar individuos directamente, se seleccionan conglomerados de viviendas geográficamente próximas (manzanas o segmentos), lo que reduce los costos operativos pero introduce correlación intra-conglomerado que debe considerarse en el cálculo de errores estándar (por conglomerados).</w:t>
      </w:r>
    </w:p>
    <w:p>
      <w:r>
        <w:rPr>
          <w:highlight w:val="yellow"/>
        </w:rPr>
        <w:t>Las implicaciones de este diseño para el análisis son: (i) los estadísticos calculados sobre la muestra sin ponderar no son representativos de la población; (ii) los errores estándar calculados asumiendo muestreo aleatorio simple subestiman la varianza verdadera, por lo que las pruebas de significancia pueden ser engañosamente liberales; (iii) la inferencia poblacional requiere incorporar pesos muestrales (factores de expansión) y, cuando es posible, identificar UPM y estratos para ajustar correctamente los errores estándar.</w:t>
      </w:r>
    </w:p>
    <w:p>
      <w:pPr>
        <w:pStyle w:val="Heading3"/>
      </w:pPr>
      <w:r>
        <w:t>5.1.2 Factor de expansión calibrado FEX_C</w:t>
      </w:r>
    </w:p>
    <w:p>
      <w:r>
        <w:rPr>
          <w:highlight w:val="yellow"/>
        </w:rPr>
        <w:t>El factor de expansión calibrado FEX_C es la variable que el DANE provee a los usuarios de los microdatos para realizar inferencia poblacional. Este factor incorpora (i) la inversa de la probabilidad de selección de cada observación según el diseño muestral; (ii) ajustes por no respuesta para corregir sesgo en hogares que no completaron la entrevista; (iii) calibración contra totales poblacionales conocidos (proyecciones de población por edad, sexo y región según el censo más reciente), garantizando que las estimaciones expandidas sean consistentes con la demografía oficial. El sufijo "C" denota que se trata del factor calibrado, opuesto al factor básico no calibrado.</w:t>
      </w:r>
    </w:p>
    <w:p>
      <w:r>
        <w:rPr>
          <w:highlight w:val="yellow"/>
        </w:rPr>
        <w:t>En la ENPH 2016-2017, el FEX_C se entrega a nivel de persona (integrante del hogar) y se interpreta como el número de personas en la población colombiana que cada observación de la muestra representa. La suma del FEX_C sobre la población objetivo del estudio (aportantes del hogar) reproduce el total estimado de aportantes en Colombia para el período de referencia.</w:t>
      </w:r>
    </w:p>
    <w:p>
      <w:r>
        <w:rPr>
          <w:highlight w:val="yellow"/>
        </w:rPr>
        <w:t>En el presente estudio, el FEX_C se utiliza en todas las fases analíticas: (i) en los descriptivos del Capítulo 5.3 para reportar medias, medianas y percentiles ponderados, presentados de manera paralela con los estadísticos muestrales; (ii) en la fase de modelado (Capítulo 10) para estimar el modelo mediante Mínimos Cuadrados Ponderados (MCP/WLS), cuya formulación se detalla en la Sección 10.2; (iii) en la segmentación (Capítulo 11) para entrenar el algoritmo K-Means incorporando el peso muestral mediante el parámetro sample_weight de scikit-learn; (iv) en la evaluación del modelo (Capítulo 12) para garantizar que las métricas de desempeño reflejen el comportamiento poblacional y no únicamente el muestral.</w:t>
      </w:r>
    </w:p>
    <w:p>
      <w:pPr>
        <w:pStyle w:val="Heading3"/>
      </w:pPr>
      <w:r>
        <w:t>5.1.3 Jerarquía vivienda-hogar-integrante y unidad de análisis</w:t>
      </w:r>
    </w:p>
    <w:p>
      <w:r>
        <w:rPr>
          <w:highlight w:val="yellow"/>
        </w:rPr>
        <w:t>La ENPH organiza la información en tres niveles jerárquicos: (i) la vivienda, identificada con la llave DIRECTORIO, que corresponde a la unidad física donde residen uno o más hogares; (ii) el hogar, identificado con la combinación DIRECTORIO + SECUENCIA_ENCUESTA, que agrupa a las personas que comparten gastos comunes y residen en la misma vivienda; (iii) el integrante del hogar (persona), identificado con la combinación DIRECTORIO + SECUENCIA_ENCUESTA + ORDEN, donde ORDEN ordena a los integrantes dentro del hogar (típicamente comenzando por el jefe de hogar).</w:t>
      </w:r>
    </w:p>
    <w:p>
      <w:r>
        <w:rPr>
          <w:highlight w:val="yellow"/>
        </w:rPr>
        <w:t>Las variables de la ENPH se reportan en el nivel jerárquico más natural: las características de la vivienda (tipo, tenencia, servicios públicos) están a nivel de vivienda; las características del entorno y los gastos colectivos (servicios públicos, alimentos del hogar, gastos menos frecuentes) están a nivel de hogar; las características personales (edad, sexo, educación, actividad económica, ingresos laborales, gastos personales) están a nivel de persona.</w:t>
      </w:r>
    </w:p>
    <w:p>
      <w:r>
        <w:rPr>
          <w:highlight w:val="yellow"/>
        </w:rPr>
        <w:t>La unidad de análisis del presente estudio es la persona aportante del hogar (integrante con ingresos laborales o pensionales mayores a un salario mínimo). Esta elección se justifica porque (i) el problema de negocio es estimar el gasto personal de un solicitante individual de crédito, no el gasto agregado del hogar; (ii) las variables socioeconómicas que un analista de crédito puede consultar en el formulario de originación se refieren al solicitante individual y no al hogar como unidad colectiva; (iii) el factor de expansión FEX_C de la ENPH está calibrado para expansión a nivel de persona.</w:t>
      </w:r>
    </w:p>
    <w:p>
      <w:r>
        <w:rPr>
          <w:highlight w:val="yellow"/>
        </w:rPr>
        <w:t>Para construir el dataset analítico a nivel de persona, las variables de hogar y vivienda se asocian a cada integrante del hogar correspondiente mediante un join relacional sobre las llaves jerárquicas. La construcción de la base analítica integrada se documenta en detalle en el Capítulo 6 (Preparación de los datos) y en el Anexo 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