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Sección 4.1 "Problema de negocio" — versión integrada</w:t>
      </w:r>
    </w:p>
    <w:p>
      <w:pPr>
        <w:jc w:val="center"/>
      </w:pPr>
      <w:r>
        <w:rPr>
          <w:i/>
        </w:rPr>
        <w:t>Integración de la versión inicial con las correcciones solicitadas por el jurado</w:t>
      </w:r>
    </w:p>
    <w:p>
      <w:r>
        <w:t>Este documento muestra la versión integrada del Capítulo "Problema de negocio". El texto en color normal corresponde a la redacción inicial conservada (con ajustes menores de estilo). El texto resaltado en amarillo corresponde al contenido nuevo agregado para responder a las observaciones del jurado: enunciado explícito del problema, identificación del usuario objetivo (analistas de crédito), precisión de la etapa del proceso crediticio que se apoya, y conexión explícita entre la estimación del gasto y el problema identificado.</w:t>
      </w:r>
    </w:p>
    <w:p>
      <w:pPr>
        <w:pStyle w:val="Heading1"/>
      </w:pPr>
      <w:r>
        <w:t>4.1 Problema de negocio</w:t>
      </w:r>
    </w:p>
    <w:p>
      <w:pPr>
        <w:pStyle w:val="Heading2"/>
      </w:pPr>
      <w:r>
        <w:t>4.1.1 Contexto macroeconómico y financiero</w:t>
      </w:r>
    </w:p>
    <w:p>
      <w:r>
        <w:t>En la originación de crédito de consumo, la evaluación de la capacidad de pago se realiza en un contexto donde convergen señales macroeconómicas y financieras que incrementan la sensibilidad al riesgo. En la Figura 1 (Evolutivo porcentaje del IPC), se observa que al cierre de 2025 el IPC anual se mantiene alrededor del 5,1%, cifra superior a la observada en prepandemia, lo que tiende a presionar el gasto recurrente de los hogares y, por ende, el excedente disponible para atender obligaciones financieras.</w:t>
      </w:r>
    </w:p>
    <w:p>
      <w:r>
        <w:rPr>
          <w:i/>
        </w:rPr>
        <w:t>[Insertar Figura 1 — Evolutivo porcentaje del IPC]</w:t>
      </w:r>
    </w:p>
    <w:p>
      <w:r>
        <w:t>En paralelo, en la Figura 2 (Evolutivo del indicador de cartera en mora e indicador de cartera castigada), se observa que los indicadores de calidad de cartera muestran un nivel relevante de materialización del riesgo: la cartera vencida total (ICM) se ubica cerca del 4,7% en 2025, mientras que al incorporar castigos el indicador se sitúa alrededor del 11,0% (enero de 2025).</w:t>
      </w:r>
    </w:p>
    <w:p>
      <w:r>
        <w:rPr>
          <w:i/>
        </w:rPr>
        <w:t>[Insertar Figura 2 — Evolutivo ICM y cartera castigada]</w:t>
      </w:r>
    </w:p>
    <w:p>
      <w:r>
        <w:t>Desde la demanda, el gasto agregado de los hogares también refleja presiones. Al observar la Figura 3 (Evolutivo gasto agregado de los hogares), se evidencia que el gasto agregado pasa de $93,5 billones (enero de 2025) a $101,01 billones (enero de 2026), con un crecimiento real aproximado del 2,54%, lo que sugiere que el consumo continúa dinámico pese a las presiones de inflación y al mayor costo del crédito.</w:t>
      </w:r>
    </w:p>
    <w:p>
      <w:r>
        <w:rPr>
          <w:i/>
        </w:rPr>
        <w:t>[Insertar Figura 3 — Evolutivo gasto agregado de los hogares]</w:t>
      </w:r>
    </w:p>
    <w:p>
      <w:pPr>
        <w:pStyle w:val="Heading2"/>
      </w:pPr>
      <w:r>
        <w:t>4.1.2 Problema identificado</w:t>
      </w:r>
    </w:p>
    <w:p>
      <w:r>
        <w:rPr>
          <w:highlight w:val="yellow"/>
        </w:rPr>
        <w:t>El problema de negocio que aborda el presente estudio se enuncia formalmente así: en la etapa de originación de crédito de consumo, las entidades financieras no disponen de una fuente oficial directamente verificable que permita estimar el gasto personal mensual del solicitante, componente indispensable para el cálculo de la capacidad de pago. Esta brecha metodológica genera decisiones crediticias inconsistentes que pueden derivar en sobreendeudamiento o en exclusión injustificada de perfiles de bajo riesgo.</w:t>
      </w:r>
    </w:p>
    <w:p>
      <w:r>
        <w:t>En este escenario, el desafío operativo para las entidades financieras no se limita a observar el nivel de endeudamiento, sino a estimar con precisión el flujo disponible del solicitante una vez cubiertos los gastos básicos y las obligaciones existentes. En la práctica, el proceso de originación dispone de mecanismos relativamente estandarizados para validar ingresos y verificar endeudamiento mediante fuentes externas y centrales de información financiera; sin embargo, el componente de gasto personal no cuenta con una fuente oficial directamente verificable y se aproxima mediante reglas internas (porcentajes estándar del ingreso, canastas normativas o inferencias transaccionales).</w:t>
      </w:r>
    </w:p>
    <w:p>
      <w:r>
        <w:t>Esta brecha introduce un riesgo metodológico: una regla fija puede ser consistente en promedio, pero resulta insuficiente cuando la estructura socioeconómica del solicitante (composición del hogar, condiciones de vivienda, territorio, capital humano) induce presiones de gasto distintas aun con ingresos similares. En consecuencia, pueden presentarse sesgos por sobreestimación o subestimación de la capacidad real de pago, afectando la consistencia de las decisiones crediticias y elevando la probabilidad de sobreendeudamiento en perfiles específicos.</w:t>
      </w:r>
    </w:p>
    <w:p>
      <w:pPr>
        <w:pStyle w:val="Heading2"/>
      </w:pPr>
      <w:r>
        <w:t>4.1.3 Usuario objetivo y etapa del proceso crediticio que se apoya</w:t>
      </w:r>
    </w:p>
    <w:p>
      <w:r>
        <w:rPr>
          <w:highlight w:val="yellow"/>
        </w:rPr>
        <w:t>El usuario objetivo de la herramienta desarrollada en este trabajo es el analista de crédito de entidades financieras (bancos, cooperativas de ahorro y crédito, fintechs y compañías de financiamiento) que se desempeña en la etapa de originación, específicamente en el subproceso de evaluación de capacidad de pago. Este analista es el profesional encargado de verificar que el flujo disponible del solicitante, una vez cubiertos sus gastos recurrentes y obligaciones vigentes, sea suficiente para atender la cuota propuesta dentro de los parámetros de tolerancia al riesgo de la entidad.</w:t>
      </w:r>
    </w:p>
    <w:p>
      <w:r>
        <w:rPr>
          <w:highlight w:val="yellow"/>
        </w:rPr>
        <w:t>La etapa del proceso crediticio que el presente estudio apoya es, en concreto, la estimación del gasto personal mensual del solicitante, componente del cálculo de la capacidad de pago. La fórmula operativa típica es:</w:t>
      </w:r>
    </w:p>
    <w:p>
      <w:pPr>
        <w:jc w:val="center"/>
      </w:pPr>
      <w:r>
        <w:rPr>
          <w:i/>
          <w:highlight w:val="yellow"/>
        </w:rPr>
        <w:t>Capacidad de pago = (Ingreso disponible − Gasto estimado − Cuotas vigentes) / Cuota propuesta</w:t>
      </w:r>
    </w:p>
    <w:p>
      <w:r>
        <w:rPr>
          <w:highlight w:val="yellow"/>
        </w:rPr>
        <w:t>Mientras que las entidades disponen de mecanismos sólidos para verificar el ingreso (mediante soportes laborales y reportes tributarios) y las cuotas vigentes (mediante consultas a centrales de riesgo), la variable gasto estimado es la única que no se obtiene de una fuente oficial verificable. La herramienta propuesta en este estudio no sustituye al analista de crédito ni automatiza la decisión final de aprobación o rechazo: provee al analista una estimación trazable y representativa del gasto personal del solicitante, complementada con percentiles de comportamiento que el analista puede ajustar según la política de aversión al riesgo de la entidad.</w:t>
      </w:r>
    </w:p>
    <w:p>
      <w:pPr>
        <w:pStyle w:val="Heading2"/>
      </w:pPr>
      <w:r>
        <w:t>4.1.4 Enfoque propuesto y conexión con el problema identificado</w:t>
      </w:r>
    </w:p>
    <w:p>
      <w:r>
        <w:t>A partir de la evidencia presentada, el reto se concreta en convertir una variable no observable en originación (gasto personal) en un insumo estimado, trazable y comparable. Para ello, el presente estudio propone un enfoque empírico basado en microdatos oficiales de hogares (ENPH 2016-2017), que permite modelar el gasto personal como función de características socioeconómicas observables y derivar un ratio gasto-ingreso, complementándolo con perfiles y percentiles que contextualizan la presión de gasto frente al ingreso.</w:t>
      </w:r>
    </w:p>
    <w:p>
      <w:r>
        <w:t>Por su diseño probabilístico, estratificado y por conglomerados, y por disponer de factores de expansión a nivel de integrante de hogar, la ENPH constituye la fuente más robusta para caracterizar patrones de gasto e ingreso a nivel individual con validez inferencial sobre la población colombiana. Las características formales del diseño muestral y la incorporación del factor de expansión calibrado FEX_C se documentan en detalle en la Sección 5.1.</w:t>
      </w:r>
    </w:p>
    <w:p>
      <w:r>
        <w:rPr>
          <w:highlight w:val="yellow"/>
        </w:rPr>
        <w:t>La estimación del gasto desarrollada en este estudio responde directamente al problema identificado en cuatro aspectos concretos. Primero, utiliza una fuente representativa de la población colombiana (ENPH 2016-2017 del DANE), lo que mitiga el riesgo metodológico asociado a reglas internas no fundamentadas. Segundo, emplea variables que el analista de crédito puede consultar directamente en el formulario de solicitud (edad, sexo, estrato, nivel académico, actividad principal, número de aportantes en el hogar, tipo de vivienda, ingreso reportado), garantizando aplicabilidad operativa. Tercero, entrega no únicamente un valor puntual del gasto estimado, sino un percentil del ratio gasto-ingreso por perfil de comportamiento, permitiendo calibrar la decisión según la política de riesgo de la entidad. Cuarto, se materializa en un artefacto operativo (modelo serializado en formato pickle, junto con tablas auxiliares de percentiles) que puede integrarse a los sistemas de originación de las entidades financieras.</w:t>
      </w:r>
    </w:p>
    <w:p>
      <w:r>
        <w:t>En síntesis, el presente estudio desarrolla un indicador empírico del gasto personal mensual, estimado a partir de variables socioeconómicas verificables en originación, que complementa los procesos de evaluación de capacidad de endeudamiento con un insumo trazable, segmentado y respaldado con microdatos oficiales.</w:t>
      </w:r>
    </w:p>
    <w:p>
      <w:r>
        <w:br w:type="page"/>
      </w:r>
    </w:p>
    <w:p>
      <w:pPr>
        <w:pStyle w:val="Heading1"/>
      </w:pPr>
      <w:r>
        <w:t>Resumen de cambios respecto a la versión inicial</w:t>
      </w:r>
    </w:p>
    <w:p>
      <w:r>
        <w:t>A continuación se resumen los ajustes realizados sobre la versión inicial del Capítulo Problema de negocio para responder a las observaciones del jurado:</w:t>
      </w:r>
    </w:p>
    <w:p>
      <w:pPr>
        <w:pStyle w:val="ListBullet"/>
      </w:pPr>
      <w:r>
        <w:rPr>
          <w:b/>
        </w:rPr>
        <w:t xml:space="preserve">Estructura. </w:t>
      </w:r>
      <w:r>
        <w:t>Se subdividió el capítulo en cuatro sub-secciones (4.1.1 a 4.1.4) que separan claramente el contexto macroeconómico, la formulación del problema, el usuario objetivo y el enfoque propuesto. La versión inicial presentaba el contenido en cinco párrafos consecutivos sin segmentación temática.</w:t>
      </w:r>
    </w:p>
    <w:p>
      <w:pPr>
        <w:pStyle w:val="ListBullet"/>
      </w:pPr>
      <w:r>
        <w:rPr>
          <w:b/>
        </w:rPr>
        <w:t xml:space="preserve">Enunciado del problema. </w:t>
      </w:r>
      <w:r>
        <w:t>Se incorporó al inicio de 4.1.2 un párrafo nuevo (resaltado en amarillo) que enuncia formalmente el problema de negocio en una frase única, siguiendo la convención académica.</w:t>
      </w:r>
    </w:p>
    <w:p>
      <w:pPr>
        <w:pStyle w:val="ListBullet"/>
      </w:pPr>
      <w:r>
        <w:rPr>
          <w:b/>
        </w:rPr>
        <w:t xml:space="preserve">Usuario objetivo. </w:t>
      </w:r>
      <w:r>
        <w:t>Se agregó la nueva sub-sección 4.1.3, donde se identifica explícitamente al analista de crédito como usuario objetivo, con detalle de los tipos de entidad financiera (bancos, cooperativas, fintechs, compañías de financiamiento).</w:t>
      </w:r>
    </w:p>
    <w:p>
      <w:pPr>
        <w:pStyle w:val="ListBullet"/>
      </w:pPr>
      <w:r>
        <w:rPr>
          <w:b/>
        </w:rPr>
        <w:t xml:space="preserve">Etapa del proceso crediticio. </w:t>
      </w:r>
      <w:r>
        <w:t>En 4.1.3 se precisa que el subproceso apoyado es el cálculo de la capacidad de pago, con la fórmula operativa explícita.</w:t>
      </w:r>
    </w:p>
    <w:p>
      <w:pPr>
        <w:pStyle w:val="ListBullet"/>
      </w:pPr>
      <w:r>
        <w:rPr>
          <w:b/>
        </w:rPr>
        <w:t xml:space="preserve">Conexión con el problema. </w:t>
      </w:r>
      <w:r>
        <w:t>Se agregó en 4.1.4 un párrafo nuevo que articula los cuatro aspectos concretos en los que la estimación del gasto responde al problema identificado, evitando ambigüedades.</w:t>
      </w:r>
    </w:p>
    <w:p>
      <w:pPr>
        <w:pStyle w:val="ListBullet"/>
      </w:pPr>
      <w:r>
        <w:rPr>
          <w:b/>
        </w:rPr>
        <w:t xml:space="preserve">Referencia cruzada al diseño muestral. </w:t>
      </w:r>
      <w:r>
        <w:t>Se incluyó una mención explícita a la Sección 5.1, donde se documenta el diseño muestral de la ENPH, dando continuidad a la mención del diseño probabilístico que aparece en la versión inicial.</w:t>
      </w:r>
    </w:p>
    <w:p>
      <w:pPr>
        <w:pStyle w:val="ListBullet"/>
      </w:pPr>
      <w:r>
        <w:rPr>
          <w:b/>
        </w:rPr>
        <w:t xml:space="preserve">Texto conservado. </w:t>
      </w:r>
      <w:r>
        <w:t>Se preservó la totalidad del contenido sustantivo de la versión inicial (figuras 1, 2 y 3, cifras de IPC, ICM, gasto agregado, y la articulación del riesgo metodológico de las reglas fijas), con ajustes menores de estilo y puntuación.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