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Arial" w:cs="Arial" w:eastAsia="Arial" w:hAnsi="Arial"/>
          <w:b/>
          <w:bCs/>
          <w:color w:val="1F3864"/>
          <w:sz w:val="28"/>
          <w:szCs w:val="28"/>
        </w:rPr>
        <w:t xml:space="preserve">8. Evaluación (CRISP-DM Fase 5)</w:t>
      </w:r>
    </w:p>
    <w:p>
      <w:pPr>
        <w:spacing w:after="100" w:before="100"/>
        <w:jc w:val="both"/>
      </w:pPr>
      <w:r>
        <w:rPr>
          <w:rFonts w:ascii="Arial" w:cs="Arial" w:eastAsia="Arial" w:hAnsi="Arial"/>
          <w:sz w:val="22"/>
          <w:szCs w:val="22"/>
        </w:rPr>
        <w:t xml:space="preserve">La fase de evaluación de CRISP-DM tiene como propósito determinar en qué medida los modelos construidos satisfacen los objetivos del negocio definidos en la fase de comprensión, identificar sus limitaciones y establecer si los resultados son suficientemente robustos para avanzar hacia el despliegue. De acuerdo con el feedback del jurado evaluador, la evaluación del modelo de regresión se presenta antes de la segmentación, dado que la validez del modelo base es prerequisito para que los resultados de la segmentación sean interpretables y aplicables.</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8.1 Evaluación del modelo de regresión WLS</w:t>
      </w:r>
    </w:p>
    <w:p>
      <w:pPr>
        <w:pStyle w:val="Heading3"/>
        <w:spacing w:after="100" w:before="200"/>
      </w:pPr>
      <w:r>
        <w:rPr>
          <w:rFonts w:ascii="Arial" w:cs="Arial" w:eastAsia="Arial" w:hAnsi="Arial"/>
          <w:b/>
          <w:bCs/>
          <w:color w:val="2E75B6"/>
          <w:sz w:val="22"/>
          <w:szCs w:val="22"/>
        </w:rPr>
        <w:t xml:space="preserve">8.1.1 Métricas de desempeño predictivo</w:t>
      </w:r>
    </w:p>
    <w:p>
      <w:pPr>
        <w:spacing w:after="100" w:before="100"/>
        <w:jc w:val="both"/>
      </w:pPr>
      <w:r>
        <w:rPr>
          <w:rFonts w:ascii="Arial" w:cs="Arial" w:eastAsia="Arial" w:hAnsi="Arial"/>
          <w:sz w:val="22"/>
          <w:szCs w:val="22"/>
        </w:rPr>
        <w:t xml:space="preserve">El modelo de regresión lineal múltiple con especificación log-log, estimado por Mínimos Cuadrados Ponderados (WLS) con factor de expansión FEX_C_norm, fue evaluado mediante tres procedimientos complementarios: partición entrenamiento-prueba (80/20), validación cruzada de 5 folds con pesos muestrales, y comparación de métricas entre los tres conjuntos. La Tabla 1 presenta los resultados consolidados.</w:t>
      </w:r>
    </w:p>
    <w:p>
      <w:pPr>
        <w:spacing w:after="60" w:before="60"/>
      </w:pPr>
      <w:r>
        <w:t xml:space="preserve"/>
      </w:r>
    </w:p>
    <w:p>
      <w:pPr>
        <w:spacing w:after="80" w:before="120"/>
        <w:jc w:val="center"/>
      </w:pPr>
      <w:r>
        <w:rPr>
          <w:rFonts w:ascii="Arial" w:cs="Arial" w:eastAsia="Arial" w:hAnsi="Arial"/>
          <w:b/>
          <w:bCs/>
          <w:sz w:val="20"/>
          <w:szCs w:val="20"/>
        </w:rPr>
        <w:t xml:space="preserve">Tabla 1. Métricas de desempeño predictivo — Modelo WLS ponderado FEX_C</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200"/>
        <w:gridCol w:w="1700"/>
        <w:gridCol w:w="2200"/>
      </w:tblGrid>
      <w:tr>
        <w:trPr>
          <w:tblHeader/>
        </w:trPr>
        <w:tc>
          <w:tcPr>
            <w:tcW w:type="dxa" w:w="1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Métrica</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Entrenamiento</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Prueba</w:t>
            </w:r>
          </w:p>
        </w:tc>
        <w:tc>
          <w:tcPr>
            <w:tcW w:type="dxa" w:w="1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CV-5fold</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Interpretación</w:t>
            </w:r>
          </w:p>
        </w:tc>
      </w:tr>
      <w:tr>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18"/>
                <w:szCs w:val="18"/>
              </w:rPr>
              <w:t xml:space="preserve">R²</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0,3509</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0,3410</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0,3483 ± 0,0074</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34,1% de varianza explicada</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MAE (log)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0,4758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0,4743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Error absoluto medio en escala log</w:t>
            </w:r>
          </w:p>
        </w:tc>
      </w:tr>
      <w:tr>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18"/>
                <w:szCs w:val="18"/>
              </w:rPr>
              <w:t xml:space="preserve">RMSE (log)</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0,6166</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0,6129</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0,6161 ± 0,0024</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Error cuadrático medio en escala log</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Error típico (escala orig.)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60,7%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Desviación típica sobre el gasto estimado</w:t>
            </w:r>
          </w:p>
        </w:tc>
      </w:tr>
      <w:tr>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18"/>
                <w:szCs w:val="18"/>
              </w:rPr>
              <w:t xml:space="preserve">Overfitting gap</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0,0026</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&lt; 0,05 → sin sobreajuste</w:t>
            </w:r>
          </w:p>
        </w:tc>
      </w:tr>
    </w:tbl>
    <w:p>
      <w:pPr>
        <w:spacing w:after="60" w:before="60"/>
      </w:pPr>
      <w:r>
        <w:t xml:space="preserve"/>
      </w:r>
    </w:p>
    <w:p>
      <w:pPr>
        <w:spacing w:after="80" w:before="80"/>
        <w:jc w:val="both"/>
      </w:pPr>
      <w:r>
        <w:rPr>
          <w:rFonts w:ascii="Arial" w:cs="Arial" w:eastAsia="Arial" w:hAnsi="Arial"/>
          <w:i/>
          <w:iCs/>
          <w:color w:val="595959"/>
          <w:sz w:val="20"/>
          <w:szCs w:val="20"/>
        </w:rPr>
        <w:t xml:space="preserve">Fuente: Elaboración propia. WLS ponderado por FEX_C_norm. Variable objetivo: log_gastos_2025. Partición aleatoria con random_state = 42.</w:t>
      </w:r>
    </w:p>
    <w:p>
      <w:pPr>
        <w:spacing w:after="60" w:before="60"/>
      </w:pPr>
      <w:r>
        <w:t xml:space="preserve"/>
      </w:r>
    </w:p>
    <w:p>
      <w:pPr>
        <w:spacing w:after="100" w:before="100"/>
        <w:jc w:val="both"/>
      </w:pPr>
      <w:r>
        <w:rPr>
          <w:rFonts w:ascii="Arial" w:cs="Arial" w:eastAsia="Arial" w:hAnsi="Arial"/>
          <w:sz w:val="22"/>
          <w:szCs w:val="22"/>
        </w:rPr>
        <w:t xml:space="preserve">El modelo explica el 34,1% de la varianza del logaritmo del gasto personal en el conjunto de prueba independiente. El gap de sobreajuste de 0,0026, muy por debajo del umbral crítico de 0,05, confirma que el modelo generaliza adecuadamente a datos no vistos durante el entrenamiento. La consistencia de las métricas entre los cinco folds de validación cruzada (R² = 0,3483 ± 0,0074, RMSE = 0,6161 ± 0,0024) confirma la estabilidad del modelo frente a diferentes particiones del dataset.</w:t>
      </w:r>
    </w:p>
    <w:p>
      <w:pPr>
        <w:spacing w:after="60" w:before="60"/>
      </w:pPr>
      <w:r>
        <w:t xml:space="preserve"/>
      </w:r>
    </w:p>
    <w:p>
      <w:pPr>
        <w:spacing w:after="100" w:before="100"/>
        <w:jc w:val="both"/>
      </w:pPr>
      <w:r>
        <w:rPr>
          <w:rFonts w:ascii="Arial" w:cs="Arial" w:eastAsia="Arial" w:hAnsi="Arial"/>
          <w:sz w:val="22"/>
          <w:szCs w:val="22"/>
        </w:rPr>
        <w:t xml:space="preserve">El error típico del 60,7% en escala original refleja la alta variabilidad intrínseca del gasto personal que no es completamente explicable por variables socioeconómicas observables en una encuesta de hogares. Mercado et al. (2022) obtuvieron niveles similares de R² con regresión cuantílica sobre la misma fuente de datos, señalando que el comportamiento del gasto presenta heterogeneidad estructural que los modelos basados en promedios no logran capturar completamente. Esta limitación es precisamente la que motiva la incorporación de la segmentación como complemento analítico.</w:t>
      </w:r>
    </w:p>
    <w:p>
      <w:pPr>
        <w:spacing w:after="60" w:before="60"/>
      </w:pPr>
      <w:r>
        <w:t xml:space="preserve"/>
      </w:r>
    </w:p>
    <w:p>
      <w:pPr>
        <w:pStyle w:val="Heading3"/>
        <w:spacing w:after="100" w:before="200"/>
      </w:pPr>
      <w:r>
        <w:rPr>
          <w:rFonts w:ascii="Arial" w:cs="Arial" w:eastAsia="Arial" w:hAnsi="Arial"/>
          <w:b/>
          <w:bCs/>
          <w:color w:val="2E75B6"/>
          <w:sz w:val="22"/>
          <w:szCs w:val="22"/>
        </w:rPr>
        <w:t xml:space="preserve">8.1.2 Interpretación del R² en contexto crediticio</w:t>
      </w:r>
    </w:p>
    <w:p>
      <w:pPr>
        <w:spacing w:after="100" w:before="100"/>
        <w:jc w:val="both"/>
      </w:pPr>
      <w:r>
        <w:rPr>
          <w:rFonts w:ascii="Arial" w:cs="Arial" w:eastAsia="Arial" w:hAnsi="Arial"/>
          <w:sz w:val="22"/>
          <w:szCs w:val="22"/>
        </w:rPr>
        <w:t xml:space="preserve">La interpretación del R² en el contexto de este estudio requiere dos precisiones. Primero, el objetivo del modelo no es predecir el gasto con precisión perfecta, sino estimar el gasto esperado dado el perfil socioeconómico del aportante para calcular el ratio gasto-ingreso como insumo de capacidad de pago. Para este propósito, el R² de 0,341 es suficiente: el modelo captura la estructura sistemática del gasto asociada a variables verificables en originación, mientras que la varianza no explicada corresponde a comportamientos idiosincráticos no observables en el proceso de solicitud de crédito.</w:t>
      </w:r>
    </w:p>
    <w:p>
      <w:pPr>
        <w:spacing w:after="60" w:before="60"/>
      </w:pPr>
      <w:r>
        <w:t xml:space="preserve"/>
      </w:r>
    </w:p>
    <w:p>
      <w:pPr>
        <w:spacing w:after="100" w:before="100"/>
        <w:jc w:val="both"/>
      </w:pPr>
      <w:r>
        <w:rPr>
          <w:rFonts w:ascii="Arial" w:cs="Arial" w:eastAsia="Arial" w:hAnsi="Arial"/>
          <w:sz w:val="22"/>
          <w:szCs w:val="22"/>
        </w:rPr>
        <w:t xml:space="preserve">Segundo, la comparación entre el ratio estimado por el modelo y el ratio observado en la encuesta muestra diferencias medianas inferiores a 0,01 en todos los segmentos identificados. Esta convergencia entre estimación y observación confirma que el modelo WLS produce estimaciones del ratio gasto-ingreso que son representativas del comportamiento poblacional, lo que es el criterio de validez relevante para el uso crediticio propuesto.</w:t>
      </w:r>
    </w:p>
    <w:p>
      <w:pPr>
        <w:spacing w:after="60" w:before="60"/>
      </w:pPr>
      <w:r>
        <w:t xml:space="preserve"/>
      </w:r>
    </w:p>
    <w:p>
      <w:pPr>
        <w:pStyle w:val="Heading3"/>
        <w:spacing w:after="100" w:before="200"/>
      </w:pPr>
      <w:r>
        <w:rPr>
          <w:rFonts w:ascii="Arial" w:cs="Arial" w:eastAsia="Arial" w:hAnsi="Arial"/>
          <w:b/>
          <w:bCs/>
          <w:color w:val="2E75B6"/>
          <w:sz w:val="22"/>
          <w:szCs w:val="22"/>
        </w:rPr>
        <w:t xml:space="preserve">8.1.3 Análisis de los coeficientes principales</w:t>
      </w:r>
    </w:p>
    <w:p>
      <w:pPr>
        <w:spacing w:after="100" w:before="100"/>
        <w:jc w:val="both"/>
      </w:pPr>
      <w:r>
        <w:rPr>
          <w:rFonts w:ascii="Arial" w:cs="Arial" w:eastAsia="Arial" w:hAnsi="Arial"/>
          <w:sz w:val="22"/>
          <w:szCs w:val="22"/>
        </w:rPr>
        <w:t xml:space="preserve">Los coeficientes de mayor magnitud absoluta corresponden al término de interacción ingreso-estrato y a los indicadores de estrato alto. El coeficiente del término log_inc_x_estrato (β = 0,31) indica que la elasticidad ingreso-gasto aumenta con el estrato socioeconómico, confirmando que los aportantes de estratos altos amplifican más su gasto ante incrementos de ingreso que los de estratos bajos. Entre las variables categóricas, el estado civil soltero muestra el mayor efecto negativo (β = -0,29, impacto = -25%), indicando que los solteros destinan significativamente menos al gasto personal que los casados controlando por ingreso y demás variables del modelo.</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8.2 Evaluación de la segmentación K-Means</w:t>
      </w:r>
    </w:p>
    <w:p>
      <w:pPr>
        <w:pStyle w:val="Heading3"/>
        <w:spacing w:after="100" w:before="200"/>
      </w:pPr>
      <w:r>
        <w:rPr>
          <w:rFonts w:ascii="Arial" w:cs="Arial" w:eastAsia="Arial" w:hAnsi="Arial"/>
          <w:b/>
          <w:bCs/>
          <w:color w:val="2E75B6"/>
          <w:sz w:val="22"/>
          <w:szCs w:val="22"/>
        </w:rPr>
        <w:t xml:space="preserve">8.2.1 Justificación de la segmentación como complemento al modelo</w:t>
      </w:r>
    </w:p>
    <w:p>
      <w:pPr>
        <w:spacing w:after="100" w:before="100"/>
        <w:jc w:val="both"/>
      </w:pPr>
      <w:r>
        <w:rPr>
          <w:rFonts w:ascii="Arial" w:cs="Arial" w:eastAsia="Arial" w:hAnsi="Arial"/>
          <w:sz w:val="22"/>
          <w:szCs w:val="22"/>
        </w:rPr>
        <w:t xml:space="preserve">El modelo de regresión estima el gasto esperado promedio dado el perfil socioeconómico del solicitante, pero no captura la heterogeneidad estructural del comportamiento de gasto entre grupos de individuos con perfiles similares. La segmentación complementa el modelo al identificar grupos con patrones de consumo homogéneos al interior y diferenciados entre grupos, permitiendo que el ratio gasto-ingreso sea interpretado en relación con el comportamiento habitual del grupo poblacional comparable del solicitante. En el contexto crediticio, un ratio de 0,30 tiene implicaciones distintas si corresponde al P75 del segmento 1 (dentro de lo esperado para ese perfil) que si corresponde al P90 del segmento 3 (muy por encima del comportamiento habitual de su grupo).</w:t>
      </w:r>
    </w:p>
    <w:p>
      <w:pPr>
        <w:spacing w:after="60" w:before="60"/>
      </w:pPr>
      <w:r>
        <w:t xml:space="preserve"/>
      </w:r>
    </w:p>
    <w:p>
      <w:pPr>
        <w:pStyle w:val="Heading3"/>
        <w:spacing w:after="100" w:before="200"/>
      </w:pPr>
      <w:r>
        <w:rPr>
          <w:rFonts w:ascii="Arial" w:cs="Arial" w:eastAsia="Arial" w:hAnsi="Arial"/>
          <w:b/>
          <w:bCs/>
          <w:color w:val="2E75B6"/>
          <w:sz w:val="22"/>
          <w:szCs w:val="22"/>
        </w:rPr>
        <w:t xml:space="preserve">8.2.2 Especificación técnica del algoritmo</w:t>
      </w:r>
    </w:p>
    <w:p>
      <w:pPr>
        <w:spacing w:after="100" w:before="100"/>
        <w:jc w:val="both"/>
      </w:pPr>
      <w:r>
        <w:rPr>
          <w:rFonts w:ascii="Arial" w:cs="Arial" w:eastAsia="Arial" w:hAnsi="Arial"/>
          <w:sz w:val="22"/>
          <w:szCs w:val="22"/>
        </w:rPr>
        <w:t xml:space="preserve">El algoritmo utilizado es K-Means ponderado por FEX_C_norm, implementado con el parámetro sample_weight de scikit-learn. Las variables numéricas se preprocesaron mediante StandardScaler y las categóricas mediante OneHotEncoder, garantizando que ninguna variable domine el espacio de características por diferencias de escala. Las variables incluidas — ingreso logarítmico, gasto estimado por WLS, ratio estimado, estrato, nivel educativo, actividad principal, tipo de tenencia, grupo de edad y aportantes del hogar — están todas disponibles en el momento de la solicitud de crédito, garantizando la aplicabilidad del modelo en producción.</w:t>
      </w:r>
    </w:p>
    <w:p>
      <w:pPr>
        <w:spacing w:after="60" w:before="60"/>
      </w:pPr>
      <w:r>
        <w:t xml:space="preserve"/>
      </w:r>
    </w:p>
    <w:p>
      <w:pPr>
        <w:pStyle w:val="Heading3"/>
        <w:spacing w:after="100" w:before="200"/>
      </w:pPr>
      <w:r>
        <w:rPr>
          <w:rFonts w:ascii="Arial" w:cs="Arial" w:eastAsia="Arial" w:hAnsi="Arial"/>
          <w:b/>
          <w:bCs/>
          <w:color w:val="2E75B6"/>
          <w:sz w:val="22"/>
          <w:szCs w:val="22"/>
        </w:rPr>
        <w:t xml:space="preserve">8.2.3 Criterios técnicos de selección del número de clústeres</w:t>
      </w:r>
    </w:p>
    <w:p>
      <w:pPr>
        <w:spacing w:after="100" w:before="100"/>
        <w:jc w:val="both"/>
      </w:pPr>
      <w:r>
        <w:rPr>
          <w:rFonts w:ascii="Arial" w:cs="Arial" w:eastAsia="Arial" w:hAnsi="Arial"/>
          <w:sz w:val="22"/>
          <w:szCs w:val="22"/>
        </w:rPr>
        <w:t xml:space="preserve">El número óptimo de clústeres se determinó mediante dos criterios técnicos complementarios: el método del codo sobre la inercia ponderada y el índice de Silhouette. La Tabla 2 presenta los resultados del método del codo y la Tabla 3 los del índice de Silhouette para k entre 2 y 6.</w:t>
      </w:r>
    </w:p>
    <w:p>
      <w:pPr>
        <w:spacing w:after="60" w:before="60"/>
      </w:pPr>
      <w:r>
        <w:t xml:space="preserve"/>
      </w:r>
    </w:p>
    <w:p>
      <w:pPr>
        <w:spacing w:after="80" w:before="120"/>
        <w:jc w:val="center"/>
      </w:pPr>
      <w:r>
        <w:rPr>
          <w:rFonts w:ascii="Arial" w:cs="Arial" w:eastAsia="Arial" w:hAnsi="Arial"/>
          <w:b/>
          <w:bCs/>
          <w:sz w:val="20"/>
          <w:szCs w:val="20"/>
        </w:rPr>
        <w:t xml:space="preserve">Tabla 2. Método del codo — Inercia ponderada y reducciones marginales</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1800"/>
      </w:tblGrid>
      <w:tr>
        <w:trPr>
          <w:tblHeader/>
        </w:trP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Inercia ponderada</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Reducción marginal</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Reducción %</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18"/>
                <w:szCs w:val="18"/>
              </w:rPr>
              <w:t xml:space="preserve">2</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341.593</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295.389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46.204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13,5%</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18"/>
                <w:szCs w:val="18"/>
              </w:rPr>
              <w:t xml:space="preserve">4 ✓</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276.969</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18.420</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6,2%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262.911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14.058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5,1%</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18"/>
                <w:szCs w:val="18"/>
              </w:rPr>
              <w:t xml:space="preserve">6</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252.360</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10.551</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4,0%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242.812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9.548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3,8%</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18"/>
                <w:szCs w:val="18"/>
              </w:rPr>
              <w:t xml:space="preserve">8</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236.537</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6.275</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2,6%</w:t>
            </w:r>
          </w:p>
        </w:tc>
      </w:tr>
    </w:tbl>
    <w:p>
      <w:pPr>
        <w:spacing w:after="60" w:before="60"/>
      </w:pPr>
      <w:r>
        <w:t xml:space="preserve"/>
      </w:r>
    </w:p>
    <w:p>
      <w:pPr>
        <w:spacing w:after="80" w:before="80"/>
        <w:jc w:val="both"/>
      </w:pPr>
      <w:r>
        <w:rPr>
          <w:rFonts w:ascii="Arial" w:cs="Arial" w:eastAsia="Arial" w:hAnsi="Arial"/>
          <w:i/>
          <w:iCs/>
          <w:color w:val="595959"/>
          <w:sz w:val="20"/>
          <w:szCs w:val="20"/>
        </w:rPr>
        <w:t xml:space="preserve">Fuente: Elaboración propia. K-Means ponderado por FEX_C_norm.</w:t>
      </w:r>
    </w:p>
    <w:p>
      <w:pPr>
        <w:spacing w:after="60" w:before="60"/>
      </w:pPr>
      <w:r>
        <w:t xml:space="preserve"/>
      </w:r>
    </w:p>
    <w:p>
      <w:pPr>
        <w:spacing w:after="80" w:before="120"/>
        <w:jc w:val="center"/>
      </w:pPr>
      <w:r>
        <w:rPr>
          <w:rFonts w:ascii="Arial" w:cs="Arial" w:eastAsia="Arial" w:hAnsi="Arial"/>
          <w:b/>
          <w:bCs/>
          <w:sz w:val="20"/>
          <w:szCs w:val="20"/>
        </w:rPr>
        <w:t xml:space="preserve">Tabla 3. Índice de Silhouette por k y por clúster (k = 4)</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00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Silhouette global</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Observación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18"/>
                <w:szCs w:val="18"/>
              </w:rPr>
              <w:t xml:space="preserve">2</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0,2196</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Mayor separación geométrica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0,1579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Reducción moderada</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18"/>
                <w:szCs w:val="18"/>
              </w:rPr>
              <w:t xml:space="preserve">4 (seleccionado)</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0,1356</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Seleccionado por codo e interpretabilidad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0,1186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Continúa decreciendo</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18"/>
                <w:szCs w:val="18"/>
              </w:rPr>
              <w:t xml:space="preserve">6</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0,1152</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Sin mejora relevante</w:t>
            </w:r>
          </w:p>
        </w:tc>
      </w:tr>
    </w:tbl>
    <w:p>
      <w:pPr>
        <w:spacing w:after="60" w:before="60"/>
      </w:pPr>
      <w:r>
        <w:t xml:space="preserve"/>
      </w:r>
    </w:p>
    <w:p>
      <w:pPr>
        <w:spacing w:after="80" w:before="80"/>
        <w:jc w:val="both"/>
      </w:pPr>
      <w:r>
        <w:rPr>
          <w:rFonts w:ascii="Arial" w:cs="Arial" w:eastAsia="Arial" w:hAnsi="Arial"/>
          <w:i/>
          <w:iCs/>
          <w:color w:val="595959"/>
          <w:sz w:val="20"/>
          <w:szCs w:val="20"/>
        </w:rPr>
        <w:t xml:space="preserve">Fuente: Elaboración propia. Calculado sobre muestra aleatoria n = 10.000. Silhouette global k = 4: 0,141.</w:t>
      </w:r>
    </w:p>
    <w:p>
      <w:pPr>
        <w:spacing w:after="60" w:before="60"/>
      </w:pPr>
      <w:r>
        <w:t xml:space="preserve"/>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50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Clúster</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 (muestra)</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Silhouette promedio</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18"/>
                <w:szCs w:val="18"/>
              </w:rPr>
              <w:t xml:space="preserve">0 — Gasto bajo</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3.504</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0,180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1 — Gasto medio-alto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3.592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0,141</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18"/>
                <w:szCs w:val="18"/>
              </w:rPr>
              <w:t xml:space="preserve">2 — Gasto alto</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2.276</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0,083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3 — Gasto muy alto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628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0,136</w:t>
            </w:r>
          </w:p>
        </w:tc>
      </w:tr>
    </w:tbl>
    <w:p>
      <w:pPr>
        <w:spacing w:after="60" w:before="60"/>
      </w:pPr>
      <w:r>
        <w:t xml:space="preserve"/>
      </w:r>
    </w:p>
    <w:p>
      <w:pPr>
        <w:spacing w:after="80" w:before="80"/>
        <w:jc w:val="both"/>
      </w:pPr>
      <w:r>
        <w:rPr>
          <w:rFonts w:ascii="Arial" w:cs="Arial" w:eastAsia="Arial" w:hAnsi="Arial"/>
          <w:i/>
          <w:iCs/>
          <w:color w:val="595959"/>
          <w:sz w:val="20"/>
          <w:szCs w:val="20"/>
        </w:rPr>
        <w:t xml:space="preserve">Fuente: Elaboración propia. Silhouette global = 0,141.</w:t>
      </w:r>
    </w:p>
    <w:p>
      <w:pPr>
        <w:spacing w:after="60" w:before="60"/>
      </w:pPr>
      <w:r>
        <w:t xml:space="preserve"/>
      </w:r>
    </w:p>
    <w:p>
      <w:pPr>
        <w:spacing w:after="100" w:before="100"/>
        <w:jc w:val="both"/>
      </w:pPr>
      <w:r>
        <w:rPr>
          <w:rFonts w:ascii="Arial" w:cs="Arial" w:eastAsia="Arial" w:hAnsi="Arial"/>
          <w:sz w:val="22"/>
          <w:szCs w:val="22"/>
        </w:rPr>
        <w:t xml:space="preserve">El índice de Silhouette global para k = 4 es 0,141, ubicándose por debajo del umbral de 0,25 que convencionalmente señala una estructura débil en el espacio geométrico de características. El Silhouette es mayor para k = 2 (0,220), lo que indica que la separación geométrica pura es más nítida con dos grupos. Sin embargo, la selección de k = 4 se mantiene por tres razones técnicas y conceptuales.</w:t>
      </w:r>
    </w:p>
    <w:p>
      <w:pPr>
        <w:spacing w:after="60" w:before="60"/>
      </w:pPr>
      <w:r>
        <w:t xml:space="preserve"/>
      </w:r>
    </w:p>
    <w:p>
      <w:pPr>
        <w:spacing w:after="100" w:before="100"/>
        <w:jc w:val="both"/>
      </w:pPr>
      <w:r>
        <w:rPr>
          <w:rFonts w:ascii="Arial" w:cs="Arial" w:eastAsia="Arial" w:hAnsi="Arial"/>
          <w:sz w:val="22"/>
          <w:szCs w:val="22"/>
        </w:rPr>
        <w:t xml:space="preserve">Primera, el Silhouette bajo en este contexto responde a una limitación metodológica conocida: cuando el espacio de características incluye muchas variables categóricas codificadas como dummies (one-hot encoding), la distancia euclidiana se diluye en el espacio de alta dimensionalidad, produciendo valores de Silhouette sistemáticamente bajos incluso para segmentaciones con diferenciación económica real. Este fenómeno, denominado maldición de la dimensionalidad en clustering, afecta a todos los valores de k evaluados y no es específico de k = 4.</w:t>
      </w:r>
    </w:p>
    <w:p>
      <w:pPr>
        <w:spacing w:after="60" w:before="60"/>
      </w:pPr>
      <w:r>
        <w:t xml:space="preserve"/>
      </w:r>
    </w:p>
    <w:p>
      <w:pPr>
        <w:spacing w:after="100" w:before="100"/>
        <w:jc w:val="both"/>
      </w:pPr>
      <w:r>
        <w:rPr>
          <w:rFonts w:ascii="Arial" w:cs="Arial" w:eastAsia="Arial" w:hAnsi="Arial"/>
          <w:sz w:val="22"/>
          <w:szCs w:val="22"/>
        </w:rPr>
        <w:t xml:space="preserve">Segunda, la validación externa del clustering — la comparación entre el ratio gasto-ingreso estimado y el observado por segmento — muestra diferencias medianas inferiores a 0,01 en todos los grupos. Esta métrica es directamente relevante para el propósito del estudio y confirma que los segmentos capturan heterogeneidad real del comportamiento de gasto, independientemente de su separación geométrica en el espacio de características preprocesado.</w:t>
      </w:r>
    </w:p>
    <w:p>
      <w:pPr>
        <w:spacing w:after="60" w:before="60"/>
      </w:pPr>
      <w:r>
        <w:t xml:space="preserve"/>
      </w:r>
    </w:p>
    <w:p>
      <w:pPr>
        <w:spacing w:after="100" w:before="100"/>
        <w:jc w:val="both"/>
      </w:pPr>
      <w:r>
        <w:rPr>
          <w:rFonts w:ascii="Arial" w:cs="Arial" w:eastAsia="Arial" w:hAnsi="Arial"/>
          <w:sz w:val="22"/>
          <w:szCs w:val="22"/>
        </w:rPr>
        <w:t xml:space="preserve">Tercera, k = 4 produce una granularidad interpretable y consistente con el referente institucional del Sisbén IV (DNP, 2024), que también identifica cuatro grupos principales en la clasificación socioeconómica de la población colombiana. La reducción de k = 4 a k = 2 colapsaría perfiles económicamente distintos — como los segmentos 0 (gasto bajo, ingreso bajo) y 1 (gasto medio-alto, ingreso bajo) — en un único grupo, perdiendo información operativamente relevante para la evaluación crediticia.</w:t>
      </w:r>
    </w:p>
    <w:p>
      <w:pPr>
        <w:spacing w:after="60" w:before="60"/>
      </w:pPr>
      <w:r>
        <w:t xml:space="preserve"/>
      </w:r>
    </w:p>
    <w:p>
      <w:pPr>
        <w:pStyle w:val="Heading3"/>
        <w:spacing w:after="100" w:before="200"/>
      </w:pPr>
      <w:r>
        <w:rPr>
          <w:rFonts w:ascii="Arial" w:cs="Arial" w:eastAsia="Arial" w:hAnsi="Arial"/>
          <w:b/>
          <w:bCs/>
          <w:color w:val="2E75B6"/>
          <w:sz w:val="22"/>
          <w:szCs w:val="22"/>
        </w:rPr>
        <w:t xml:space="preserve">8.2.4 Métricas de cohesión y separación</w:t>
      </w:r>
    </w:p>
    <w:p>
      <w:pPr>
        <w:spacing w:after="100" w:before="100"/>
        <w:jc w:val="both"/>
      </w:pPr>
      <w:r>
        <w:rPr>
          <w:rFonts w:ascii="Arial" w:cs="Arial" w:eastAsia="Arial" w:hAnsi="Arial"/>
          <w:sz w:val="22"/>
          <w:szCs w:val="22"/>
        </w:rPr>
        <w:t xml:space="preserve">La evaluación complementaria de la calidad de la segmentación se realizó mediante la diferenciación de los centroides en las variables clave y la validación externa del ratio estimado. La Tabla 4 consolida estos indicadores.</w:t>
      </w:r>
    </w:p>
    <w:p>
      <w:pPr>
        <w:spacing w:after="60" w:before="60"/>
      </w:pPr>
      <w:r>
        <w:t xml:space="preserve"/>
      </w:r>
    </w:p>
    <w:p>
      <w:pPr>
        <w:spacing w:after="80" w:before="120"/>
        <w:jc w:val="center"/>
      </w:pPr>
      <w:r>
        <w:rPr>
          <w:rFonts w:ascii="Arial" w:cs="Arial" w:eastAsia="Arial" w:hAnsi="Arial"/>
          <w:b/>
          <w:bCs/>
          <w:sz w:val="20"/>
          <w:szCs w:val="20"/>
        </w:rPr>
        <w:t xml:space="preserve">Tabla 4. Métricas de cohesión y separación — K-Means ponderado, k = 4</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000"/>
        <w:gridCol w:w="1000"/>
        <w:gridCol w:w="900"/>
        <w:gridCol w:w="1000"/>
        <w:gridCol w:w="800"/>
      </w:tblGrid>
      <w:tr>
        <w:trPr>
          <w:tblHeader/>
        </w:trPr>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Segmento</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Gasto est. mediano</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Ingreso mediano</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Ratio est. P50</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Ratio obs. P50</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Diferencia</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 muestra</w:t>
            </w:r>
          </w:p>
        </w:tc>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Part. %</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18"/>
                <w:szCs w:val="18"/>
              </w:rPr>
              <w:t xml:space="preserve">0 — Gasto bajo</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$289.742</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$1.421.501</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0,19</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0,19</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0,01</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21.115</w:t>
            </w:r>
          </w:p>
        </w:tc>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34,5%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1 — Gasto medio-alto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$505.568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$1.460.812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0,32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0,33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21.290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34,7%</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18"/>
                <w:szCs w:val="18"/>
              </w:rPr>
              <w:t xml:space="preserve">2 — Gasto alto</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$581.811</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$3.296.481</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0,18</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0,17</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0,00</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13.349</w:t>
            </w:r>
          </w:p>
        </w:tc>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22,2%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3 — Gasto muy alto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$1.034.025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$7.928.710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0,13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0,12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4.022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8,7%</w:t>
            </w:r>
          </w:p>
        </w:tc>
      </w:tr>
    </w:tbl>
    <w:p>
      <w:pPr>
        <w:spacing w:after="60" w:before="60"/>
      </w:pPr>
      <w:r>
        <w:t xml:space="preserve"/>
      </w:r>
    </w:p>
    <w:p>
      <w:pPr>
        <w:spacing w:after="80" w:before="80"/>
        <w:jc w:val="both"/>
      </w:pPr>
      <w:r>
        <w:rPr>
          <w:rFonts w:ascii="Arial" w:cs="Arial" w:eastAsia="Arial" w:hAnsi="Arial"/>
          <w:i/>
          <w:iCs/>
          <w:color w:val="595959"/>
          <w:sz w:val="20"/>
          <w:szCs w:val="20"/>
        </w:rPr>
        <w:t xml:space="preserve">Fuente: Elaboración propia. K-Means ponderado por FEX_C_norm, k = 4. Valores en pesos colombianos de diciembre de 2025.</w:t>
      </w:r>
    </w:p>
    <w:p>
      <w:pPr>
        <w:spacing w:after="60" w:before="60"/>
      </w:pPr>
      <w:r>
        <w:t xml:space="preserve"/>
      </w:r>
    </w:p>
    <w:p>
      <w:pPr>
        <w:spacing w:after="100" w:before="100"/>
        <w:jc w:val="both"/>
      </w:pPr>
      <w:r>
        <w:rPr>
          <w:rFonts w:ascii="Arial" w:cs="Arial" w:eastAsia="Arial" w:hAnsi="Arial"/>
          <w:sz w:val="22"/>
          <w:szCs w:val="22"/>
        </w:rPr>
        <w:t xml:space="preserve">Los cuatro segmentos presentan diferenciación clara en las variables clave. El gasto estimado mediano varía entre $289.742 y $1.034.025, una razón de 3,6x. El ingreso mediano muestra una separación de 5,6x entre el segmento de menor y mayor ingreso. La diferencia entre el ratio estimado y el observado es inferior a 0,01 en todos los segmentos, confirmando que el gasto estimado por WLS es suficientemente preciso para construir la tabla de ratios aplicable en producción.</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8.3 Limitaciones del estudio</w:t>
      </w:r>
    </w:p>
    <w:p>
      <w:pPr>
        <w:pStyle w:val="Heading3"/>
        <w:spacing w:after="100" w:before="200"/>
      </w:pPr>
      <w:r>
        <w:rPr>
          <w:rFonts w:ascii="Arial" w:cs="Arial" w:eastAsia="Arial" w:hAnsi="Arial"/>
          <w:b/>
          <w:bCs/>
          <w:color w:val="2E75B6"/>
          <w:sz w:val="22"/>
          <w:szCs w:val="22"/>
        </w:rPr>
        <w:t xml:space="preserve">8.3.1 Uso de datos de encuesta de hogares</w:t>
      </w:r>
    </w:p>
    <w:p>
      <w:pPr>
        <w:spacing w:after="100" w:before="100"/>
        <w:jc w:val="both"/>
      </w:pPr>
      <w:r>
        <w:rPr>
          <w:rFonts w:ascii="Arial" w:cs="Arial" w:eastAsia="Arial" w:hAnsi="Arial"/>
          <w:sz w:val="22"/>
          <w:szCs w:val="22"/>
        </w:rPr>
        <w:t xml:space="preserve">Los resultados se basan en microdatos de la ENPH 2016-2017, una encuesta estadística de hogares y no un registro de solicitantes reales de crédito. El modelo estima el gasto esperado en el universo poblacional de la encuesta, no necesariamente el gasto de un solicitante de crédito con ese perfil. Para uso directo en evaluación crediticia, sería deseable validar el modelo sobre una muestra de solicitantes reales con datos de gasto verificado. Adicionalmente, los datos corresponden al periodo julio 2016 – julio 2017, indexados a precios de diciembre de 2025 mediante el IPC. La indexación preserva el valor real de las variables monetarias pero no actualiza los patrones de comportamiento del gasto, que pueden haber cambiado ante fenómenos como la pandemia de COVID-19 y la inflación de 2022-2023.</w:t>
      </w:r>
    </w:p>
    <w:p>
      <w:pPr>
        <w:spacing w:after="60" w:before="60"/>
      </w:pPr>
      <w:r>
        <w:t xml:space="preserve"/>
      </w:r>
    </w:p>
    <w:p>
      <w:pPr>
        <w:pStyle w:val="Heading3"/>
        <w:spacing w:after="100" w:before="200"/>
      </w:pPr>
      <w:r>
        <w:rPr>
          <w:rFonts w:ascii="Arial" w:cs="Arial" w:eastAsia="Arial" w:hAnsi="Arial"/>
          <w:b/>
          <w:bCs/>
          <w:color w:val="2E75B6"/>
          <w:sz w:val="22"/>
          <w:szCs w:val="22"/>
        </w:rPr>
        <w:t xml:space="preserve">8.3.2 Sesgo por variables omitidas</w:t>
      </w:r>
    </w:p>
    <w:p>
      <w:pPr>
        <w:spacing w:after="100" w:before="100"/>
        <w:jc w:val="both"/>
      </w:pPr>
      <w:r>
        <w:rPr>
          <w:rFonts w:ascii="Arial" w:cs="Arial" w:eastAsia="Arial" w:hAnsi="Arial"/>
          <w:sz w:val="22"/>
          <w:szCs w:val="22"/>
        </w:rPr>
        <w:t xml:space="preserve">El gasto personal está determinado también por factores no observables en la encuesta que introducen sesgo de variable omitida: el nivel de endeudamiento actual, el patrimonio neto, las transferencias recibidas del exterior, los gastos extraordinarios no recurrentes y las preferencias individuales de consumo no correlacionadas con las variables socioeconómicas incluidas. La consecuencia es que el R² de 0,341 no aumentará sustancialmente al agregar más variables del mismo tipo, porque la varianza no explicada corresponde principalmente a factores idiosincráticos no observables. Este es el argumento central para complementar el modelo con la segmentación.</w:t>
      </w:r>
    </w:p>
    <w:p>
      <w:pPr>
        <w:spacing w:after="60" w:before="60"/>
      </w:pPr>
      <w:r>
        <w:t xml:space="preserve"/>
      </w:r>
    </w:p>
    <w:p>
      <w:pPr>
        <w:pStyle w:val="Heading3"/>
        <w:spacing w:after="100" w:before="200"/>
      </w:pPr>
      <w:r>
        <w:rPr>
          <w:rFonts w:ascii="Arial" w:cs="Arial" w:eastAsia="Arial" w:hAnsi="Arial"/>
          <w:b/>
          <w:bCs/>
          <w:color w:val="2E75B6"/>
          <w:sz w:val="22"/>
          <w:szCs w:val="22"/>
        </w:rPr>
        <w:t xml:space="preserve">8.3.3 Dependencia del ingreso reportado</w:t>
      </w:r>
    </w:p>
    <w:p>
      <w:pPr>
        <w:spacing w:after="100" w:before="100"/>
        <w:jc w:val="both"/>
      </w:pPr>
      <w:r>
        <w:rPr>
          <w:rFonts w:ascii="Arial" w:cs="Arial" w:eastAsia="Arial" w:hAnsi="Arial"/>
          <w:sz w:val="22"/>
          <w:szCs w:val="22"/>
        </w:rPr>
        <w:t xml:space="preserve">La variable de mayor poder predictivo del modelo es el ingreso mensual declarado. En el contexto de la encuesta, el ingreso es reportado por el entrevistado y no verificado contra registros administrativos o tributarios. Los estudios sobre encuestas de hogares documentan sistemáticamente la subdeclaración de ingresos, especialmente en los tramos altos y en trabajadores independientes (Atkinson et al., 2011). Para el uso en evaluación crediticia, esta limitación es compartida con los sistemas de scoring vigentes, que también dependen del ingreso declarado por el solicitante. La diferencia es que el presente modelo agrega información sobre el comportamiento de consumo esperado para ese nivel de ingreso y perfil, lo que constituye un insumo adicional y no un sustituto de la verificación del ingreso.</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8.4 Evaluación frente a los objetivos del estudio</w:t>
      </w:r>
    </w:p>
    <w:p>
      <w:pPr>
        <w:spacing w:after="100" w:before="100"/>
        <w:jc w:val="both"/>
      </w:pPr>
      <w:r>
        <w:rPr>
          <w:rFonts w:ascii="Arial" w:cs="Arial" w:eastAsia="Arial" w:hAnsi="Arial"/>
          <w:sz w:val="22"/>
          <w:szCs w:val="22"/>
        </w:rPr>
        <w:t xml:space="preserve">La Tabla 5 presenta la evaluación del grado de cumplimiento de cada objetivo específico del estudio con base en los resultados obtenidos.</w:t>
      </w:r>
    </w:p>
    <w:p>
      <w:pPr>
        <w:spacing w:after="60" w:before="60"/>
      </w:pPr>
      <w:r>
        <w:t xml:space="preserve"/>
      </w:r>
    </w:p>
    <w:p>
      <w:pPr>
        <w:spacing w:after="80" w:before="120"/>
        <w:jc w:val="center"/>
      </w:pPr>
      <w:r>
        <w:rPr>
          <w:rFonts w:ascii="Arial" w:cs="Arial" w:eastAsia="Arial" w:hAnsi="Arial"/>
          <w:b/>
          <w:bCs/>
          <w:sz w:val="20"/>
          <w:szCs w:val="20"/>
        </w:rPr>
        <w:t xml:space="preserve">Tabla 5. Evaluación de cumplimiento de objetivos específicos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120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Objetivo específico</w:t>
            </w:r>
          </w:p>
        </w:tc>
        <w:tc>
          <w:tcPr>
            <w:tcW w:type="dxa" w:w="4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Evidencia de cumplimiento</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Grado</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18"/>
                <w:szCs w:val="18"/>
              </w:rPr>
              <w:t xml:space="preserve">Aplicar técnicas de minería de datos para depurar, validar y analizar variables socioeconómicas de la ENPH</w:t>
            </w:r>
          </w:p>
        </w:tc>
        <w:tc>
          <w:tcPr>
            <w:tcW w:type="dxa" w:w="4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Auditoría de cobertura ponderada por FEX_C, análisis descriptivo en dos planos (muestra vs. población expandida), pruebas Kruskal-Wallis y correlaciones para selección de variables con criterios estadísticos explícitos</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Cumplido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Estimar y validar un modelo estadístico para predecir el gasto personal y calcular el ratio gasto-ingreso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Modelo WLS R² = 0,341 en prueba, gap de sobreajuste = 0,0026, validación cruzada 5-fold estable, cinco supuestos verificados, diferencia ratio estimado vs. observado &lt; 0,01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Cumplido</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18"/>
                <w:szCs w:val="18"/>
              </w:rPr>
              <w:t xml:space="preserve">Identificar segmentos con características socioeconómicas mediante métodos de análisis estadístico y/o modelos predictivos</w:t>
            </w:r>
          </w:p>
        </w:tc>
        <w:tc>
          <w:tcPr>
            <w:tcW w:type="dxa" w:w="4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K-Means ponderado con k = 4 respaldado por método del codo e índice de Silhouette, cuatro segmentos con diferenciación clara (ratio varía de 0,13 a 0,32), tabla de percentiles como artefacto de producción exportado</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18"/>
                <w:szCs w:val="18"/>
              </w:rPr>
              <w:t xml:space="preserve">Cumplido</w:t>
            </w:r>
          </w:p>
        </w:tc>
      </w:tr>
    </w:tbl>
    <w:p>
      <w:pPr>
        <w:spacing w:after="60" w:before="60"/>
      </w:pPr>
      <w:r>
        <w:t xml:space="preserve"/>
      </w:r>
    </w:p>
    <w:p>
      <w:pPr>
        <w:spacing w:after="80" w:before="80"/>
        <w:jc w:val="both"/>
      </w:pPr>
      <w:r>
        <w:rPr>
          <w:rFonts w:ascii="Arial" w:cs="Arial" w:eastAsia="Arial" w:hAnsi="Arial"/>
          <w:i/>
          <w:iCs/>
          <w:color w:val="595959"/>
          <w:sz w:val="20"/>
          <w:szCs w:val="20"/>
        </w:rPr>
        <w:t xml:space="preserve">Fuente: Elaboración propia.</w:t>
      </w:r>
    </w:p>
    <w:p>
      <w:pPr>
        <w:spacing w:after="60" w:before="60"/>
      </w:pPr>
      <w:r>
        <w:t xml:space="preserve"/>
      </w:r>
    </w:p>
    <w:p>
      <w:pPr>
        <w:spacing w:after="100" w:before="100"/>
        <w:jc w:val="both"/>
      </w:pPr>
      <w:r>
        <w:rPr>
          <w:rFonts w:ascii="Arial" w:cs="Arial" w:eastAsia="Arial" w:hAnsi="Arial"/>
          <w:sz w:val="22"/>
          <w:szCs w:val="22"/>
        </w:rPr>
        <w:t xml:space="preserve">El objetivo general del estudio se cumple mediante la combinación del modelo WLS y la tabla de ratios por segmento, exportada como artefacto de producción. Este artefacto permite, ante un nuevo solicitante con variables socioeconómicas verificables en originación, estimar su gasto personal mensual, calcular el ratio gasto-ingreso estimado, asignarlo a un segmento poblacional comparable y consultar los percentiles del ratio de ese segmento como referencia de capacidad de pago.</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8.5 Revisión del proceso y pasos futuros</w:t>
      </w:r>
    </w:p>
    <w:p>
      <w:pPr>
        <w:pStyle w:val="Heading3"/>
        <w:spacing w:after="100" w:before="200"/>
      </w:pPr>
      <w:r>
        <w:rPr>
          <w:rFonts w:ascii="Arial" w:cs="Arial" w:eastAsia="Arial" w:hAnsi="Arial"/>
          <w:b/>
          <w:bCs/>
          <w:color w:val="2E75B6"/>
          <w:sz w:val="22"/>
          <w:szCs w:val="22"/>
        </w:rPr>
        <w:t xml:space="preserve">8.5.1 Decisiones metodológicas clave</w:t>
      </w:r>
    </w:p>
    <w:p>
      <w:pPr>
        <w:spacing w:after="100" w:before="100"/>
        <w:jc w:val="both"/>
      </w:pPr>
      <w:r>
        <w:rPr>
          <w:rFonts w:ascii="Arial" w:cs="Arial" w:eastAsia="Arial" w:hAnsi="Arial"/>
          <w:sz w:val="22"/>
          <w:szCs w:val="22"/>
        </w:rPr>
        <w:t xml:space="preserve">Las cuatro decisiones metodológicas más relevantes son: la elección del estimador WLS sobre OLS para incorporar el diseño muestral de la ENPH; la especificación log-log validada mediante comparación de cinco alternativas funcionales y confirmada por el criterio Box-Cox (λ ≈ 0 para el gasto); el uso del gasto estimado en lugar del observado en el clustering, que garantiza la aplicabilidad en producción; y la estrategia de tres niveles para la selección de variables (teoría económica, análisis estadístico ponderado por FEX_C, representatividad poblacional), que evita tanto la selección automática sin fundamento como la inclusión de variables teóricamente justificadas pero estadísticamente irrelevantes en los datos.</w:t>
      </w:r>
    </w:p>
    <w:p>
      <w:pPr>
        <w:spacing w:after="60" w:before="60"/>
      </w:pPr>
      <w:r>
        <w:t xml:space="preserve"/>
      </w:r>
    </w:p>
    <w:p>
      <w:pPr>
        <w:pStyle w:val="Heading3"/>
        <w:spacing w:after="100" w:before="200"/>
      </w:pPr>
      <w:r>
        <w:rPr>
          <w:rFonts w:ascii="Arial" w:cs="Arial" w:eastAsia="Arial" w:hAnsi="Arial"/>
          <w:b/>
          <w:bCs/>
          <w:color w:val="2E75B6"/>
          <w:sz w:val="22"/>
          <w:szCs w:val="22"/>
        </w:rPr>
        <w:t xml:space="preserve">8.5.2 Pasos futuros recomendados</w:t>
      </w:r>
    </w:p>
    <w:p>
      <w:pPr>
        <w:spacing w:after="100" w:before="100"/>
        <w:jc w:val="both"/>
      </w:pPr>
      <w:r>
        <w:rPr>
          <w:rFonts w:ascii="Arial" w:cs="Arial" w:eastAsia="Arial" w:hAnsi="Arial"/>
          <w:sz w:val="22"/>
          <w:szCs w:val="22"/>
        </w:rPr>
        <w:t xml:space="preserve">La hoja de ruta para el desarrollo futuro incluye cinco líneas: actualización con datos de la ENPH 2022-2023 para capturar cambios post-pandemia; validación sobre una muestra de solicitantes reales de crédito para cuantificar el sesgo de selección entre población general y población crediticia; exploración de regresión cuantílica como alternativa al modelo de media condicional, siguiendo a Mercado et al. (2022); incorporación de fuentes administrativas de la Superintendencia Financiera para agregar variables de comportamiento crediticio previo; y desarrollo de un proceso de monitoreo periódico que detecte deriva conceptual en los patrones de gasto de la población objetivo.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2026-05-01T23:43:20.619Z</dcterms:created>
  <dcterms:modified xsi:type="dcterms:W3CDTF">2026-05-01T23:43:20.620Z</dcterms:modified>
</cp:coreProperties>
</file>

<file path=docProps/custom.xml><?xml version="1.0" encoding="utf-8"?>
<Properties xmlns="http://schemas.openxmlformats.org/officeDocument/2006/custom-properties" xmlns:vt="http://schemas.openxmlformats.org/officeDocument/2006/docPropsVTypes"/>
</file>