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Yu Gothic" w:hAnsi="Yu Gothic" w:eastAsia="Yu Gothic"/>
          <w:b/>
          <w:color w:val="1F3A5F"/>
          <w:sz w:val="88"/>
        </w:rPr>
        <w:t>AIOutmation</w:t>
      </w:r>
    </w:p>
    <w:p>
      <w:pPr>
        <w:jc w:val="center"/>
      </w:pPr>
      <w:r>
        <w:rPr>
          <w:rFonts w:ascii="Yu Gothic" w:hAnsi="Yu Gothic" w:eastAsia="Yu Gothic"/>
          <w:b/>
          <w:color w:val="2E5C8A"/>
          <w:sz w:val="44"/>
        </w:rPr>
        <w:t>MVP機能仕様書</w:t>
      </w:r>
    </w:p>
    <w:p>
      <w:pPr>
        <w:spacing w:before="600"/>
        <w:jc w:val="center"/>
      </w:pPr>
      <w:r>
        <w:rPr>
          <w:rFonts w:ascii="Yu Gothic" w:hAnsi="Yu Gothic" w:eastAsia="Yu Gothic"/>
          <w:b w:val="0"/>
          <w:color w:val="555555"/>
          <w:sz w:val="28"/>
        </w:rPr>
        <w:t>委託開発会社ディスカッション用ドキュメント</w:t>
      </w:r>
    </w:p>
    <w:p>
      <w:pPr>
        <w:spacing w:before="1200"/>
        <w:jc w:val="center"/>
      </w:pPr>
      <w:r>
        <w:rPr>
          <w:rFonts w:ascii="Yu Gothic" w:hAnsi="Yu Gothic" w:eastAsia="Yu Gothic"/>
          <w:b w:val="0"/>
          <w:color w:val="888888"/>
          <w:sz w:val="22"/>
        </w:rPr>
        <w:t>──── アウトプット③ ────</w:t>
      </w:r>
    </w:p>
    <w:p>
      <w:pPr>
        <w:spacing w:before="400"/>
        <w:jc w:val="center"/>
      </w:pPr>
      <w:r>
        <w:rPr>
          <w:rFonts w:ascii="Yu Gothic" w:hAnsi="Yu Gothic" w:eastAsia="Yu Gothic"/>
          <w:b w:val="0"/>
          <w:color w:val="555555"/>
          <w:sz w:val="22"/>
        </w:rPr>
        <w:t>MVP範囲 + 機能仕様 + 技術スタック + データモデル + 開発計画 + 論点</w:t>
      </w:r>
    </w:p>
    <w:p>
      <w:pPr>
        <w:spacing w:before="800"/>
        <w:jc w:val="center"/>
      </w:pPr>
      <w:r>
        <w:rPr>
          <w:rFonts w:ascii="Yu Gothic" w:hAnsi="Yu Gothic" w:eastAsia="Yu Gothic"/>
          <w:b w:val="0"/>
          <w:color w:val="888888"/>
          <w:sz w:val="20"/>
        </w:rPr>
        <w:t>作成: 2026年5月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1. エグゼクティブサマリー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AIOutmationのMVPは、瀧内本「AIO教科書」のChapter 4 PDCAサイクルを完全自動化することを最優先とする。リーンキャンバスで定義した8機能のうち6機能を24週間(約6ヶ月)で実装し、3-5社のデザインパートナーとβ運用を経て、商用ローンチを目指す。</w:t>
        <w:br/>
        <w:br/>
        <w:t>MVP範囲の意思決定基準:</w:t>
        <w:br/>
        <w:t>1. 競合(Profound/Peec/Passionfruit)の最低限ラインに追いつく(=計測の自動化)</w:t>
        <w:br/>
        <w:t>2. 代理店セグメントの必須要件(マルチテナント+ホワイトラベル)を満たす</w:t>
        <w:br/>
        <w:t>3. 顕著な時間削減(月4時間→30分)で初期顧客のROIを即証明できる</w:t>
        <w:br/>
        <w:t>4. R&amp;D色の強い差別化機能(Signal/Noise Engine, CMS PR自動起票)はV2/V3に延期し、PMFを優先する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E0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MVP の北極星指標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①β顧客5社の継続(NRR 100%以上) ②各顧客の引用率改善(導入前→導入3ヶ月後で平均15ポイント増) ③代理店パートナー1社獲得(クライアント3社以上を本プラットフォームで運用)</w:t>
            </w:r>
          </w:p>
        </w:tc>
      </w:tr>
    </w:tbl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2. MVP範囲(In/Out of Scope)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2.1 MVP に含める機能(Phase 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機能名</w:t>
            </w:r>
          </w:p>
        </w:tc>
        <w:tc>
          <w:tcPr>
            <w:tcW w:type="dxa" w:w="3969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リーンキャンバス対応</w:t>
            </w:r>
          </w:p>
        </w:tc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教科書対応</w:t>
            </w:r>
          </w:p>
        </w:tc>
      </w:tr>
      <w:tr>
        <w:tc>
          <w:tcPr>
            <w:tcW w:type="dxa" w:w="850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F1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マルチテナント基盤+認証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⑧マルチテナント運用(基本)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  <w:tr>
        <w:tc>
          <w:tcPr>
            <w:tcW w:type="dxa" w:w="850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F2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プロンプト管理+AI自動生成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③プロンプト自動生成エンジン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Ch.1+4</w:t>
            </w:r>
          </w:p>
        </w:tc>
      </w:tr>
      <w:tr>
        <w:tc>
          <w:tcPr>
            <w:tcW w:type="dxa" w:w="850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F3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引用率測定エンジン(Citation Rate Engine)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⑤運用(PDCA Check部分)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Ch.4</w:t>
            </w:r>
          </w:p>
        </w:tc>
      </w:tr>
      <w:tr>
        <w:tc>
          <w:tcPr>
            <w:tcW w:type="dxa" w:w="850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F4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ダッシュボード+アラート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⑤運用(可視化)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Ch.4</w:t>
            </w:r>
          </w:p>
        </w:tc>
      </w:tr>
      <w:tr>
        <w:tc>
          <w:tcPr>
            <w:tcW w:type="dxa" w:w="850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F5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ホワイトラベル+月次レポート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⑧マルチテナント+⑦経営報告(基本)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Ch.4</w:t>
            </w:r>
          </w:p>
        </w:tc>
      </w:tr>
      <w:tr>
        <w:tc>
          <w:tcPr>
            <w:tcW w:type="dxa" w:w="850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F6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AIコメンタリー(3行サマリ)</w:t>
            </w:r>
          </w:p>
        </w:tc>
        <w:tc>
          <w:tcPr>
            <w:tcW w:type="dxa" w:w="396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⑦Executive Reporter(基本)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Ch.4 Act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2.2 V2 に延期する機能(Phase 2: 24-36週)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F7: SEO×AIO監査エンジン(初期診断レポート) — Ch.1-3 統合監査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F8: 文書構造化エンジン(JSON-LD自動生成) — Ch.3対応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F9: CMS PR自動起票(GitHub/Webflow/WordPress連携) — Ch.3対応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F10: ROI物語AI(過去成功事例DB+類似ストーリー提示) — 経営説明強化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F11: 業界ベンチマーク同梱 — 顧客横断データの匿名化集計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F12: Salesforce/HubSpot/Gong連携(プロンプト自動抽出) — オンボード強化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2.3 V3 に延期する機能(Phase 3: 36週以降)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F13: 文章構成最適化AI(PREP/FAQ/HowTo自動リライト) — Ch.2対応 / 重い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F14: Signal/Noise Engine(統計的信頼区間) — R&amp;D色が強く市場検証後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F15: 知識資産化アシスタント(llms.txt自動生成) — Ch.5対応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F16: AI別最適化レコメンド(Perplexity/Gemini/ChatGPT別) — Ch.5対応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F17: SOC 2 Type II対応 — エンタープライズ拡大時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2.4 MVPに含めない理由(意思決定根拠)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延期機能</w:t>
            </w:r>
          </w:p>
        </w:tc>
        <w:tc>
          <w:tcPr>
            <w:tcW w:type="dxa" w:w="5386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延期理由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代替手段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CMS PR自動起票</w:t>
            </w:r>
          </w:p>
        </w:tc>
        <w:tc>
          <w:tcPr>
            <w:tcW w:type="dxa" w:w="538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CMSの種類が多く(WordPress, Webflow, Headless各種)、各連携の実装コストが大。MVPではChapter 3の改修推奨を「テキストアウトプット」で提供。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改修推奨をJSON/Markdownで出力、顧客側で手動適用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Signal/Noise Engine</w:t>
            </w:r>
          </w:p>
        </w:tc>
        <w:tc>
          <w:tcPr>
            <w:tcW w:type="dxa" w:w="538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学術研究レベルの実装(Ai2 framework等)で開発期間予測困難。閾値ベースアラートで競合と同等水準は確保可能。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閾値ベースアラート+将来のV3でアップグレード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文章構成最適化AI</w:t>
            </w:r>
          </w:p>
        </w:tc>
        <w:tc>
          <w:tcPr>
            <w:tcW w:type="dxa" w:w="538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長文生成のLLMコストが顧客あたり月数千円〜数万円となりマージン悪化。需要検証後にスコープ確定。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MVPでは改修ガイドのみ(リライト推奨は人手)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業界ベンチマーク</w:t>
            </w:r>
          </w:p>
        </w:tc>
        <w:tc>
          <w:tcPr>
            <w:tcW w:type="dxa" w:w="538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顧客横断データの蓄積に時間が必要。最低3-6ヶ月の運用データが必要。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リリース後6ヶ月で順次提供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3. MVP機能仕様(F1〜F6)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F1. マルチテナント基盤+認証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FF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目的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代理店向け運用(複数クライアント管理)+企業向けチーム運用の双方を1つの基盤で実現する。後付けは技術負債になるため、Phase 1で必須。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スコープ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878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認証方式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Email/Password + Google SSO + Microsoft 365 SSO(MVPはGoogle SSOのみ必須、他はV2)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組織構造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3階層: Account(テナント) → Workspace(クライアント案件) → User(メンバー)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権限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RBAC: Owner / Admin / Editor / Viewer の4ロール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シート制限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全プラン無制限シート(=競合差別化として明確に打ち出す)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Workspace切替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サイドバーでアクティブWorkspaceを切替、URLにWorkspace IDを含める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監査ログ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MVP: 認証ログのみ / V2: 全操作ログ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ユーザーストーリー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代理店PMとして、5社のクライアント案件をWorkspaceで分離管理したい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代理店アカウント担当として、自分が担当するWorkspaceのみアクセスできるようにしたい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事業会社マーケPMとして、SEO担当・コンテンツ担当・経営層をそれぞれの権限で招待したい</w:t>
      </w:r>
    </w:p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成功基準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1代理店アカウントで5クライアント案件を運用可能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Workspace切替が3秒以内に完了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認証成功率99.5%以上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F2. プロンプト管理+AI自動生成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FF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目的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プロンプト初期設計の属人性を解消し、オンボード工数を半日→1時間以内に圧縮。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スコープ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878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プロンプトCRUD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作成・編集・削除・アーカイブ。最大5,000本/Workspace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タグ機能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ファネルステージ / ペルソナ / プロダクト / 地域 / 言語 の5軸タグ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AI自動生成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入力: 自社URL + 競合URL(最大10) + 業界キーワード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出力: 30〜200本のプロンプト案(タグ付き)を5分以内に生成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一括インポート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CSV/TSVから一括インポート(タグ列対応)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プロンプト文脈記録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各プロンプトに「対象ICP/ファネル/採用根拠」をAIが自動文書化(編集可)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優先順位スコア</w:t>
            </w:r>
          </w:p>
        </w:tc>
        <w:tc>
          <w:tcPr>
            <w:tcW w:type="dxa" w:w="878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前月の引用率×推定ROI×競合プレッシャーから自動算出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AI自動生成の処理フロー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Step 1: 自社URLを取得 → タイトル・h1・descriptionを抽出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Step 2: 競合URLを同様に解析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Step 3: LLM(Claude Sonnet等)に「ICP × 購買ファネル × 製品カテゴリ」のマトリクスでプロンプト生成を依頼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Step 4: 生成プロンプトをタグ付きで返却、ユーザーがレビュー→採用</w:t>
      </w:r>
    </w:p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成功基準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1セッションで30本以上のプロンプトをタグ付きで生成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ユーザーが採用するプロンプトの割合が60%以上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生成時間5分以内、コスト1Workspace当たり50円以下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F3. 引用率測定エンジン(Citation Rate Engine)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FFE0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目的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Chapter 4 Check段階を完全自動化。競合(Profound/Peec/Passionfruit)の最低限ラインに到達。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対応LLM(MVP範囲)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98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LLM</w:t>
            </w:r>
          </w:p>
        </w:tc>
        <w:tc>
          <w:tcPr>
            <w:tcW w:type="dxa" w:w="340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取得方法</w:t>
            </w:r>
          </w:p>
        </w:tc>
        <w:tc>
          <w:tcPr>
            <w:tcW w:type="dxa" w:w="141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実装難度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Perplexity</w:t>
            </w:r>
          </w:p>
        </w:tc>
        <w:tc>
          <w:tcPr>
            <w:tcW w:type="dxa" w:w="34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UIスクレイピング(Playwright)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出典URL明示で最優先実装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ChatGPT(検索機能付き)</w:t>
            </w:r>
          </w:p>
        </w:tc>
        <w:tc>
          <w:tcPr>
            <w:tcW w:type="dxa" w:w="34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OpenAI API(検索拡張)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低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API利用、コスト管理重要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Google AI Overviews</w:t>
            </w:r>
          </w:p>
        </w:tc>
        <w:tc>
          <w:tcPr>
            <w:tcW w:type="dxa" w:w="34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SERP API経由(SerpAPI/ScrapingBee等)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外部APIサブスクリプション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Gemini</w:t>
            </w:r>
          </w:p>
        </w:tc>
        <w:tc>
          <w:tcPr>
            <w:tcW w:type="dxa" w:w="34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UIスクレイピング(Playwright)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Google認証管理が必要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【V2追加】Claude</w:t>
            </w:r>
          </w:p>
        </w:tc>
        <w:tc>
          <w:tcPr>
            <w:tcW w:type="dxa" w:w="34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Anthropic API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低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検索機能未対応のため後回し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【V2追加】Felo / Genspark / 国産LLM</w:t>
            </w:r>
          </w:p>
        </w:tc>
        <w:tc>
          <w:tcPr>
            <w:tcW w:type="dxa" w:w="34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UIスクレイピング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日本語特化、差別化要素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実行スケジュールと頻度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標準: 各プロンプト × 各LLM = 1日1回、深夜時間帯に分散実行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高頻度プラン(Enterprise): 1日3回(朝/昼/夜)で揺らぎ吸収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再試行: 失敗時は3回まで自動リトライ、それでも失敗時はエラーレコード+アラート</w:t>
      </w:r>
    </w:p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引用判定ロジック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1. LLM応答から出典URL/ドメインを抽出(正規表現+構造化レスポンス解析)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2. 顧客のドメインリスト(自社+サブドメイン+買収ブランド)とマッチング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3. マッチ時: 引用あり(O) / 不一致時: 引用なし(X)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4. 「内容類似だが出典なし」のケースは別フラグで記録(類似度スコア参考値)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5. 引用順位(出典1番目/2番目/...)を併せて記録</w:t>
      </w:r>
    </w:p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Citation Rate計算式</w:t>
      </w:r>
    </w:p>
    <w:p>
      <w:pPr>
        <w:spacing w:after="80"/>
      </w:pPr>
      <w:r>
        <w:rPr>
          <w:rFonts w:ascii="Yu Gothic" w:hAnsi="Yu Gothic" w:eastAsia="Yu Gothic"/>
          <w:b/>
          <w:color w:val="1F3A5F"/>
          <w:sz w:val="22"/>
        </w:rPr>
        <w:t>Citation Rate (%) = (引用回数 ÷ チェック総数) × 100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プロンプト単位/LLM単位/Workspace全体 の3粒度で算出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30日移動平均でトレンド可視化</w:t>
      </w:r>
    </w:p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成功基準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1日100プロンプト × 4LLM = 400実行 を稼働率99%で完遂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1実行あたりLLMコスト30円以下を維持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引用判定の精度: True Positive 95%以上 / False Positive 5%以下(手動検証50件で評価)</w:t>
      </w:r>
    </w:p>
    <w:p>
      <w:r>
        <w:br w:type="page"/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F4. ダッシュボード+アラート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FF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目的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Citation Rateを「見える化」し、顧客が日次で価値を体感できる体験を提供。書籍のFAQ管理表/記録表/集計表をデジタル化。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画面構成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198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画面</w:t>
            </w:r>
          </w:p>
        </w:tc>
        <w:tc>
          <w:tcPr>
            <w:tcW w:type="dxa" w:w="6803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書籍対応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Overview</w:t>
            </w:r>
          </w:p>
        </w:tc>
        <w:tc>
          <w:tcPr>
            <w:tcW w:type="dxa" w:w="680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Workspace全体のCitation Rateトレンド+主要KPI(引用回数/プロンプト数/競合比較)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Prompts(FAQ管理表ビュー)</w:t>
            </w:r>
          </w:p>
        </w:tc>
        <w:tc>
          <w:tcPr>
            <w:tcW w:type="dxa" w:w="680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プロンプト一覧+各プロンプトのCitation Rate+優先順位スコア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Ch.4 FAQ管理表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Records(FAQ記録表ビュー)</w:t>
            </w:r>
          </w:p>
        </w:tc>
        <w:tc>
          <w:tcPr>
            <w:tcW w:type="dxa" w:w="680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全LLM実行ログ。確認日/AI/検索クエリ/引用?/メモ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Ch.4 FAQ記録表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Heatmap</w:t>
            </w:r>
          </w:p>
        </w:tc>
        <w:tc>
          <w:tcPr>
            <w:tcW w:type="dxa" w:w="680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プロンプト×日付のCitation Rateヒートマップ(緑/黄/赤)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Ch.4 ヒートマップ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Competitors</w:t>
            </w:r>
          </w:p>
        </w:tc>
        <w:tc>
          <w:tcPr>
            <w:tcW w:type="dxa" w:w="680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競合ドメインの引用シェア比較(時系列)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Reports</w:t>
            </w:r>
          </w:p>
        </w:tc>
        <w:tc>
          <w:tcPr>
            <w:tcW w:type="dxa" w:w="680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月次レポート一覧+PDFダウンロード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Ch.4 月次レポート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Alerts</w:t>
            </w:r>
          </w:p>
        </w:tc>
        <w:tc>
          <w:tcPr>
            <w:tcW w:type="dxa" w:w="680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アラート設定+履歴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アラート機能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閾値アラート: Citation Rate 50%/60%/70% の3段階で設定可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急変アラート: 前週比-10ポイント以上で自動通知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競合急伸アラート: 競合の引用シェアが前月比+15ポイント以上で通知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通知先: Slack(Webhook) / Email / Webhook(任意エンドポイント)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アラート集約: 同一Workspace内のアラートを1日1通にまとめる(通知疲れ対策)</w:t>
      </w:r>
    </w:p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エクスポート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CSV: 全データのフルエクスポート(Sheets継続利用顧客向け)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PDF: 月次レポート(F5でホワイトラベル化)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API: REST APIで主要データ取得可能(Looker/BigQuery連携の前段)</w:t>
      </w:r>
    </w:p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成功基準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主要画面表示が3秒以内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プロンプト1,000本でも快適に動作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アラート配信成功率99%以上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F5. ホワイトラベル+月次レポート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FF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目的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代理店セグメントの必須要件。クライアントレポートを代理店ブランドで提供できるようにする。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ホワイトラベル設定項目(MVP)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45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41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MVP</w:t>
            </w:r>
          </w:p>
        </w:tc>
        <w:tc>
          <w:tcPr>
            <w:tcW w:type="dxa" w:w="141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V2</w:t>
            </w:r>
          </w:p>
        </w:tc>
        <w:tc>
          <w:tcPr>
            <w:tcW w:type="dxa" w:w="141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V3</w:t>
            </w:r>
          </w:p>
        </w:tc>
      </w:tr>
      <w:tr>
        <w:tc>
          <w:tcPr>
            <w:tcW w:type="dxa" w:w="45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ロゴ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○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  <w:tr>
        <w:tc>
          <w:tcPr>
            <w:tcW w:type="dxa" w:w="45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メインカラー(1色)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○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  <w:tr>
        <w:tc>
          <w:tcPr>
            <w:tcW w:type="dxa" w:w="45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クライアント名(ブランド)上書き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○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  <w:tr>
        <w:tc>
          <w:tcPr>
            <w:tcW w:type="dxa" w:w="45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レポート表紙のカスタムテキスト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○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  <w:tr>
        <w:tc>
          <w:tcPr>
            <w:tcW w:type="dxa" w:w="45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独自ドメイン(代理店.aioutmation.com)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○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  <w:tr>
        <w:tc>
          <w:tcPr>
            <w:tcW w:type="dxa" w:w="45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送信元メールアドレス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○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  <w:tr>
        <w:tc>
          <w:tcPr>
            <w:tcW w:type="dxa" w:w="45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完全プライベートホスティング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  <w:tc>
          <w:tcPr>
            <w:tcW w:type="dxa" w:w="141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○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月次レポート構成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Page 1: 表紙(代理店ロゴ+クライアントブランド+期間)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Page 2: エグゼクティブサマリー(F6のAIコメンタリー)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Page 3-4: KPIダッシュボード(Citation Rate推移、引用回数、競合比較)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Page 5: ヒートマップ(プロンプト別パフォーマンス)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Page 6: Top/Bottomプロンプト分析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Page 7: 競合詳細分析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Page 8: 推奨アクション(F6 AIコメンタリー)</w:t>
      </w:r>
    </w:p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生成方式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MVP: PythonベースPDF生成(reportlab/python-pptx)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V2: Browserlessでのブラウザレンダリング(Web版と同一見た目)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毎月1日に自動生成→アラート通知</w:t>
      </w:r>
    </w:p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成功基準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代理店ロゴ反映で1分以内にレポート出力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月次レポートの自動配信成功率99%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F6. AIコメンタリー(3行サマリ)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40"/>
      </w:tblGrid>
      <w:tr>
        <w:tc>
          <w:tcPr>
            <w:tcW w:type="dxa" w:w="14140"/>
            <w:shd w:val="clear" w:color="auto" w:fill="FF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目的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経営報告/クライアント説明の作文工数を月数時間→数分に圧縮。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出力フォーマット</w:t>
      </w:r>
    </w:p>
    <w:p>
      <w:pPr>
        <w:spacing w:after="80"/>
      </w:pPr>
      <w:r>
        <w:rPr>
          <w:rFonts w:ascii="Yu Gothic" w:hAnsi="Yu Gothic" w:eastAsia="Yu Gothic"/>
          <w:b/>
          <w:sz w:val="22"/>
        </w:rPr>
        <w:t>【3行サマリ(必須)】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1行目: 全体トレンド(前月比/前期比/業界平均との位置)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2行目: カテゴリ別ハイライト(製品Aは好調、製品Bは低下等)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3行目: 競合差分(自社が上回ったポイント/下回ったポイント)</w:t>
      </w:r>
    </w:p>
    <w:p>
      <w:pPr>
        <w:spacing w:after="80"/>
      </w:pPr>
      <w:r>
        <w:rPr>
          <w:rFonts w:ascii="Yu Gothic" w:hAnsi="Yu Gothic" w:eastAsia="Yu Gothic"/>
          <w:b/>
          <w:sz w:val="22"/>
        </w:rPr>
        <w:t>【詳細解説(任意)】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300-500文字のナラティブ。原因仮説と推奨アクション含む</w:t>
      </w:r>
    </w:p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生成プロンプト戦略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入力: 月次集計データ(Citation Rate推移、Top/Bottomプロンプト、競合データ)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テンプレート: 3パターン(改善傾向/横ばい/低下)で初期は固定、A/Bテストで改善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LLM: Claude Sonnet 4.5(日本語クオリティ重視) または GPT-4o(コスト重視)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コスト: 1Workspace月次1回、200円以下</w:t>
      </w:r>
    </w:p>
    <w:p>
      <w:pPr>
        <w:spacing w:before="200" w:after="120"/>
      </w:pPr>
      <w:r>
        <w:rPr>
          <w:rFonts w:ascii="Yu Gothic" w:hAnsi="Yu Gothic" w:eastAsia="Yu Gothic"/>
          <w:b/>
          <w:color w:val="444444"/>
          <w:sz w:val="24"/>
        </w:rPr>
        <w:t>成功基準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顧客が「コメントをそのまま提出可能」と評価する割合70%以上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ファクトエラー率5%以下(数値の取り違え・誤った因果推論)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4. 技術アーキテクチャ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4.1 推奨技術スタック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98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レイヤー</w:t>
            </w:r>
          </w:p>
        </w:tc>
        <w:tc>
          <w:tcPr>
            <w:tcW w:type="dxa" w:w="311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推奨</w:t>
            </w:r>
          </w:p>
        </w:tc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代替案</w:t>
            </w:r>
          </w:p>
        </w:tc>
        <w:tc>
          <w:tcPr>
            <w:tcW w:type="dxa" w:w="368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選定理由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フロントエンド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Next.js 14 (App Router) + TypeScript + Tailwind + shadcn/ui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Remix / Vite + React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日本のSaaS開発で最も人材確保しやすい、Vercelでの即時デプロイ、ストリーミングUI(LLM応答待ち)対応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バックエンド API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Node.js (NestJS) + TypeScript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Python (FastAPI), Go (Echo)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フロントとの型共有、LLM SDK公式サポート充実、TS人材豊富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LLM呼び出し基盤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Vercel AI SDK / LangChain.js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LiteLLM(マルチプロバイダ抽象化)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OpenAI/Anthropic/Google切替容易、ストリーミング標準対応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UIスクレイピング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Playwright(Containerized) on AWS Fargate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Browserless.io(SaaS), Puppeteer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Perplexity/Geminiなどブラウザ操作必須、コスト最適化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データベース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PostgreSQL 16 + Prisma ORM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MySQL, MongoDB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JSON型サポート、スケーラビリティ、運用人材豊富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キャッシュ/キュー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Redis (ElastiCache) + BullMQ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AWS SQS, Cloud Tasks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バックグラウンドジョブ(LLM実行)に最適、観測しやすい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認証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Clerk または Auth0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自前実装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MVPでは買って時間節約、SOC 2対応も容易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ホスティング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AWS (ECS Fargate + RDS + ElastiCache + S3 + CloudFront)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GCP, Vercel + Supabase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エンタープライズ顧客のセキュリティ要件に対応しやすい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監視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Datadog または Sentry + Mixpanel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New Relic, OpenTelemetry自前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LLM API監視・コスト追跡が容易</w:t>
            </w:r>
          </w:p>
        </w:tc>
      </w:tr>
      <w:tr>
        <w:tc>
          <w:tcPr>
            <w:tcW w:type="dxa" w:w="198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ファイル/データレイク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S3 + Athena (BigQueryも可)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GCS + BigQuery</w:t>
            </w:r>
          </w:p>
        </w:tc>
        <w:tc>
          <w:tcPr>
            <w:tcW w:type="dxa" w:w="368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業界ベンチマーク用データ蓄積基盤(V2準備)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4.2 アーキテクチャ概要図(テキスト版)</w:t>
      </w:r>
    </w:p>
    <w:p>
      <w:pPr>
        <w:spacing w:after="80"/>
      </w:pPr>
      <w:r>
        <w:rPr>
          <w:rFonts w:ascii="Yu Gothic" w:hAnsi="Yu Gothic" w:eastAsia="Yu Gothic"/>
          <w:b w:val="0"/>
          <w:color w:val="333333"/>
          <w:sz w:val="18"/>
        </w:rPr>
        <w:br/>
        <w:t>[ユーザー] → [Vercel CDN] → [Next.js Frontend]</w:t>
        <w:br/>
        <w:t xml:space="preserve">                                   ↓ (API)</w:t>
        <w:br/>
        <w:t xml:space="preserve">                              [NestJS API Gateway]</w:t>
        <w:br/>
        <w:t xml:space="preserve">                                   ↓</w:t>
        <w:br/>
        <w:t xml:space="preserve">            ┌──────────────────┼──────────────────┐</w:t>
        <w:br/>
        <w:t xml:space="preserve">            ↓                   ↓                   ↓</w:t>
        <w:br/>
        <w:t xml:space="preserve">       [Auth Service]      [Core API]        [LLM Worker Pool]</w:t>
        <w:br/>
        <w:t xml:space="preserve">            ↓                   ↓                   ↓</w:t>
        <w:br/>
        <w:t xml:space="preserve">            └────────→ [PostgreSQL] ←───────[Redis Queue (BullMQ)]</w:t>
        <w:br/>
        <w:t xml:space="preserve">                            ↑                       ↓</w:t>
        <w:br/>
        <w:t xml:space="preserve">                       [BackOffice]          [Playwright Containers]</w:t>
        <w:br/>
        <w:t xml:space="preserve">                                                    ↓</w:t>
        <w:br/>
        <w:t xml:space="preserve">                                          [LLM API Providers]</w:t>
        <w:br/>
        <w:t xml:space="preserve">                                          (OpenAI/Anthropic/Google/SerpAPI)</w:t>
        <w:br/>
        <w:t xml:space="preserve">                                                    ↓</w:t>
        <w:br/>
        <w:t xml:space="preserve">                                          [LLM UI Sites]</w:t>
        <w:br/>
        <w:t xml:space="preserve">                                          (Perplexity/Gemini/...)</w:t>
        <w:br/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4.3 LLM実行ワーカーの設計ポイント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並列度制御: 1Workspaceあたり同時実行3、全体で50並列上限(LLMレート制限対応)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リトライ: 指数バックオフ(2s/4s/8s)で3回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コスト保護: Workspaceごとの月間コスト上限を設定、超過時にアラート+一時停止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プロキシローテーション: UIスクレイピング時のIP多様化(住宅プロキシ含む)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セッション管理: 各LLMサイトのログイン状態をRedisで保持、定期的に再認証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レスポンスキャッシュ: 24時間以内の同一プロンプトはキャッシュ返却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4.4 セキュリティ要件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通信: TLS 1.3, HSTS, CSP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保存: PostgreSQL暗号化(AES-256), S3 SSE-KMS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シークレット管理: AWS Secrets Manager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テナント分離: Row-Level Security(PostgreSQL) + Application層チェック2重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監査: 認証ログ最低90日保持(エンタープライズはV2で1年)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データ削除: 顧客解約時、30日以内に全データ完全削除(GDPR/個人情報保護法対応)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5. データモデル概要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5.1 主要エンティティ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エンティティ</w:t>
            </w:r>
          </w:p>
        </w:tc>
        <w:tc>
          <w:tcPr>
            <w:tcW w:type="dxa" w:w="6236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主要属性</w:t>
            </w:r>
          </w:p>
        </w:tc>
        <w:tc>
          <w:tcPr>
            <w:tcW w:type="dxa" w:w="2551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関係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Account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name, plan, billingEmail, createdAt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 Account → N Workspace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Workspace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accountId, name, brandName, primaryColor, logoUrl, customDomain(V2), settings(JSON)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 Workspace → N Project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Project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workspaceId, name, archivedAt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 Project → N Brand, N Prompt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User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email, name, accountId, defaultRole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 User × N Workspace (UserWorkspaceRole)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UserWorkspaceRole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userId, workspaceId, role(Owner/Admin/Editor/Viewer)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結合テーブル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Brand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projectId, name, primaryDomain, additionalDomains(JSON), keywords(JSON)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ターゲットブランド情報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Competitor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projectId, name, primaryDomain, additionalDomains(JSON)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競合ブランド情報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Prompt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projectId, text, tags(JSON), priorityScore, contextNote, createdAt, archivedAt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プロンプト本体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LLMRun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promptId, llmProvider, executedAt, status, responseText, sourceUrls(JSON), costJpy, errorMessage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LLM実行ログ(膨大)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CitationRecord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llmRunId, promptId, brandId, citedFlag, citationPosition, similarityScore, createdAt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引用判定結果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Page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projectId, url, title, h1, lastCrawledAt, structuredDataPresent(bool), aeoScore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ターゲットページ(対象ブランドの自社ページ)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AlertRule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workspaceId, name, conditions(JSON), notificationChannels(JSON), enabled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アラート設定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AlertEvent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alertRuleId, triggeredAt, payload(JSON), acknowledged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アラート発生履歴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Report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workspaceId, periodStart, periodEnd, generatedAt, pdfUrl, summary(JSON)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月次レポート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Commentary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id, reportId, generatedText, model, costJpy, createdAt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AIコメンタリー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5.2 想定データ量(リリース1年後)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エンティティ</w:t>
            </w:r>
          </w:p>
        </w:tc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想定件数</w:t>
            </w:r>
          </w:p>
        </w:tc>
        <w:tc>
          <w:tcPr>
            <w:tcW w:type="dxa" w:w="5953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Account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100</w:t>
            </w:r>
          </w:p>
        </w:tc>
        <w:tc>
          <w:tcPr>
            <w:tcW w:type="dxa" w:w="595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エンプラ50+代理店30+SMB200弱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Workspace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500</w:t>
            </w:r>
          </w:p>
        </w:tc>
        <w:tc>
          <w:tcPr>
            <w:tcW w:type="dxa" w:w="595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代理店1社あたり5-10、エンプラ1社=1Workspace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Project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1,000</w:t>
            </w:r>
          </w:p>
        </w:tc>
        <w:tc>
          <w:tcPr>
            <w:tcW w:type="dxa" w:w="595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1Workspace平均2Project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Prompt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200,000</w:t>
            </w:r>
          </w:p>
        </w:tc>
        <w:tc>
          <w:tcPr>
            <w:tcW w:type="dxa" w:w="595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1Project平均200本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LLMRun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292,000,000/年</w:t>
            </w:r>
          </w:p>
        </w:tc>
        <w:tc>
          <w:tcPr>
            <w:tcW w:type="dxa" w:w="595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200K × 4LLM × 365日。partition必須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CitationRecord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292,000,000/年</w:t>
            </w:r>
          </w:p>
        </w:tc>
        <w:tc>
          <w:tcPr>
            <w:tcW w:type="dxa" w:w="595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LLMRunと1:1。partition必須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Page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100,000</w:t>
            </w:r>
          </w:p>
        </w:tc>
        <w:tc>
          <w:tcPr>
            <w:tcW w:type="dxa" w:w="595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1Project平均100ページ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Report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12,000/年</w:t>
            </w:r>
          </w:p>
        </w:tc>
        <w:tc>
          <w:tcPr>
            <w:tcW w:type="dxa" w:w="5953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1Workspace月次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5.3 パーティショニング戦略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LLMRun / CitationRecord: 月次パーティション(2026-05, 2026-06, ...)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古いパーティションは1年後にS3へアーカイブ→Athenaクエリ可能に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AlertEvent: 90日でアーカイブ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6. 開発計画(24週間)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6.1 スプリント概要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週</w:t>
            </w:r>
          </w:p>
        </w:tc>
        <w:tc>
          <w:tcPr>
            <w:tcW w:type="dxa" w:w="6236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主要成果物</w:t>
            </w:r>
          </w:p>
        </w:tc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達成基準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0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W0-2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アーキ確定、DB設計、認証基盤、開発環境構築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Hello World API + 認証動作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W3-4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F1: Account/Workspace/User/RBAC + UI骨格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代理店アカウントで5Workspace作成可能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W5-6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F2: プロンプト管理(CRUD+CSVインポート+タグ)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1Workspaceに100プロンプト登録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W7-8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F2: AI自動生成 + F3基盤(LLM Workerプール)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プロンプト30本自動生成 + Perplexity 1日1回実行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W9-10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F3: ChatGPT/Gemini/AI Overviews対応 + 引用判定エンジン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4LLM × 100プロンプト = 400/日 稼働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5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W11-12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F4: ダッシュボード(Overview/Prompts/Records/Heatmap)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Citation Rate可視化、3秒以内表示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6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W13-14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F4: アラート機能(Slack/Email)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閾値+急変+競合急伸の3種アラート稼働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7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W15-16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F5: ホワイトラベル(ロゴ・カラー・ブランド名)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代理店ブランドでレポート出力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8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W17-18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F5: 月次レポート自動生成 + F6: AIコメンタリー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月次PDF自動配信 + 3行サマリ生成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9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W19-20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βリリース準備(オンボーディング、ドキュメント、サポート体制)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デザインパートナー3-5社にオンボーディング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10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W21-22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βフィードバック反映 + バグ修正 + パフォーマンス改善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重大バグゼロ、稼働率99%</w:t>
            </w:r>
          </w:p>
        </w:tc>
      </w:tr>
      <w:tr>
        <w:tc>
          <w:tcPr>
            <w:tcW w:type="dxa" w:w="113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Sprint 11-12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W23-24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GAリリース準備(プライシング、契約、課金、マーケ)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商用ローンチ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6.2 マイルストーン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マイルストーン</w:t>
            </w:r>
          </w:p>
        </w:tc>
        <w:tc>
          <w:tcPr>
            <w:tcW w:type="dxa" w:w="198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達成時期</w:t>
            </w:r>
          </w:p>
        </w:tc>
        <w:tc>
          <w:tcPr>
            <w:tcW w:type="dxa" w:w="6236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意義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M1: アーキ凍結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W2末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技術的負債の予防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M2: クローズドα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W10末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社内+1社で計測エンジンの実証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M3: オープンβ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W18末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デザインパートナー3-5社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M4: GA(商用ローンチ)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W24末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課金開始、PR、セールス本格化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M5: PMF確認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W36末(GA+12週)</w:t>
            </w:r>
          </w:p>
        </w:tc>
        <w:tc>
          <w:tcPr>
            <w:tcW w:type="dxa" w:w="6236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NRR 100%以上、有料転換成立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6.3 想定開発体制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プロダクトマネージャー: 1名(委託先ではなく弊社側)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テックリード/アーキテクト: 1名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バックエンドエンジニア: 2-3名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フロントエンドエンジニア: 1-2名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SRE/DevOps: 0.5名(兼任)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QA: 0.5名(後半から1名)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デザイナー: 0.5名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合計: 5-7名 / 24週間 = 約120-170人週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7. 委託先との論点(意思決定が必要な事項)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7.1 Build vs Buy 判断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51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選択肢</w:t>
            </w:r>
          </w:p>
        </w:tc>
        <w:tc>
          <w:tcPr>
            <w:tcW w:type="dxa" w:w="311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推奨</w:t>
            </w:r>
          </w:p>
        </w:tc>
        <w:tc>
          <w:tcPr>
            <w:tcW w:type="dxa" w:w="2551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コスト想定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認証基盤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Build / Clerk / Auth0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Clerk(MVPまで)→Auth0(エンプラ拡大時)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Clerk: $99/月〜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LLMマルチプロバイダ抽象化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Build / LangChain / LiteLLM / Vercel AI SDK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Vercel AI SDK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OSS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ジョブキュー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BullMQ / SQS / Inngest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BullMQ(Redis)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Redis稼働費のみ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PDF生成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Playwright / reportlab / Pandoc / Browserless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MVP: reportlab、V2: Browserless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MVPは無料、V2は$200/月〜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UIスクレイピング基盤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自前Playwright / Browserless / Bright Data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MVP自前、スケール時にBrowserless検討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自前なら運用工数のみ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SerpAPI(Google AI Overviews)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SerpAPI / ScrapingBee / 自前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SerpAPI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$50/月〜(プロンプト数依存)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監視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Datadog / New Relic / Sentry+自作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Sentry + Mixpanel(MVP)→Datadog(GA)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Sentry: $26/月〜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分析DB(将来)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BigQuery / Athena / Snowflake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MVPは不要、V2でAthena</w:t>
            </w:r>
          </w:p>
        </w:tc>
        <w:tc>
          <w:tcPr>
            <w:tcW w:type="dxa" w:w="2551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7.2 LLM API選定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1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推奨LLM</w:t>
            </w:r>
          </w:p>
        </w:tc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代替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コスト想定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プロンプト自動生成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Claude Sonnet 4.5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GPT-4o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$3/1M tokens (input)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引用判定(自社ドメインマッチ)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ロジック実装で十分(LLM不要)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AIコメンタリー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Claude Sonnet 4.5(日本語品質重視)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GPT-4o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$3/1M tokens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ChatGPT検索クエリ実行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OpenAI GPT-4o w/ search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─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$5/1M tokens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Perplexity実行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UIスクレイピング(LLM不要)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Perplexity API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API: $5/1K queries</w:t>
            </w:r>
          </w:p>
        </w:tc>
      </w:tr>
      <w:tr>
        <w:tc>
          <w:tcPr>
            <w:tcW w:type="dxa" w:w="2835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Gemini実行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UIスクレイピング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Gemini API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API: $1/1M tokens</w:t>
            </w:r>
          </w:p>
        </w:tc>
      </w:tr>
    </w:tbl>
    <w:p>
      <w:pPr>
        <w:spacing w:after="80"/>
      </w:pPr>
      <w:r>
        <w:rPr>
          <w:rFonts w:ascii="Yu Gothic" w:hAnsi="Yu Gothic" w:eastAsia="Yu Gothic"/>
          <w:b/>
          <w:color w:val="C04000"/>
          <w:sz w:val="20"/>
        </w:rPr>
        <w:t>1顧客あたり月間LLMコスト想定: 5,000〜30,000円(プロンプト50-500本、4LLM、月次レポート)→ プラン価格設計の根拠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7.3 オープン論点(委託先と要相談)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Q1: UIスクレイピングの法的リスク評価(Perplexity/Geminiの利用規約レビュー必要)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Q2: 顧客のプロンプト・引用データの法的位置付け(規約整備)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Q3: LLM API値上げ時の価格転嫁ポリシー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Q4: 障害発生時のSLA(エンプラ顧客向け99.9%が現実的か)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Q5: バックアップ・DR(Disaster Recovery)体制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Q6: 個人情報保護法対応(顧客のCRMデータ連携時)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Q7: SOC 2 Type II取得タイミング(MVP後V2想定で1,500-3,000万円)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Q8: マルチリージョン展開(将来の海外展開で必要か議論)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7.4 委託契約のスコープ案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成果物ベース: F1〜F6完成+βリリースまで一括 → リスク分担曖昧、変更管理困難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準委任ベース(推奨): スプリント単位での発注、PdMの仕様判断は弊社、技術判断は委託先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ハイブリッド: コア機能(F3, F4)は成果物、その他は準委任</w:t>
      </w:r>
    </w:p>
    <w:p>
      <w:pPr>
        <w:spacing w:after="80"/>
      </w:pPr>
      <w:r>
        <w:rPr>
          <w:rFonts w:ascii="Yu Gothic" w:hAnsi="Yu Gothic" w:eastAsia="Yu Gothic"/>
          <w:b/>
          <w:color w:val="2E7A4E"/>
          <w:sz w:val="22"/>
        </w:rPr>
        <w:t>推奨: 準委任(アジャイル開発)。ペイン解像度・市場フィードバック・LLM技術進化への適応性を優先。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8. リスクと対策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リスク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影響度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発生可能性</w:t>
            </w:r>
          </w:p>
        </w:tc>
        <w:tc>
          <w:tcPr>
            <w:tcW w:type="dxa" w:w="510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対策</w:t>
            </w:r>
          </w:p>
        </w:tc>
      </w:tr>
      <w:tr>
        <w:tc>
          <w:tcPr>
            <w:tcW w:type="dxa" w:w="56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R1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LLM API値上げでマージン悪化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・複数LLMマルチプロバイダ前提で設計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・プラン価格にバッファ20%含める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・コスト上限機能で顧客を制御</w:t>
            </w:r>
          </w:p>
        </w:tc>
      </w:tr>
      <w:tr>
        <w:tc>
          <w:tcPr>
            <w:tcW w:type="dxa" w:w="56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R2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Perplexity/Gemini等のUIスクレイピング拒否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・公式API出る都度移行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・複数LLMで分散(1社依存しない)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・住宅プロキシ等の対策</w:t>
            </w:r>
          </w:p>
        </w:tc>
      </w:tr>
      <w:tr>
        <w:tc>
          <w:tcPr>
            <w:tcW w:type="dxa" w:w="56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R3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競合(Profound等)が日本市場に本格参入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・日本語LLM対応で先行(Felo/Genspark等)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・代理店パートナー網を早期に構築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・瀧内氏連携で著者監修ブランド確立</w:t>
            </w:r>
          </w:p>
        </w:tc>
      </w:tr>
      <w:tr>
        <w:tc>
          <w:tcPr>
            <w:tcW w:type="dxa" w:w="56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R4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開発遅延(24週→36週)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・Sprint 0-4を最重要、後半は柔軟に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・F6(AIコメンタリー)等は最悪V2へ延期可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・隔週デモで進捗可視化</w:t>
            </w:r>
          </w:p>
        </w:tc>
      </w:tr>
      <w:tr>
        <w:tc>
          <w:tcPr>
            <w:tcW w:type="dxa" w:w="56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R5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βパートナー獲得失敗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・並行で5-10社にアプローチ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・初期は無料運用で実績作り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・代理店経由のリード獲得</w:t>
            </w:r>
          </w:p>
        </w:tc>
      </w:tr>
      <w:tr>
        <w:tc>
          <w:tcPr>
            <w:tcW w:type="dxa" w:w="56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R6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引用判定の精度問題(False Positive多発)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・手動検証50件でリリース判定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・お客様にもフラグ修正UIを提供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・継続的な精度改善</w:t>
            </w:r>
          </w:p>
        </w:tc>
      </w:tr>
      <w:tr>
        <w:tc>
          <w:tcPr>
            <w:tcW w:type="dxa" w:w="56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R7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代理店向け要件の見落とし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・Sprint 1-2で代理店PMにヒアリング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・βで代理店2-3社を必ず含める</w:t>
            </w:r>
          </w:p>
        </w:tc>
      </w:tr>
      <w:tr>
        <w:tc>
          <w:tcPr>
            <w:tcW w:type="dxa" w:w="56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R8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個人情報・データ取扱い違反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極高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低</w:t>
            </w:r>
          </w:p>
        </w:tc>
        <w:tc>
          <w:tcPr>
            <w:tcW w:type="dxa" w:w="510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・初期から法務レビュー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・データ最小化原則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・規約・プライバシーポリシー整備</w:t>
            </w:r>
          </w:p>
        </w:tc>
      </w:tr>
    </w:tbl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9. 委託先との初回ディスカッション議題(チェックリスト)</w:t>
      </w:r>
    </w:p>
    <w:p>
      <w:pPr>
        <w:spacing w:after="80"/>
      </w:pPr>
      <w:r>
        <w:rPr>
          <w:rFonts w:ascii="Yu Gothic" w:hAnsi="Yu Gothic" w:eastAsia="Yu Gothic"/>
          <w:b w:val="0"/>
          <w:sz w:val="20"/>
        </w:rPr>
        <w:t>下記項目を初回〜2回目のミーティングで合意することを推奨します: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開発チーム体制と役割(PdM/テックリード/エンジニア/QA/デザイナー)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開発手法(スクラム/カンバン)とスプリント長さ(2週間推奨)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契約形態(準委任/成果物ベース/ハイブリッド)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技術スタックの最終確定(本資料4.1の表をたたき台に)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ブランチ戦略(Git Flow / Trunk-based / GitHub Flow)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コードレビュー基準とCI/CDパイプライン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テスト戦略(ユニット/統合/E2E)とカバレッジ目標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監視・アラート設計の責任範囲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デプロイ環境(dev/staging/production)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委託先に開示する情報の範囲(顧客データ、商談情報等)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知的財産権の取扱い(コード、AIプロンプトテンプレート、業界ベンチマークデータ)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成果物の納品形式とドキュメント要件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障害対応のエスカレーションパス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□ 月次振り返り・四半期戦略レビューの頻度</w:t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Appendix: 関連リソース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AIO_Textbook_Summary_50p.docx / AIO_Textbook_Summary_10p.docx (アウトプット①)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AIOutmation_LeanCanvas.docx (アウトプット②)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CustomerJourneyMap_GEO_AEO.docx/.pptx (顧客ペインのジャーニーマップ)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PainResolutionAnalysis_GEO_AEO.pptx (ベンチマーク3社の解決度分析)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出典: 瀧内賢『これからはじめるAIO AI最適化の教科書』技術評論社, 2026年3月発行</w:t>
      </w:r>
    </w:p>
    <w:p>
      <w:pPr>
        <w:spacing w:after="80"/>
      </w:pPr>
      <w:r>
        <w:rPr>
          <w:rFonts w:ascii="Yu Gothic" w:hAnsi="Yu Gothic" w:eastAsia="Yu Gothic"/>
          <w:b w:val="0"/>
          <w:sz w:val="16"/>
        </w:rPr>
      </w:r>
    </w:p>
    <w:p>
      <w:pPr>
        <w:spacing w:after="80"/>
      </w:pPr>
      <w:r>
        <w:rPr>
          <w:rFonts w:ascii="Yu Gothic" w:hAnsi="Yu Gothic" w:eastAsia="Yu Gothic"/>
          <w:b w:val="0"/>
          <w:color w:val="888888"/>
          <w:sz w:val="18"/>
        </w:rPr>
        <w:t>本ドキュメントは委託先との合意形成を目的とした初版です。技術的判断は委託先のアーキテクトと協議の上、確定してください。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