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Yu Gothic" w:hAnsi="Yu Gothic" w:eastAsia="Yu Gothic"/>
          <w:b/>
          <w:i w:val="0"/>
          <w:color w:val="1F3A5F"/>
          <w:sz w:val="44"/>
        </w:rPr>
        <w:t>AIOutmation リーンキャンバス(全景)</w:t>
      </w:r>
    </w:p>
    <w:p>
      <w:pPr>
        <w:spacing w:after="60"/>
      </w:pPr>
      <w:r>
        <w:rPr>
          <w:rFonts w:ascii="Yu Gothic" w:hAnsi="Yu Gothic" w:eastAsia="Yu Gothic"/>
          <w:b w:val="0"/>
          <w:i w:val="0"/>
          <w:color w:val="555555"/>
          <w:sz w:val="18"/>
        </w:rPr>
        <w:t>ターゲット顧客: 上場会社のWebマーケティング部門 + ネット広告代理店  /  作成: 2026年5月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val="clear" w:color="auto" w:fill="FFF8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1F3A5F"/>
                <w:sz w:val="20"/>
              </w:rPr>
              <w:t>③UVP: 瀧内本「AIO教科書」をソフトウェアで完全実装。測定→改修→効果検証→経営報告までワンプラットフォームで自動化する、日本市場初の統合型AIO基盤。</w:t>
            </w:r>
          </w:p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F3A5F"/>
                <w:sz w:val="20"/>
              </w:rPr>
              <w:t>年間1,500時間の手作業を100時間に圧縮し、AI時代のマーケROIを再定義する。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876"/>
            <w:vAlign w:val="top"/>
            <w:shd w:val="clear" w:color="auto" w:fill="FFE8E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①課題 (Problem) Top 5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・AI検索可視性の測定が手作業地獄(月12分超×多モデル×数百本)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・計測→改修(コンテンツ・Schema・CMS)が完全分断、4部門横断で1施策2-6週間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・AIO業界SOPが日本市場に存在せず属人化・知識流出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・経営/クライアントへのROI証明が困難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・既存ベンチマークツールは計測特化で改修・PR・経営報告まで届かない</w:t>
            </w:r>
          </w:p>
        </w:tc>
        <w:tc>
          <w:tcPr>
            <w:tcW w:type="dxa" w:w="4876"/>
            <w:vAlign w:val="top"/>
            <w:shd w:val="clear" w:color="auto" w:fill="E8EEF7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④ソリューション (Solution) - 主要機能8本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①SEO×AIO監査エンジン  ②文章構成最適化AI(PREP/FAQ/HowTo)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③プロンプト自動生成エンジン(CRM連携)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④文書構造化エンジン(JSON-LD自動+CMS PR起票)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⑤引用率測定エンジン(PDCA完全自動化+Signal/Noise)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⑥知識資産化アシスタント(llms.txt自動)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⑦Executive Reporter(CMO 3行サマリ+ROI物語)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⑧マルチテナント運用(代理店向けホワイトラベル)</w:t>
            </w:r>
          </w:p>
        </w:tc>
        <w:tc>
          <w:tcPr>
            <w:tcW w:type="dxa" w:w="4876"/>
            <w:vAlign w:val="top"/>
            <w:shd w:val="clear" w:color="auto" w:fill="FFF0F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②顧客セグメント (Customer Segments)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【主要①】上場企業Webマーケ部門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B2B SaaS / 金融 / 大手リテール / 製薬 / 通信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決裁: マーケ部長→CMO→CFO/取締役会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個人ペルソナ: Sr.Manager(GEO/AEO Lead)35-40代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【主要②】ネット広告代理店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50-300名規模、上場企業5-12社/担当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月額40-450万円リテイナー、Account Director</w:t>
            </w:r>
          </w:p>
        </w:tc>
      </w:tr>
      <w:tr>
        <w:tc>
          <w:tcPr>
            <w:tcW w:type="dxa" w:w="4876"/>
            <w:vAlign w:val="top"/>
            <w:shd w:val="clear" w:color="auto" w:fill="E8EEF7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⑧主要指標 (Key Metrics)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・ARR(24ヶ月で5億円目標)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・上場企業ロゴ獲得数 / 代理店パートナー数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・NRR 120%以上、CAC回収12ヶ月以内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・顧客平均Citation Rate改善量(導入前→3ヶ月後)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・自動生成CMS PR数 / 採用率</w:t>
            </w:r>
          </w:p>
        </w:tc>
        <w:tc>
          <w:tcPr>
            <w:tcW w:type="dxa" w:w="4876"/>
            <w:vAlign w:val="top"/>
            <w:shd w:val="clear" w:color="auto" w:fill="E0F4E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⑨圧倒的優位 (Unfair Advantage)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【1】瀧内本「AIO教科書」のソフトウェア実装で先行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【2】日本語LLM完全対応(Felo/Genspark/PKSHA)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【3】Signal/Noise Engine(統計的処理を商用実装)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【4】計測→改修PR→効果検証クローズドループ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【5】業界ベンチマーク独自蓄積データ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【6】上場企業×代理店の同時最適化</w:t>
            </w:r>
          </w:p>
        </w:tc>
        <w:tc>
          <w:tcPr>
            <w:tcW w:type="dxa" w:w="4876"/>
            <w:vAlign w:val="top"/>
            <w:shd w:val="clear" w:color="auto" w:fill="FFF4E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⑤チャネル (Channels)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1. ダイレクトセールス(エンプラ向け、PoC/CSM)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2. ネット広告代理店との戦略提携(売上シェア)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3. AIO教科書著者・SEO業界KOLとの連携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4. コンテンツマーケ(ベンチマーク/Webinar)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5. PLG(セルフサーブ)→アップセル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6. プロダクト統合(HubSpot/Salesforce AppExchange)</w:t>
            </w:r>
          </w:p>
        </w:tc>
      </w:tr>
      <w:tr>
        <w:tc>
          <w:tcPr>
            <w:tcW w:type="dxa" w:w="4876"/>
            <w:vAlign w:val="top"/>
            <w:shd w:val="clear" w:color="auto" w:fill="FFE8E8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⑦コスト構造 (Cost Structure)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【固定】開発5-10名、セールス/CSM 5-10名、管理2名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【変動】LLM API(顧客あたり月1-5万円)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 xml:space="preserve">   UIスクレイピング基盤(月100-500万円)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 xml:space="preserve">   クラウドインフラ(月50-300万円)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【一時】SOC 2 取得 1500-3000万円、PR/マーケ 1000-3000万円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損益分岐点: ARR 3億円(エンプラ30社相当)</w:t>
            </w:r>
          </w:p>
        </w:tc>
        <w:tc>
          <w:tcPr>
            <w:tcW w:type="dxa" w:w="4876"/>
            <w:vAlign w:val="top"/>
            <w:shd w:val="clear" w:color="auto" w:fill="FFF8E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③UVP (再掲)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書く前から書いた後まで、AIOを自動で回す。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─ Webマーケ向け『AIO版GitHub Copilot+Datadog』</w:t>
            </w:r>
          </w:p>
        </w:tc>
        <w:tc>
          <w:tcPr>
            <w:tcW w:type="dxa" w:w="4876"/>
            <w:vAlign w:val="top"/>
            <w:shd w:val="clear" w:color="auto" w:fill="E0F4E0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⑥収益の流れ (Revenue Streams)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【SaaS主軸】Starter月3万/Growth月10万/Business月30万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 xml:space="preserve">   Enterprise 月50-200万/代理店 月20万〜(クレジット制)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【補助】オンボード/コンサル 50-300万、CMSコネクタ開発 100-500万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 xml:space="preserve">   業界ベンチマークレポート 単発10-50万</w:t>
            </w:r>
          </w:p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i w:val="0"/>
                <w:color w:val="222222"/>
                <w:sz w:val="16"/>
              </w:rPr>
              <w:t>24ヶ月後: ARR 5億円目標(エンプラ50+代理店30+SMB200)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Yu Gothic" w:hAnsi="Yu Gothic" w:eastAsia="Yu Gothic"/>
          <w:b/>
          <w:i w:val="0"/>
          <w:color w:val="1F3A5F"/>
          <w:sz w:val="44"/>
        </w:rPr>
        <w:t>②顧客セグメント (Customer Segments) + ①課題 (Problem) 詳細</w:t>
      </w:r>
    </w:p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②顧客セグメント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3402"/>
            <w:shd w:val="clear" w:color="auto" w:fill="FFE0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【主要顧客①】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i w:val="0"/>
                <w:sz w:val="22"/>
              </w:rPr>
              <w:t>上場会社のWebマーケティング部門</w:t>
            </w:r>
          </w:p>
        </w:tc>
        <w:tc>
          <w:tcPr>
            <w:tcW w:type="dxa" w:w="11622"/>
            <w:shd w:val="clear" w:color="auto" w:fill="FFF8F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・想定: 東証プライム/グロース市場上場の事業会社、ARR/売上100億円〜数千億円規模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・業種優先順位: B2B SaaS &gt; 金融・保険 &gt; 大手リテール・EC &gt; 製薬・ヘルスケア &gt; 通信・メディア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・購買決裁ライン: マーケ部長/Director → CMO/VP Marketing → CFO/取締役会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・関与チーム: SEO/コンテンツ/PR/Web開発/法務/情シス/購買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・個人ペルソナ: Sr. Manager(GEO/AEO Lead)、30代後半、KGIはパイプライン貢献+ブランドVisibility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・既存ツール: GA4 / Search Console / Semrush / HubSpot / Salesforce / Looker</w:t>
            </w:r>
          </w:p>
        </w:tc>
      </w:tr>
      <w:tr>
        <w:tc>
          <w:tcPr>
            <w:tcW w:type="dxa" w:w="3402"/>
            <w:shd w:val="clear" w:color="auto" w:fill="FFE0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【主要顧客②】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i w:val="0"/>
                <w:sz w:val="22"/>
              </w:rPr>
              <w:t>ネット広告代理店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i w:val="0"/>
                <w:sz w:val="22"/>
              </w:rPr>
              <w:t>(上場企業をクライアントとする)</w:t>
            </w:r>
          </w:p>
        </w:tc>
        <w:tc>
          <w:tcPr>
            <w:tcW w:type="dxa" w:w="11622"/>
            <w:shd w:val="clear" w:color="auto" w:fill="FFF8F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・想定: 50-300名規模、SEO/コンテンツ/運用広告を展開、月額リテイナー型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・顧客層: 上場B2B SaaS 5-12社/担当、月額40〜450万円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・購買決裁ライン: Group Director / Partner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・個人ペルソナ: Account Director/GEO Lead、KGIはリテンション+新規受注+リテイナー単価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・既存ツール: Semrush / Ahrefs / GA4 / Looker Studio / AgencyAnalytics / Asana</w:t>
            </w:r>
          </w:p>
        </w:tc>
      </w:tr>
      <w:tr>
        <w:tc>
          <w:tcPr>
            <w:tcW w:type="dxa" w:w="3402"/>
            <w:shd w:val="clear" w:color="auto" w:fill="F5F5F5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【副次セグメント(将来拡張)】</w:t>
            </w:r>
          </w:p>
        </w:tc>
        <w:tc>
          <w:tcPr>
            <w:tcW w:type="dxa" w:w="1162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国内Tier 2のコンサルティングファーム、PR代理店、SI企業のマーケDX部門</w:t>
            </w:r>
          </w:p>
        </w:tc>
      </w:tr>
    </w:tbl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①課題 (Top 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1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AI検索可視性の測定が手作業地獄(月12.5分×多モデル×多プロンプト=実質数時間)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2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計測→改修(コンテンツ・Schema・CMS入稿)が完全分断、4部門横断で1施策2-6週間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3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AIO業界SOPが日本市場に存在せず、各社が独自にゼロから設計→属人化・知識流出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4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経営/クライアントへのROI証明が困難(Visibility→売上の因果が示せない、業界ベンチマーク無し)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5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ノイズ(LLM揺らぎ)とシグナルの分離が統計的にできず、誤検知or見逃しが頻発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6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多言語・多リージョン・サブブランドへのスケール対応で人手が爆発(代理店は3社目で破綻)</w:t>
            </w:r>
          </w:p>
        </w:tc>
      </w:tr>
      <w:tr>
        <w:tc>
          <w:tcPr>
            <w:tcW w:type="dxa" w:w="454"/>
            <w:shd w:val="clear" w:color="auto" w:fill="FFE0E0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C04000"/>
                <w:sz w:val="22"/>
              </w:rPr>
              <w:t>7</w:t>
            </w:r>
          </w:p>
        </w:tc>
        <w:tc>
          <w:tcPr>
            <w:tcW w:type="dxa" w:w="145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既存ベンチマークツール(Profound/Peec/Passionfruit)は計測特化で改修・PR・経営報告まで届かない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Yu Gothic" w:hAnsi="Yu Gothic" w:eastAsia="Yu Gothic"/>
          <w:b/>
          <w:i w:val="0"/>
          <w:color w:val="1F3A5F"/>
          <w:sz w:val="44"/>
        </w:rPr>
        <w:t>④ソリューション (Solution) + ⑨圧倒的優位 (Unfair Advantage)</w:t>
      </w:r>
    </w:p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④ソリューション - AIOピラミッド全層をカバーする主要機能8本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54"/>
            <w:shd w:val="clear" w:color="auto" w:fill="2E5C8A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2E5C8A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機能名</w:t>
            </w:r>
          </w:p>
        </w:tc>
        <w:tc>
          <w:tcPr>
            <w:tcW w:type="dxa" w:w="10602"/>
            <w:shd w:val="clear" w:color="auto" w:fill="2E5C8A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①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SEO×AIO監査エンジン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既存サイトのHTML階層・構造化データ・E-E-A-T充足度を自動診断。AIOピラミッド層別ギャップ可視化と90日ロードマップ自動生成。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②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文章構成最適化AI(教科書Ch.2準拠)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PREP法→FAQ構文→HowTo構文への自動リライト。既存ページを取り込み、AEO対応版を提案。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③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プロンプト自動生成エンジン(教科書Ch.1+4準拠)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自社URL+CRM(Salesforce/HubSpot)+営業会話(Gong/Zoom)から、ICP×購買ファネル×製品でMoney Promptを30-1,000本自動生成。「なぜこのプロンプトか」をAIが自動文書化(属人化解消)。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④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文書構造化エンジン(教科書Ch.3準拠)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JSON-LD自動生成(FAQPage/HowTo/Article/Person/Organization)。Evidence+Reference自動挿入。GitHub/Webflow/WordPress API連携でCMSにPR自動起票。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⑤</w:t>
            </w:r>
          </w:p>
        </w:tc>
        <w:tc>
          <w:tcPr>
            <w:tcW w:type="dxa" w:w="3969"/>
            <w:shd w:val="clear" w:color="auto" w:fill="FF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引用率測定エンジン(教科書Ch.4 PDCA完全自動化) ★中核</w:t>
            </w:r>
          </w:p>
        </w:tc>
        <w:tc>
          <w:tcPr>
            <w:tcW w:type="dxa" w:w="10602"/>
            <w:shd w:val="clear" w:color="auto" w:fill="FF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LLM API+UIスクレイピングで毎日プロンプト実行。Citation Rate自動算出、FAQ管理表/記録表/集計表を自動更新。70%閾値割れで自動アラート、原因分析AIが改修候補提示。Signal/Noise Engine: LLM揺らぎを統計的に除去。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⑥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知識資産化アシスタント(教科書Ch.5準拠)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llms.txt自動生成・更新。Perplexity/Gemini/ChatGPT別の最適化レコメンド。更新頻度・一貫性スコアを継続監視。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⑦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Executive Reporter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CMO向け3行サマリ自動生成(前月比/カテゴリ/競合差分)。QBR用デック自動作成、ROI物語AI(過去成功事例DBから類似ストーリー提示)。業界ベンチマーク同梱。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20" w:before="0"/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⑧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代理店向けマルチテナント運用</w:t>
            </w:r>
          </w:p>
        </w:tc>
        <w:tc>
          <w:tcPr>
            <w:tcW w:type="dxa" w:w="10602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クライアント別ホワイトラベル(ロゴ/カラー/独自ドメイン/送信元メール)。クレジット制(プロンプト枠を流動配分)、全プラン無制限シート。Pitch環境(無料即発行、契約条件で自動失効)。</w:t>
            </w:r>
          </w:p>
        </w:tc>
      </w:tr>
    </w:tbl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⑨圧倒的優位 - 6つの参入障壁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【1】AIO教科書のソフトウェア実装で先行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瀧内賢氏「AIO教科書」(2026年3月技術評論社)をプロダクト化する世界初のソフトウェア。著者監修・推奨・共同マーケが成立すれば差別化決定打。</w:t>
            </w:r>
          </w:p>
        </w:tc>
      </w:tr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【2】日本語LLM完全対応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Felo/Genspark/PKSHA/国産LLMの完全カバー。Profound/Peec/Passionfruitの最弱点を突く。Perplexity日本語/ChatGPT日本語/Gemini日本語の最適化分離。</w:t>
            </w:r>
          </w:p>
        </w:tc>
      </w:tr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【3】Signal/Noise Engine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LLM評価の研究フロンティア(Ai2 framework等)を商用実装。競合3社は閾値ベース判定、当社は信頼区間付き判定で誤検知激減。</w:t>
            </w:r>
          </w:p>
        </w:tc>
      </w:tr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【4】計測→改修PR→効果検証のクローズドループ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競合3社は計測特化、当社のみCMS PR自動起票・改修ロジック蓄積まで実装。「測って終わり」を脱する唯一のプラットフォーム。</w:t>
            </w:r>
          </w:p>
        </w:tc>
      </w:tr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【5】業界ベンチマーク独自蓄積データ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顧客横断データ(匿名化)から業種別中央値・上位10%を提示。経営説得力の決定的な武器。</w:t>
            </w:r>
          </w:p>
        </w:tc>
      </w:tr>
      <w:tr>
        <w:tc>
          <w:tcPr>
            <w:tcW w:type="dxa" w:w="2835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2E7A4E"/>
                <w:sz w:val="20"/>
              </w:rPr>
              <w:t>【6】上場企業×代理店の同時最適化</w:t>
            </w:r>
          </w:p>
        </w:tc>
        <w:tc>
          <w:tcPr>
            <w:tcW w:type="dxa" w:w="1218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一般的なSaaSは「直販 vs 代理店」を二者択一にするが、当社は同一プラットフォームで両セグメント最適化(クレジット制+ホワイトラベル+Pitch)。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Yu Gothic" w:hAnsi="Yu Gothic" w:eastAsia="Yu Gothic"/>
          <w:b/>
          <w:i w:val="0"/>
          <w:color w:val="1F3A5F"/>
          <w:sz w:val="44"/>
        </w:rPr>
        <w:t>⑤チャネル + ⑥収益 + ⑦コスト + ⑧主要指標</w:t>
      </w:r>
    </w:p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⑤チャネル (Channels)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70"/>
            <w:shd w:val="clear" w:color="auto" w:fill="FF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C9622A"/>
                <w:sz w:val="20"/>
              </w:rPr>
              <w:t>【主要チャネル】</w:t>
            </w:r>
          </w:p>
        </w:tc>
        <w:tc>
          <w:tcPr>
            <w:tcW w:type="dxa" w:w="7654"/>
            <w:shd w:val="clear" w:color="auto" w:fill="FF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C9622A"/>
                <w:sz w:val="20"/>
              </w:rPr>
              <w:t>【サブチャネル】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1. ダイレクトセールス(エンタープライズ向け): 上場企業マーケ部門への営業/PoC/CSM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2. パートナーシップ販売: 大手ネット広告代理店との戦略提携(売上シェアモデル)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3. 著者・専門家ネットワーク: AIO教科書著者瀧内氏/SEO業界KOLとの連携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4. コンテンツマーケ: ベンチマークレポート・業界調査・Webinar公開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5. PLG(セルフサーブ): 下位プランで個人事業主・SMBを獲得→アップセル</w:t>
            </w:r>
          </w:p>
        </w:tc>
        <w:tc>
          <w:tcPr>
            <w:tcW w:type="dxa" w:w="7654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6. 業界カンファレンス(MarkeZine Day, AdTech Tokyo, Adobe Summit Japan等)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7. プロダクト統合パートナー(HubSpot Marketplace, Salesforce AppExchange)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18"/>
              </w:rPr>
              <w:t>8. メディア掲載(日経クロストレンド, MarkeZine, Web担当者Forum)</w:t>
            </w:r>
          </w:p>
        </w:tc>
      </w:tr>
    </w:tbl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⑥収益の流れ (Revenue Streams)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3118"/>
            <w:shd w:val="clear" w:color="auto" w:fill="2E7A4E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プラン</w:t>
            </w:r>
          </w:p>
        </w:tc>
        <w:tc>
          <w:tcPr>
            <w:tcW w:type="dxa" w:w="3969"/>
            <w:shd w:val="clear" w:color="auto" w:fill="2E7A4E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価格</w:t>
            </w:r>
          </w:p>
        </w:tc>
        <w:tc>
          <w:tcPr>
            <w:tcW w:type="dxa" w:w="7937"/>
            <w:shd w:val="clear" w:color="auto" w:fill="2E7A4E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対象/特徴</w:t>
            </w:r>
          </w:p>
        </w:tc>
      </w:tr>
      <w:tr>
        <w:tc>
          <w:tcPr>
            <w:tcW w:type="dxa" w:w="3118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Starter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月額3万円〜</w:t>
            </w:r>
          </w:p>
        </w:tc>
        <w:tc>
          <w:tcPr>
            <w:tcW w:type="dxa" w:w="793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50プロンプト、3LLMモデル、SMB向けセルフサーブ</w:t>
            </w:r>
          </w:p>
        </w:tc>
      </w:tr>
      <w:tr>
        <w:tc>
          <w:tcPr>
            <w:tcW w:type="dxa" w:w="3118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Growth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月額10万円</w:t>
            </w:r>
          </w:p>
        </w:tc>
        <w:tc>
          <w:tcPr>
            <w:tcW w:type="dxa" w:w="793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150プロンプト、5LLM、CMS連携1個</w:t>
            </w:r>
          </w:p>
        </w:tc>
      </w:tr>
      <w:tr>
        <w:tc>
          <w:tcPr>
            <w:tcW w:type="dxa" w:w="3118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Business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月額30万円</w:t>
            </w:r>
          </w:p>
        </w:tc>
        <w:tc>
          <w:tcPr>
            <w:tcW w:type="dxa" w:w="793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500プロンプト、全LLM、CMS連携無制限、CSM</w:t>
            </w:r>
          </w:p>
        </w:tc>
      </w:tr>
      <w:tr>
        <w:tc>
          <w:tcPr>
            <w:tcW w:type="dxa" w:w="3118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Enterprise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月額50-200万円</w:t>
            </w:r>
          </w:p>
        </w:tc>
        <w:tc>
          <w:tcPr>
            <w:tcW w:type="dxa" w:w="793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無制限プロンプト、SOC 2、SSO、専任CSM、API</w:t>
            </w:r>
          </w:p>
        </w:tc>
      </w:tr>
      <w:tr>
        <w:tc>
          <w:tcPr>
            <w:tcW w:type="dxa" w:w="3118"/>
            <w:shd w:val="clear" w:color="auto" w:fill="E0F4E0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代理店プラン</w:t>
            </w:r>
          </w:p>
        </w:tc>
        <w:tc>
          <w:tcPr>
            <w:tcW w:type="dxa" w:w="3969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月額20万円〜</w:t>
            </w:r>
          </w:p>
        </w:tc>
        <w:tc>
          <w:tcPr>
            <w:tcW w:type="dxa" w:w="793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クレジット制、ホワイトラベル、Pitch環境、無制限シート</w:t>
            </w:r>
          </w:p>
        </w:tc>
      </w:tr>
    </w:tbl>
    <w:p>
      <w:pPr>
        <w:spacing w:after="60"/>
      </w:pPr>
      <w:r>
        <w:rPr>
          <w:rFonts w:ascii="Yu Gothic" w:hAnsi="Yu Gothic" w:eastAsia="Yu Gothic"/>
          <w:b w:val="0"/>
          <w:i w:val="0"/>
          <w:color w:val="555555"/>
          <w:sz w:val="18"/>
        </w:rPr>
        <w:t>【補助収益】オンボード/コンサル スポット50-300万円、カスタムCMSコネクタ開発 100-500万円、業界ベンチマークレポート販売 10-50万円</w:t>
      </w:r>
    </w:p>
    <w:p>
      <w:pPr>
        <w:spacing w:after="60"/>
      </w:pPr>
      <w:r>
        <w:rPr>
          <w:rFonts w:ascii="Yu Gothic" w:hAnsi="Yu Gothic" w:eastAsia="Yu Gothic"/>
          <w:b/>
          <w:i w:val="0"/>
          <w:color w:val="2E7A4E"/>
          <w:sz w:val="20"/>
        </w:rPr>
        <w:t>【KPI想定】24ヶ月で ARR 5億円(エンプラ50社 + 代理店30社 + SMB 200社)</w:t>
      </w:r>
    </w:p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⑦コスト構造 (Cost Structure)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2268"/>
            <w:shd w:val="clear" w:color="auto" w:fill="FFE8E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【固定費】</w:t>
            </w:r>
          </w:p>
        </w:tc>
        <w:tc>
          <w:tcPr>
            <w:tcW w:type="dxa" w:w="12756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開発人件費(エンジニア5-10名 年4,000-8,000万円) + セールス/CSM(5-10名 年4,000-8,000万円) + 経営/管理(年2,000万円) + オフィス/SaaS管理(年500-1,000万円)</w:t>
            </w:r>
          </w:p>
        </w:tc>
      </w:tr>
      <w:tr>
        <w:tc>
          <w:tcPr>
            <w:tcW w:type="dxa" w:w="2268"/>
            <w:shd w:val="clear" w:color="auto" w:fill="FFE8E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【変動費】</w:t>
            </w:r>
          </w:p>
        </w:tc>
        <w:tc>
          <w:tcPr>
            <w:tcW w:type="dxa" w:w="12756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LLM API利用料(1顧客月1-5万円) + UIスクレイピング基盤運用(月100-500万円) + クラウドインフラ(月50-300万円)</w:t>
            </w:r>
          </w:p>
        </w:tc>
      </w:tr>
      <w:tr>
        <w:tc>
          <w:tcPr>
            <w:tcW w:type="dxa" w:w="2268"/>
            <w:shd w:val="clear" w:color="auto" w:fill="FFE8E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【一時費用】</w:t>
            </w:r>
          </w:p>
        </w:tc>
        <w:tc>
          <w:tcPr>
            <w:tcW w:type="dxa" w:w="12756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SOC 2 Type II取得 1,500-3,000万円(初年度) + 業界ベンチマーク用パートナーシップ 500-1,000万円 + PR/マーケティング初期投資 1,000-3,000万円</w:t>
            </w:r>
          </w:p>
        </w:tc>
      </w:tr>
      <w:tr>
        <w:tc>
          <w:tcPr>
            <w:tcW w:type="dxa" w:w="2268"/>
            <w:shd w:val="clear" w:color="auto" w:fill="FFE8E8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【損益分岐点】</w:t>
            </w:r>
          </w:p>
        </w:tc>
        <w:tc>
          <w:tcPr>
            <w:tcW w:type="dxa" w:w="12756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ARR 3億円(エンプラ30社相当)</w:t>
            </w:r>
          </w:p>
        </w:tc>
      </w:tr>
    </w:tbl>
    <w:p>
      <w:pPr>
        <w:spacing w:before="120" w:after="80"/>
      </w:pPr>
      <w:r>
        <w:rPr>
          <w:rFonts w:ascii="Yu Gothic" w:hAnsi="Yu Gothic" w:eastAsia="Yu Gothic"/>
          <w:b/>
          <w:i w:val="0"/>
          <w:color w:val="2E5C8A"/>
          <w:sz w:val="26"/>
        </w:rPr>
        <w:t>⑧主要指標 (Key Metrics)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5006"/>
            <w:shd w:val="clear" w:color="auto" w:fill="E8EEF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【グロース指標】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・ARR(24ヶ月で5億円目標)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・上場企業ロゴ獲得数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・代理店パートナー数 / 管理クライアント数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・NRR 120%以上</w:t>
            </w:r>
          </w:p>
        </w:tc>
        <w:tc>
          <w:tcPr>
            <w:tcW w:type="dxa" w:w="5006"/>
            <w:shd w:val="clear" w:color="auto" w:fill="E8EEF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【プロダクト指標】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・顧客平均Citation Rate改善量(導入前→3ヶ月後)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・月間プロンプト実行数(プラットフォーム全体)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・自動生成CMS PR数 / 採用率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・経営報告自動生成回数 / 顧客満足度</w:t>
            </w:r>
          </w:p>
        </w:tc>
        <w:tc>
          <w:tcPr>
            <w:tcW w:type="dxa" w:w="5006"/>
            <w:shd w:val="clear" w:color="auto" w:fill="E8EEF7"/>
            <w:vAlign w:val="top"/>
          </w:tcPr>
          <w:p>
            <w:pPr>
              <w:spacing w:after="2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【効率指標】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・CAC回収期間 12ヶ月以内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・LTV/CAC比率 3倍以上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・セルフサーブ→有料転換率 5%以上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・エンタープライズ商談勝率 30%以上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