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B59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18"/>
        </w:rPr>
        <w:t>实验评估  /  BUSINESS EDITION</w:t>
      </w:r>
    </w:p>
    <w:p w14:paraId="7B250EA1">
      <w:pPr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41"/>
        </w:rPr>
        <w:t>LLM-Prompt 过载与边际效用验证评估报告</w:t>
      </w:r>
    </w:p>
    <w:p w14:paraId="13C9A4BC">
      <w:pPr>
        <w:pageBreakBefore w:val="0"/>
        <w:pBdr>
          <w:bottom w:val="single" w:color="2E74B5" w:sz="16" w:space="8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667085"/>
          <w:sz w:val="23"/>
        </w:rPr>
        <w:t>给 AI 提要求，提到什么程度更稳</w:t>
      </w:r>
    </w:p>
    <w:p w14:paraId="59351D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667085"/>
          <w:sz w:val="18"/>
        </w:rPr>
        <w:t>报告日期：2026-08-04</w:t>
      </w:r>
    </w:p>
    <w:p w14:paraId="6A4CFB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667085"/>
          <w:sz w:val="18"/>
        </w:rPr>
        <w:t>阅读对象：业务负责人、需求提出方、产品与交付管理人员</w:t>
      </w:r>
    </w:p>
    <w:p w14:paraId="0CFB9D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667085"/>
          <w:sz w:val="18"/>
        </w:rPr>
        <w:t>报告性质：首轮探索性结论，不用于宣布通用 Prompt 阈值</w:t>
      </w:r>
    </w:p>
    <w:p w14:paraId="45259C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667085"/>
          <w:sz w:val="18"/>
        </w:rPr>
        <w:t>实验边界：本实验独立于本项目的“智能问数”和“智能报告”功能，仅用于直观展示 Prompt 过载与边际效用风险</w:t>
      </w:r>
    </w:p>
    <w:p w14:paraId="08D539E6">
      <w:pPr>
        <w:pageBreakBefore w:val="0"/>
        <w:pBdr>
          <w:left w:val="single" w:color="B7791F" w:sz="18" w:space="8"/>
        </w:pBdr>
        <w:shd w:val="clear" w:fill="FFF7E6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202"/>
        <w:textAlignment w:val="auto"/>
      </w:pPr>
      <w:r>
        <w:rPr>
          <w:rFonts w:ascii="Arial Unicode MS" w:hAnsi="Arial Unicode MS" w:eastAsia="Arial Unicode MS"/>
          <w:b/>
          <w:color w:val="243447"/>
          <w:sz w:val="19"/>
        </w:rPr>
        <w:t>阅读提示：本报告用于建立业务风险认知。B 是首轮候选形态，不是免检版本；任何组都没有达到可取消程序核验和人工签发的证据水平。</w:t>
      </w:r>
    </w:p>
    <w:p w14:paraId="506984AA">
      <w:pPr>
        <w:pStyle w:val="3"/>
        <w:pageBreakBefore w:val="0"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先看结论</w:t>
      </w:r>
    </w:p>
    <w:p w14:paraId="375D34BB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/>
          <w:color w:val="243447"/>
          <w:sz w:val="21"/>
        </w:rPr>
        <w:t>首轮结果没有证明“Prompt 越短越好”，而是给出一个更稳妥的信号：加入少量关键业务规则的 B 组出现了可控性代理指标改善；在规则继续增加的组中，同时观察到成本上升、篇幅失控和核心准确性下降的自动评估信号；在互相冲突的要求下，则观察到模型静默取舍。准确率变化仍需统一重评和人工校准后确认。</w:t>
      </w:r>
    </w:p>
    <w:p w14:paraId="1A5552F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当前可以确认</w:t>
      </w:r>
    </w:p>
    <w:p w14:paraId="60C2F7F7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五组共 150 份报告全部生成成功，使用同一模型、同一份数据和同一温度参数。</w:t>
      </w:r>
    </w:p>
    <w:p w14:paraId="0BD7112F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B 组加入一组关键业务规则后，事实底线的自动初评明显优于 A；但 B 仍只有 23% 的完整评审样本同时通过六项共同规则，不能无人复核使用。</w:t>
      </w:r>
    </w:p>
    <w:p w14:paraId="59FF4E38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D-Clean 加入大量句长、词频和固定收尾等微操后，30 份中只有 1 份满足篇幅要求，且耗时和隐藏推理成本大幅增加。</w:t>
      </w:r>
    </w:p>
    <w:p w14:paraId="6D3C7F8A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D-Conflict 的报告长度和结构最不稳定；在 24 份完整评审中，有 8 份没有守住房地产投资和出口下降的事实方向。</w:t>
      </w:r>
    </w:p>
    <w:p w14:paraId="4854CB16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当前还不能确认</w:t>
      </w:r>
    </w:p>
    <w:p w14:paraId="0D0FA781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不能宣布 B 就是适用于所有场景的“黄金 Prompt”。</w:t>
      </w:r>
    </w:p>
    <w:p w14:paraId="3FFE569A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不能断言 C 的指标下降完全由“模型注意力被挤压”造成，因为自动评审仍有误判和语境污染。</w:t>
      </w:r>
    </w:p>
    <w:p w14:paraId="38826A54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不能用 D-Clean 仅 6 份完整语义评审推断全组事实准确率。</w:t>
      </w:r>
    </w:p>
    <w:p w14:paraId="6D876D28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不能把 D-Clean 与 D-Conflict 的差异全部归因于“冲突”；冲突组本身更长、规则也更多。</w:t>
      </w:r>
    </w:p>
    <w:p w14:paraId="49C4C6C7">
      <w:pPr>
        <w:pStyle w:val="3"/>
        <w:pageBreakBefore w:val="0"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1. 实验是怎么做的</w:t>
      </w:r>
    </w:p>
    <w:p w14:paraId="59CD0AE8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我们准备了一份虚构城市“海州市”的季度经济数据，让同一个大模型在五种 Prompt 下各写 30 份分析报告，共 150 份。所有生成调用都成功，模型版本指纹一致，温度均为 0.01。</w:t>
      </w:r>
    </w:p>
    <w:p w14:paraId="09B45923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五组不是一条完全连续的阶梯，而是从 C 分成两条压力测试支路：</w:t>
      </w:r>
    </w:p>
    <w:p w14:paraId="16ABF930">
      <w:pPr>
        <w:pageBreakBefore w:val="0"/>
        <w:pBdr>
          <w:left w:val="single" w:color="D9E2E8" w:sz="10" w:space="6"/>
        </w:pBdr>
        <w:shd w:val="clear" w:fill="F3F5F7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9" w:lineRule="auto"/>
        <w:ind w:left="173" w:right="115"/>
        <w:textAlignment w:val="auto"/>
      </w:pPr>
      <w:r>
        <w:rPr>
          <w:rFonts w:ascii="Consolas" w:hAnsi="Consolas" w:eastAsia="Arial Unicode MS"/>
          <w:color w:val="243447"/>
          <w:sz w:val="17"/>
        </w:rPr>
        <w:t>A 基线 → B 关键业务规则 → C 完备质量规则 → D-Clean 成文微操加码</w:t>
      </w:r>
      <w:r>
        <w:rPr>
          <w:rFonts w:ascii="Consolas" w:hAnsi="Consolas" w:eastAsia="Arial Unicode MS"/>
          <w:color w:val="243447"/>
          <w:sz w:val="17"/>
        </w:rPr>
        <w:br w:type="textWrapping"/>
      </w:r>
      <w:r>
        <w:rPr>
          <w:rFonts w:ascii="Consolas" w:hAnsi="Consolas" w:eastAsia="Arial Unicode MS"/>
          <w:color w:val="243447"/>
          <w:sz w:val="17"/>
        </w:rPr>
        <w:t xml:space="preserve">                                     └──────→ D-Conflict 冲突要求压测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5608"/>
        <w:gridCol w:w="2552"/>
      </w:tblGrid>
      <w:tr w14:paraId="591154FE">
        <w:trPr>
          <w:cantSplit/>
          <w:trHeight w:val="0" w:hRule="atLeast"/>
          <w:tblHeader/>
        </w:trPr>
        <w:tc>
          <w:tcPr>
            <w:tcW w:w="120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1362E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组别</w:t>
            </w:r>
          </w:p>
        </w:tc>
        <w:tc>
          <w:tcPr>
            <w:tcW w:w="5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A2234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实际增加的要求</w:t>
            </w:r>
          </w:p>
        </w:tc>
        <w:tc>
          <w:tcPr>
            <w:tcW w:w="255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2DBC6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代表状态</w:t>
            </w:r>
          </w:p>
        </w:tc>
      </w:tr>
      <w:tr w14:paraId="327040CE">
        <w:trPr>
          <w:cantSplit/>
        </w:trPr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FA76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A</w:t>
            </w:r>
          </w:p>
        </w:tc>
        <w:tc>
          <w:tcPr>
            <w:tcW w:w="5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6B3C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有 6 条共同底线，但不规定指标选择、排序、结构和溯源</w:t>
            </w:r>
          </w:p>
        </w:tc>
        <w:tc>
          <w:tcPr>
            <w:tcW w:w="2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9FB8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业务规则相对不完备</w:t>
            </w:r>
          </w:p>
        </w:tc>
      </w:tr>
      <w:tr w14:paraId="729A63F3">
        <w:trPr>
          <w:cantSplit/>
        </w:trPr>
        <w:tc>
          <w:tcPr>
            <w:tcW w:w="120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1404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B</w:t>
            </w:r>
          </w:p>
        </w:tc>
        <w:tc>
          <w:tcPr>
            <w:tcW w:w="560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4008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增加指标选择、固定结构、行业/区域比较、风险选择和基本溯源</w:t>
            </w:r>
          </w:p>
        </w:tc>
        <w:tc>
          <w:tcPr>
            <w:tcW w:w="255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2C3F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少量关键业务规则</w:t>
            </w:r>
          </w:p>
        </w:tc>
      </w:tr>
      <w:tr w14:paraId="79D29799">
        <w:trPr>
          <w:cantSplit/>
        </w:trPr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62D2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C</w:t>
            </w:r>
          </w:p>
        </w:tc>
        <w:tc>
          <w:tcPr>
            <w:tcW w:w="5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BC13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增加口径、证据完整性、缺失值和风险治理</w:t>
            </w:r>
          </w:p>
        </w:tc>
        <w:tc>
          <w:tcPr>
            <w:tcW w:w="2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D021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较完备的业务质量规则</w:t>
            </w:r>
          </w:p>
        </w:tc>
      </w:tr>
      <w:tr w14:paraId="1F3F1867">
        <w:trPr>
          <w:cantSplit/>
        </w:trPr>
        <w:tc>
          <w:tcPr>
            <w:tcW w:w="120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9270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D-Clean</w:t>
            </w:r>
          </w:p>
        </w:tc>
        <w:tc>
          <w:tcPr>
            <w:tcW w:w="5608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FF77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再加句长、词频、禁用表达、固定收尾等微操</w:t>
            </w:r>
          </w:p>
        </w:tc>
        <w:tc>
          <w:tcPr>
            <w:tcW w:w="2552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8A89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无明显冲突但严重高负载</w:t>
            </w:r>
          </w:p>
        </w:tc>
      </w:tr>
      <w:tr w14:paraId="089D147F">
        <w:trPr>
          <w:cantSplit/>
        </w:trPr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6328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D-Conflict</w:t>
            </w:r>
          </w:p>
        </w:tc>
        <w:tc>
          <w:tcPr>
            <w:tcW w:w="5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9E31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模拟多方提出大量细碎、含糊和互相冲突的要求</w:t>
            </w:r>
          </w:p>
        </w:tc>
        <w:tc>
          <w:tcPr>
            <w:tcW w:w="2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68EB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极端失败压测</w:t>
            </w:r>
          </w:p>
        </w:tc>
      </w:tr>
    </w:tbl>
    <w:p w14:paraId="104EF5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7BCD9402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评价分为两类：</w:t>
      </w:r>
    </w:p>
    <w:p w14:paraId="2CBF76E8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textAlignment w:val="auto"/>
      </w:pPr>
      <w:r>
        <w:rPr>
          <w:rFonts w:ascii="Arial Unicode MS" w:hAnsi="Arial Unicode MS" w:eastAsia="Arial Unicode MS"/>
          <w:b/>
          <w:color w:val="243447"/>
          <w:sz w:val="20"/>
        </w:rPr>
        <w:t>程序检查</w:t>
      </w:r>
      <w:r>
        <w:rPr>
          <w:rFonts w:ascii="Arial Unicode MS" w:hAnsi="Arial Unicode MS" w:eastAsia="Arial Unicode MS"/>
          <w:b w:val="0"/>
          <w:color w:val="243447"/>
          <w:sz w:val="20"/>
        </w:rPr>
        <w:t>：例如篇幅、结构、证据编号等，可覆盖全部 150 份，结果较稳定。</w:t>
      </w:r>
    </w:p>
    <w:p w14:paraId="6BDBF7CE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textAlignment w:val="auto"/>
      </w:pPr>
      <w:r>
        <w:rPr>
          <w:rFonts w:ascii="Arial Unicode MS" w:hAnsi="Arial Unicode MS" w:eastAsia="Arial Unicode MS"/>
          <w:b/>
          <w:color w:val="243447"/>
          <w:sz w:val="20"/>
        </w:rPr>
        <w:t>LLM 自动评审</w:t>
      </w:r>
      <w:r>
        <w:rPr>
          <w:rFonts w:ascii="Arial Unicode MS" w:hAnsi="Arial Unicode MS" w:eastAsia="Arial Unicode MS"/>
          <w:b w:val="0"/>
          <w:color w:val="243447"/>
          <w:sz w:val="20"/>
        </w:rPr>
        <w:t>：检查事实边界、准确性和阅读质量。由于评审链路故障，只有 111/150 份获得完整结果，且尚未完成人工校准，因此只作为首轮信号。</w:t>
      </w:r>
    </w:p>
    <w:p w14:paraId="504800F0">
      <w:pPr>
        <w:pStyle w:val="3"/>
        <w:pageBreakBefore w:val="0"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2. 五组结果怎么理解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376"/>
        <w:gridCol w:w="2136"/>
        <w:gridCol w:w="2026"/>
        <w:gridCol w:w="2705"/>
      </w:tblGrid>
      <w:tr w14:paraId="401CB2AB">
        <w:trPr>
          <w:cantSplit/>
          <w:trHeight w:val="0" w:hRule="atLeast"/>
          <w:tblHeader/>
        </w:trPr>
        <w:tc>
          <w:tcPr>
            <w:tcW w:w="11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AE0A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组别</w:t>
            </w:r>
          </w:p>
        </w:tc>
        <w:tc>
          <w:tcPr>
            <w:tcW w:w="137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78BAB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完整自动评审</w:t>
            </w:r>
          </w:p>
        </w:tc>
        <w:tc>
          <w:tcPr>
            <w:tcW w:w="213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85A60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共享事实底线初评通过</w:t>
            </w:r>
          </w:p>
        </w:tc>
        <w:tc>
          <w:tcPr>
            <w:tcW w:w="202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4C01A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六项共同规则全通过</w:t>
            </w:r>
          </w:p>
        </w:tc>
        <w:tc>
          <w:tcPr>
            <w:tcW w:w="270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107D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当前业务判读</w:t>
            </w:r>
          </w:p>
        </w:tc>
      </w:tr>
      <w:tr w14:paraId="73E6CE28">
        <w:trPr>
          <w:cantSplit/>
        </w:trPr>
        <w:tc>
          <w:tcPr>
            <w:tcW w:w="11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7936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A</w:t>
            </w:r>
          </w:p>
        </w:tc>
        <w:tc>
          <w:tcPr>
            <w:tcW w:w="1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D335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28/30</w:t>
            </w:r>
          </w:p>
        </w:tc>
        <w:tc>
          <w:tcPr>
            <w:tcW w:w="21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F498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9/28（32.1%）</w:t>
            </w:r>
          </w:p>
        </w:tc>
        <w:tc>
          <w:tcPr>
            <w:tcW w:w="2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2700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5/28（17.9%）</w:t>
            </w:r>
          </w:p>
        </w:tc>
        <w:tc>
          <w:tcPr>
            <w:tcW w:w="2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D201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表达自然，但规则不完备、可控性不足</w:t>
            </w:r>
          </w:p>
        </w:tc>
      </w:tr>
      <w:tr w14:paraId="5A9C46EA">
        <w:trPr>
          <w:cantSplit/>
        </w:trPr>
        <w:tc>
          <w:tcPr>
            <w:tcW w:w="111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B401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B</w:t>
            </w:r>
          </w:p>
        </w:tc>
        <w:tc>
          <w:tcPr>
            <w:tcW w:w="137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97DE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26/30</w:t>
            </w:r>
          </w:p>
        </w:tc>
        <w:tc>
          <w:tcPr>
            <w:tcW w:w="213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2B24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23/26（88.5%）</w:t>
            </w:r>
          </w:p>
        </w:tc>
        <w:tc>
          <w:tcPr>
            <w:tcW w:w="202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48EA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6/26（23.1%）</w:t>
            </w:r>
          </w:p>
        </w:tc>
        <w:tc>
          <w:tcPr>
            <w:tcW w:w="270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17B9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当前最佳候选形态，仍不可无人复核</w:t>
            </w:r>
          </w:p>
        </w:tc>
      </w:tr>
      <w:tr w14:paraId="51ACF658">
        <w:trPr>
          <w:cantSplit/>
        </w:trPr>
        <w:tc>
          <w:tcPr>
            <w:tcW w:w="11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BA79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C</w:t>
            </w:r>
          </w:p>
        </w:tc>
        <w:tc>
          <w:tcPr>
            <w:tcW w:w="1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3368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27/30</w:t>
            </w:r>
          </w:p>
        </w:tc>
        <w:tc>
          <w:tcPr>
            <w:tcW w:w="21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FC59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11/27（40.7%）</w:t>
            </w:r>
          </w:p>
        </w:tc>
        <w:tc>
          <w:tcPr>
            <w:tcW w:w="2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10C4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4/27（14.8%）</w:t>
            </w:r>
          </w:p>
        </w:tc>
        <w:tc>
          <w:tcPr>
            <w:tcW w:w="2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97B6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出现负边际信号，需统一重评确认</w:t>
            </w:r>
          </w:p>
        </w:tc>
      </w:tr>
      <w:tr w14:paraId="1708B347">
        <w:trPr>
          <w:cantSplit/>
        </w:trPr>
        <w:tc>
          <w:tcPr>
            <w:tcW w:w="111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4C2F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D-Clean</w:t>
            </w:r>
          </w:p>
        </w:tc>
        <w:tc>
          <w:tcPr>
            <w:tcW w:w="137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E63C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6/30</w:t>
            </w:r>
          </w:p>
        </w:tc>
        <w:tc>
          <w:tcPr>
            <w:tcW w:w="213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454A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样本不足</w:t>
            </w:r>
          </w:p>
        </w:tc>
        <w:tc>
          <w:tcPr>
            <w:tcW w:w="202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8F4D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0/6</w:t>
            </w:r>
          </w:p>
        </w:tc>
        <w:tc>
          <w:tcPr>
            <w:tcW w:w="2705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127D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只可确认成本和确定性格式失控</w:t>
            </w:r>
          </w:p>
        </w:tc>
      </w:tr>
      <w:tr w14:paraId="599C068B">
        <w:trPr>
          <w:cantSplit/>
        </w:trPr>
        <w:tc>
          <w:tcPr>
            <w:tcW w:w="11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DDF8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D-Conflict</w:t>
            </w:r>
          </w:p>
        </w:tc>
        <w:tc>
          <w:tcPr>
            <w:tcW w:w="1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0188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24/30</w:t>
            </w:r>
          </w:p>
        </w:tc>
        <w:tc>
          <w:tcPr>
            <w:tcW w:w="21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3736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2/24（8.3%）</w:t>
            </w:r>
          </w:p>
        </w:tc>
        <w:tc>
          <w:tcPr>
            <w:tcW w:w="20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0087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0/24</w:t>
            </w:r>
          </w:p>
        </w:tc>
        <w:tc>
          <w:tcPr>
            <w:tcW w:w="27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2505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极端冲突下静默取舍明显</w:t>
            </w:r>
          </w:p>
        </w:tc>
      </w:tr>
    </w:tbl>
    <w:p w14:paraId="6061A2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1B3958D0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“共享事实底线”是自动检查事实边界、事实准确和判断边界三项均通过，不等于整份报告已经可直接签发。“六项共同规则全通过”也只覆盖五组共用规则，不包含各组全部附加要求。</w:t>
      </w:r>
    </w:p>
    <w:p w14:paraId="40665CA1">
      <w:pPr>
        <w:pStyle w:val="3"/>
        <w:pageBreakBefore w:val="0"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3. 四个主要发现</w:t>
      </w:r>
    </w:p>
    <w:p w14:paraId="551A4DC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发现一：B 组出现改善，但还不是“免检版本”</w:t>
      </w:r>
    </w:p>
    <w:p w14:paraId="03F599DC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B 比 A 的输入只增加 320 token，同时增加了指标选择、章节结构、行业和区域比较、风险选择及证据标识。首轮自动初评中，B 的共享事实底线通过率为 23/26，A 为 9/28。</w:t>
      </w:r>
    </w:p>
    <w:p w14:paraId="12F605D0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这说明“把关键业务规则讲清楚”与改善同时出现，但本轮没有逐条拆开验证，不能把收益全部归因于“标注出处”。同时，B 的篇幅规则只有 6/30 通过，六项共同规则全通过也只有 6/26。</w:t>
      </w:r>
      <w:r>
        <w:rPr>
          <w:rFonts w:ascii="Arial Unicode MS" w:hAnsi="Arial Unicode MS" w:eastAsia="Arial Unicode MS"/>
          <w:b/>
          <w:color w:val="243447"/>
          <w:sz w:val="21"/>
        </w:rPr>
        <w:t>B 是下一轮值得继续验证的候选配置，不是已经可以直接投产的标准答案。</w:t>
      </w:r>
    </w:p>
    <w:p w14:paraId="2243692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发现二：从 B 到 C 出现负边际信号，但不能急着下因果结论</w:t>
      </w:r>
    </w:p>
    <w:p w14:paraId="4791E0EE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C 增加了口径、证据、缺失值和风险治理规则。这些并非都属于低价值“修辞微调”，其中不少是必要的业务治理要求。问题不在于这些规则不重要，而在于是否应该全部依赖一段 Prompt 在一次生成中完成。</w:t>
      </w:r>
    </w:p>
    <w:p w14:paraId="5504D2E6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 xml:space="preserve">首轮自动评审显示，C 的共享事实底线由 B 的 88.5% 降至 40.7%。但评审中已经发现把 </w:t>
      </w:r>
      <w:r>
        <w:rPr>
          <w:rFonts w:ascii="Consolas" w:hAnsi="Consolas" w:eastAsia="Arial Unicode MS"/>
          <w:b w:val="0"/>
          <w:color w:val="243447"/>
          <w:sz w:val="20"/>
          <w:shd w:val="clear" w:fill="EEF2F6"/>
        </w:rPr>
        <w:t>18.6</w:t>
      </w:r>
      <w:r>
        <w:rPr>
          <w:rFonts w:ascii="Arial Unicode MS" w:hAnsi="Arial Unicode MS" w:eastAsia="Arial Unicode MS"/>
          <w:b w:val="0"/>
          <w:color w:val="243447"/>
          <w:sz w:val="21"/>
        </w:rPr>
        <w:t xml:space="preserve"> 与 </w:t>
      </w:r>
      <w:r>
        <w:rPr>
          <w:rFonts w:ascii="Consolas" w:hAnsi="Consolas" w:eastAsia="Arial Unicode MS"/>
          <w:b w:val="0"/>
          <w:color w:val="243447"/>
          <w:sz w:val="20"/>
          <w:shd w:val="clear" w:fill="EEF2F6"/>
        </w:rPr>
        <w:t>18.60</w:t>
      </w:r>
      <w:r>
        <w:rPr>
          <w:rFonts w:ascii="Arial Unicode MS" w:hAnsi="Arial Unicode MS" w:eastAsia="Arial Unicode MS"/>
          <w:b w:val="0"/>
          <w:color w:val="243447"/>
          <w:sz w:val="21"/>
        </w:rPr>
        <w:t xml:space="preserve"> 当成不同数值、结构化结论与理由相互矛盾等问题。因此，这一变化只能称为</w:t>
      </w:r>
      <w:r>
        <w:rPr>
          <w:rFonts w:ascii="Arial Unicode MS" w:hAnsi="Arial Unicode MS" w:eastAsia="Arial Unicode MS"/>
          <w:b/>
          <w:color w:val="243447"/>
          <w:sz w:val="21"/>
        </w:rPr>
        <w:t>疑似负边际信号</w:t>
      </w:r>
      <w:r>
        <w:rPr>
          <w:rFonts w:ascii="Arial Unicode MS" w:hAnsi="Arial Unicode MS" w:eastAsia="Arial Unicode MS"/>
          <w:b w:val="0"/>
          <w:color w:val="243447"/>
          <w:sz w:val="21"/>
        </w:rPr>
        <w:t>，还不能定性为模型已经因“忙于细节”而过载。</w:t>
      </w:r>
    </w:p>
    <w:p w14:paraId="1DE14B70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发现三：微操高负载下，成本和交付纪律同时恶化</w:t>
      </w:r>
    </w:p>
    <w:p w14:paraId="0CD7F321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D-Clean 在 C 的基础上加入句长、词频、禁用表达、固定收尾等 12 条成文微操。与 C 相比，它的输入仅增加 420 token，但平均耗时由约 79 秒升至 179 秒，隐藏推理 token 约增加 2,456；用户实际看到的正文却没有同比增加。</w:t>
      </w:r>
    </w:p>
    <w:p w14:paraId="790B243E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更直接的程序证据是：</w:t>
      </w:r>
    </w:p>
    <w:p w14:paraId="11BA564E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篇幅规则仅 1/30 通过；</w:t>
      </w:r>
    </w:p>
    <w:p w14:paraId="2537656B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首句限长 0/30 通过；</w:t>
      </w:r>
    </w:p>
    <w:p w14:paraId="1C7EB677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证据标识真实性仅 17/30 通过。</w:t>
      </w:r>
    </w:p>
    <w:p w14:paraId="7A8A1146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本轮在 D-Clean 中同时观察到：成文微操增加、成本上升、格式控制恶化，而可见正文没有同比增加。由于该组只有 6 份完整语义评审，本轮不判断其事实准确率。</w:t>
      </w:r>
    </w:p>
    <w:p w14:paraId="68DB142E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发现四：本次冲突压测中观察到模型静默选边</w:t>
      </w:r>
    </w:p>
    <w:p w14:paraId="45BF5D58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D-Conflict 是人为构造的极端压力测试。24 份完整自动评审显示：</w:t>
      </w:r>
    </w:p>
    <w:p w14:paraId="287DD238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21 份没有把缺失值强行填成 0；</w:t>
      </w:r>
    </w:p>
    <w:p w14:paraId="13636DA9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21 份没有给下降编造唯一确定原因；</w:t>
      </w:r>
    </w:p>
    <w:p w14:paraId="177FFA06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22 份没有把正增长指标强行列入风险；</w:t>
      </w:r>
    </w:p>
    <w:p w14:paraId="4C83AEC7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但有 8 份没有如实保留房地产投资和出口下降的方向。</w:t>
      </w:r>
    </w:p>
    <w:p w14:paraId="38D19652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本次结果显示事实底线并非同时崩溃：缺失值和确定性归因相对有韧性，但“只能正面表述”与更高的事实方向失守同时出现。模型在这些样本中没有充分报告“要求无法同时满足”，而是表现为静默折中或选择其中一方。</w:t>
      </w:r>
    </w:p>
    <w:p w14:paraId="01D74A07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该结论只用于说明冲突治理风险，不代表普通业务 Prompt 的日常失败率。</w:t>
      </w:r>
    </w:p>
    <w:p w14:paraId="4A569379">
      <w:pPr>
        <w:pStyle w:val="3"/>
        <w:pageBreakBefore w:val="0"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4. 为什么“读起来不错”仍然不能直接用</w:t>
      </w:r>
    </w:p>
    <w:p w14:paraId="259E2054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A 的自动观感分为 4.47，但共享事实底线只有 9/28 通过；C 的观感分为 4.69，共享事实底线只有 11/27 通过。即使考虑自动裁判尚未校准，这个组合仍足以提醒：</w:t>
      </w:r>
    </w:p>
    <w:p w14:paraId="12EEAF51">
      <w:pPr>
        <w:pageBreakBefore w:val="0"/>
        <w:pBdr>
          <w:left w:val="single" w:color="2E74B5" w:sz="18" w:space="8"/>
        </w:pBdr>
        <w:shd w:val="clear" w:fill="F4F8FB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59" w:right="115"/>
        <w:textAlignment w:val="auto"/>
      </w:pPr>
      <w:r>
        <w:rPr>
          <w:rFonts w:ascii="Arial Unicode MS" w:hAnsi="Arial Unicode MS" w:eastAsia="Arial Unicode MS"/>
          <w:b/>
          <w:color w:val="243447"/>
          <w:sz w:val="20"/>
        </w:rPr>
        <w:t>流畅、正式、像报告，只是表达质量；数字、口径和证据经得起核对，才是业务可信度。两者必须分开验收。</w:t>
      </w:r>
    </w:p>
    <w:p w14:paraId="5D7ECFCC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本轮观感评分不是严格的条件盲评，因此不用于宣布哪一组“最好看”，只用于说明不能拿观感替代事实核验。</w:t>
      </w:r>
    </w:p>
    <w:p w14:paraId="54FF928A">
      <w:pPr>
        <w:pStyle w:val="3"/>
        <w:pageBreakBefore w:val="0"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5. 边际效用的业务图景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94"/>
        <w:gridCol w:w="2927"/>
        <w:gridCol w:w="3530"/>
      </w:tblGrid>
      <w:tr w14:paraId="755F3F52">
        <w:trPr>
          <w:cantSplit/>
          <w:trHeight w:val="0" w:hRule="atLeast"/>
          <w:tblHeader/>
        </w:trPr>
        <w:tc>
          <w:tcPr>
            <w:tcW w:w="140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53F69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变化</w:t>
            </w:r>
          </w:p>
        </w:tc>
        <w:tc>
          <w:tcPr>
            <w:tcW w:w="149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B61EC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增加的输入</w:t>
            </w:r>
          </w:p>
        </w:tc>
        <w:tc>
          <w:tcPr>
            <w:tcW w:w="292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2DF5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首轮观察</w:t>
            </w:r>
          </w:p>
        </w:tc>
        <w:tc>
          <w:tcPr>
            <w:tcW w:w="353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036B1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业务含义</w:t>
            </w:r>
          </w:p>
        </w:tc>
      </w:tr>
      <w:tr w14:paraId="072F689D">
        <w:trPr>
          <w:cantSplit/>
        </w:trPr>
        <w:tc>
          <w:tcPr>
            <w:tcW w:w="140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4E6E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A→B</w:t>
            </w:r>
          </w:p>
        </w:tc>
        <w:tc>
          <w:tcPr>
            <w:tcW w:w="1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202C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+320 token</w:t>
            </w:r>
          </w:p>
        </w:tc>
        <w:tc>
          <w:tcPr>
            <w:tcW w:w="2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976B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事实代理指标改善，篇幅控制变差</w:t>
            </w:r>
          </w:p>
        </w:tc>
        <w:tc>
          <w:tcPr>
            <w:tcW w:w="3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FD59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关键业务规则可能有较高价值，但需权衡</w:t>
            </w:r>
          </w:p>
        </w:tc>
      </w:tr>
      <w:tr w14:paraId="2AE2A586">
        <w:trPr>
          <w:cantSplit/>
        </w:trPr>
        <w:tc>
          <w:tcPr>
            <w:tcW w:w="140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18F9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B→C</w:t>
            </w:r>
          </w:p>
        </w:tc>
        <w:tc>
          <w:tcPr>
            <w:tcW w:w="149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BFBB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+833 token</w:t>
            </w:r>
          </w:p>
        </w:tc>
        <w:tc>
          <w:tcPr>
            <w:tcW w:w="292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615A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成本增加，核心代理指标下降</w:t>
            </w:r>
          </w:p>
        </w:tc>
        <w:tc>
          <w:tcPr>
            <w:tcW w:w="353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CE84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疑似进入负边际，待校准确认</w:t>
            </w:r>
          </w:p>
        </w:tc>
      </w:tr>
      <w:tr w14:paraId="0968E03B">
        <w:trPr>
          <w:cantSplit/>
        </w:trPr>
        <w:tc>
          <w:tcPr>
            <w:tcW w:w="140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AE5E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C→D-Clean</w:t>
            </w:r>
          </w:p>
        </w:tc>
        <w:tc>
          <w:tcPr>
            <w:tcW w:w="1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B4A4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+420 token</w:t>
            </w:r>
          </w:p>
        </w:tc>
        <w:tc>
          <w:tcPr>
            <w:tcW w:w="2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C483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耗时和推理成本大增，篇幅近乎失守</w:t>
            </w:r>
          </w:p>
        </w:tc>
        <w:tc>
          <w:tcPr>
            <w:tcW w:w="3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77BF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token、时延与程序代理指标显示成本—可见收益脱钩</w:t>
            </w:r>
          </w:p>
        </w:tc>
      </w:tr>
      <w:tr w14:paraId="0E716669">
        <w:trPr>
          <w:cantSplit/>
        </w:trPr>
        <w:tc>
          <w:tcPr>
            <w:tcW w:w="1409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53DC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C→D-Conflict</w:t>
            </w:r>
          </w:p>
        </w:tc>
        <w:tc>
          <w:tcPr>
            <w:tcW w:w="149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9BF4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+2,098 token</w:t>
            </w:r>
          </w:p>
        </w:tc>
        <w:tc>
          <w:tcPr>
            <w:tcW w:w="2927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66FE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结构和稳定性在本批次明显下降</w:t>
            </w:r>
          </w:p>
        </w:tc>
        <w:tc>
          <w:tcPr>
            <w:tcW w:w="3530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4CFA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7"/>
              </w:rPr>
              <w:t>冲突要求应先治理，不能直接交给模型裁决</w:t>
            </w:r>
          </w:p>
        </w:tc>
      </w:tr>
    </w:tbl>
    <w:p w14:paraId="7D864C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79521B17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本轮没有记录人工返工、Prompt 维护和每份最终合格报告的综合成本，所以不能给出精确的商业 ROI，也不能宣布一个通用 token 阈值。它更适合作为</w:t>
      </w:r>
      <w:r>
        <w:rPr>
          <w:rFonts w:ascii="Arial Unicode MS" w:hAnsi="Arial Unicode MS" w:eastAsia="Arial Unicode MS"/>
          <w:b/>
          <w:color w:val="243447"/>
          <w:sz w:val="21"/>
        </w:rPr>
        <w:t>风险认知实验</w:t>
      </w:r>
      <w:r>
        <w:rPr>
          <w:rFonts w:ascii="Arial Unicode MS" w:hAnsi="Arial Unicode MS" w:eastAsia="Arial Unicode MS"/>
          <w:b w:val="0"/>
          <w:color w:val="243447"/>
          <w:sz w:val="21"/>
        </w:rPr>
        <w:t>：要求增加到一定程度后，投入会继续增加，而核心交付不一定随之改善。</w:t>
      </w:r>
    </w:p>
    <w:p w14:paraId="28AEDF3E">
      <w:pPr>
        <w:pStyle w:val="3"/>
        <w:pageBreakBefore w:val="0"/>
        <w:pBdr>
          <w:bottom w:val="single" w:color="D9E2E8" w:sz="6" w:space="5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17365D"/>
          <w:sz w:val="32"/>
        </w:rPr>
        <w:t>6. 对业务工作的建议</w:t>
      </w:r>
    </w:p>
    <w:p w14:paraId="0E83B19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建议一：不是“少写规则”，而是“把规则放到正确的层”</w:t>
      </w:r>
    </w:p>
    <w:tbl>
      <w:tblPr>
        <w:tblStyle w:val="32"/>
        <w:tblW w:w="9360" w:type="dxa"/>
        <w:tblInd w:w="0" w:type="dxa"/>
        <w:tblBorders>
          <w:top w:val="single" w:color="D9E2E8" w:sz="6" w:space="0"/>
          <w:left w:val="single" w:color="D9E2E8" w:sz="6" w:space="0"/>
          <w:bottom w:val="single" w:color="D9E2E8" w:sz="6" w:space="0"/>
          <w:right w:val="single" w:color="D9E2E8" w:sz="6" w:space="0"/>
          <w:insideH w:val="single" w:color="D9E2E8" w:sz="6" w:space="0"/>
          <w:insideV w:val="single" w:color="D9E2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8076"/>
      </w:tblGrid>
      <w:tr w14:paraId="3657D845">
        <w:trPr>
          <w:cantSplit/>
          <w:trHeight w:val="0" w:hRule="atLeast"/>
          <w:tblHeader/>
        </w:trPr>
        <w:tc>
          <w:tcPr>
            <w:tcW w:w="12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FD2D8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责任层</w:t>
            </w:r>
          </w:p>
        </w:tc>
        <w:tc>
          <w:tcPr>
            <w:tcW w:w="807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B7647">
            <w:pPr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适合承担的内容</w:t>
            </w:r>
          </w:p>
        </w:tc>
      </w:tr>
      <w:tr w14:paraId="69B545F8">
        <w:trPr>
          <w:cantSplit/>
        </w:trPr>
        <w:tc>
          <w:tcPr>
            <w:tcW w:w="12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9171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Prompt</w:t>
            </w:r>
          </w:p>
        </w:tc>
        <w:tc>
          <w:tcPr>
            <w:tcW w:w="80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3EAA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任务目标、对象与周期、关键业务语义、必须引用的证据、禁止越过的判断边界</w:t>
            </w:r>
          </w:p>
        </w:tc>
      </w:tr>
      <w:tr w14:paraId="2B1BBBE9">
        <w:trPr>
          <w:cantSplit/>
        </w:trPr>
        <w:tc>
          <w:tcPr>
            <w:tcW w:w="128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9141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模板/配置</w:t>
            </w:r>
          </w:p>
        </w:tc>
        <w:tc>
          <w:tcPr>
            <w:tcW w:w="807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4362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固定章节、标题形式、展示顺序、可复用的标准结构</w:t>
            </w:r>
          </w:p>
        </w:tc>
      </w:tr>
      <w:tr w14:paraId="74D06E3E">
        <w:trPr>
          <w:cantSplit/>
        </w:trPr>
        <w:tc>
          <w:tcPr>
            <w:tcW w:w="12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948C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程序校验</w:t>
            </w:r>
          </w:p>
        </w:tc>
        <w:tc>
          <w:tcPr>
            <w:tcW w:w="80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472F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数字和单位、小数精度、缺失值、证据完整性、篇幅、字段一致性</w:t>
            </w:r>
          </w:p>
        </w:tc>
      </w:tr>
      <w:tr w14:paraId="64BC5817">
        <w:trPr>
          <w:cantSplit/>
        </w:trPr>
        <w:tc>
          <w:tcPr>
            <w:tcW w:w="1284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740C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人工复核</w:t>
            </w:r>
          </w:p>
        </w:tc>
        <w:tc>
          <w:tcPr>
            <w:tcW w:w="8076" w:type="dxa"/>
            <w:shd w:val="clear" w:color="auto" w:fill="F4F8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0651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9" w:lineRule="auto"/>
              <w:textAlignment w:val="auto"/>
            </w:pPr>
            <w:r>
              <w:rPr>
                <w:rFonts w:ascii="Arial Unicode MS" w:hAnsi="Arial Unicode MS" w:eastAsia="Arial Unicode MS"/>
                <w:b w:val="0"/>
                <w:color w:val="243447"/>
                <w:sz w:val="18"/>
              </w:rPr>
              <w:t>多方要求冲突、风险解释、敏感措辞、例外处理和最终签发</w:t>
            </w:r>
          </w:p>
        </w:tc>
      </w:tr>
    </w:tbl>
    <w:p w14:paraId="2513A3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</w:p>
    <w:p w14:paraId="0FA9C566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可确定执行的规则不应只靠“再叮嘱模型一次”来保证；能模板化的就模板化，能程序检查的就程序检查，需要价值判断的才交给人。</w:t>
      </w:r>
    </w:p>
    <w:p w14:paraId="1A0DA96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建议二：设置 Prompt 变更门槛</w:t>
      </w:r>
    </w:p>
    <w:p w14:paraId="0451A22B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每新增一条要求，都应回答三个问题：</w:t>
      </w:r>
    </w:p>
    <w:p w14:paraId="303DB15D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它是否解决明确、可观察的业务风险？</w:t>
      </w:r>
    </w:p>
    <w:p w14:paraId="74AFE318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它应该放在 Prompt、模板、程序还是人工审批？</w:t>
      </w:r>
    </w:p>
    <w:p w14:paraId="6DF17C0C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加入后是否通过回归测试，且没有损害事实、篇幅和稳定性？</w:t>
      </w:r>
    </w:p>
    <w:p w14:paraId="6E46EBAD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如果只是个人措辞偏好，或者可以用模板、校验器稳定实现，就不应继续堆入主 Prompt。</w:t>
      </w:r>
    </w:p>
    <w:p w14:paraId="7751FA7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Fonts w:ascii="Arial Unicode MS" w:hAnsi="Arial Unicode MS" w:eastAsia="Arial Unicode MS"/>
          <w:b/>
          <w:color w:val="2E74B5"/>
          <w:sz w:val="26"/>
        </w:rPr>
        <w:t>建议三：冲突要求先裁决，再交给模型</w:t>
      </w:r>
    </w:p>
    <w:p w14:paraId="0B925F08">
      <w:pPr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1"/>
        </w:rPr>
        <w:t>多个部门共同提要求时，应明确优先级和最终责任人。至少需要：</w:t>
      </w:r>
    </w:p>
    <w:p w14:paraId="4450D466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事实与合规要求优先于宣传性措辞；</w:t>
      </w:r>
    </w:p>
    <w:p w14:paraId="08C8A901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冲突必须在执行前显式消解，不能让模型自行猜测；</w:t>
      </w:r>
    </w:p>
    <w:p w14:paraId="12987BCE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无法同时满足时，模型应停止并报告冲突，而不是静默选边；</w:t>
      </w:r>
    </w:p>
    <w:p w14:paraId="45C19E81">
      <w:pPr>
        <w:pStyle w:val="1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rFonts w:ascii="Arial Unicode MS" w:hAnsi="Arial Unicode MS" w:eastAsia="Arial Unicode MS"/>
          <w:b w:val="0"/>
          <w:color w:val="243447"/>
          <w:sz w:val="20"/>
        </w:rPr>
        <w:t>最终内容仍由业务责任人审核签发。</w:t>
      </w:r>
      <w:bookmarkStart w:id="0" w:name="_GoBack"/>
      <w:bookmarkEnd w:id="0"/>
    </w:p>
    <w:sectPr>
      <w:footerReference r:id="rId7" w:type="first"/>
      <w:headerReference r:id="rId5" w:type="default"/>
      <w:footerReference r:id="rId6" w:type="default"/>
      <w:pgSz w:w="12240" w:h="15840"/>
      <w:pgMar w:top="1123" w:right="1440" w:bottom="1080" w:left="1440" w:header="518" w:footer="50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93358">
    <w:pPr>
      <w:pStyle w:val="24"/>
      <w:jc w:val="right"/>
    </w:pPr>
    <w:r>
      <w:rPr>
        <w:rFonts w:ascii="Calibri" w:hAnsi="Calibri"/>
        <w:color w:val="667085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BB4E0">
    <w:pPr>
      <w:pStyle w:val="24"/>
      <w:jc w:val="right"/>
    </w:pPr>
    <w:r>
      <w:rPr>
        <w:rFonts w:ascii="Calibri" w:hAnsi="Calibri"/>
        <w:color w:val="667085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C9664">
    <w:pPr>
      <w:pStyle w:val="25"/>
      <w:spacing w:after="0"/>
      <w:jc w:val="left"/>
    </w:pPr>
    <w:r>
      <w:rPr>
        <w:rFonts w:ascii="Arial Unicode MS" w:hAnsi="Arial Unicode MS" w:eastAsia="Arial Unicode MS"/>
        <w:b/>
        <w:color w:val="2E74B5"/>
        <w:sz w:val="16"/>
      </w:rPr>
      <w:t>LLM PROMPT 实验评估  /  业务版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EFB8DB"/>
    <w:multiLevelType w:val="singleLevel"/>
    <w:tmpl w:val="F3EFB8DB"/>
    <w:lvl w:ilvl="0" w:tentative="0">
      <w:start w:val="1"/>
      <w:numFmt w:val="decimal"/>
      <w:lvlText w:val="%1."/>
      <w:lvlJc w:val="left"/>
      <w:pPr>
        <w:ind w:left="420" w:hanging="320"/>
      </w:pPr>
    </w:lvl>
  </w:abstractNum>
  <w:abstractNum w:abstractNumId="1">
    <w:nsid w:val="FDFD9889"/>
    <w:multiLevelType w:val="singleLevel"/>
    <w:tmpl w:val="FDFD9889"/>
    <w:lvl w:ilvl="0" w:tentative="0">
      <w:start w:val="1"/>
      <w:numFmt w:val="decimal"/>
      <w:lvlText w:val="%1."/>
      <w:lvlJc w:val="left"/>
      <w:pPr>
        <w:ind w:left="420" w:hanging="32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9F0975"/>
    <w:rsid w:val="FFEFF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12" w:lineRule="auto"/>
    </w:pPr>
    <w:rPr>
      <w:rFonts w:ascii="Arial Unicode MS" w:hAnsi="Arial Unicode MS" w:eastAsia="Arial Unicode MS" w:cstheme="minorBidi"/>
      <w:color w:val="24344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40" w:after="16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6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70" w:line="293" w:lineRule="auto"/>
      <w:ind w:left="360" w:hanging="245"/>
      <w:contextualSpacing/>
    </w:pPr>
    <w:rPr>
      <w:rFonts w:ascii="Arial Unicode MS" w:hAnsi="Arial Unicode MS" w:eastAsia="Arial Unicode MS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70" w:line="293" w:lineRule="auto"/>
      <w:ind w:left="360" w:hanging="245"/>
      <w:contextualSpacing/>
    </w:pPr>
    <w:rPr>
      <w:rFonts w:ascii="Arial Unicode MS" w:hAnsi="Arial Unicode MS" w:eastAsia="Arial Unicode MS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AiReportPreResearch 实验评估</dc:creator>
  <dc:description>由最新五组 Prompt、runs 与 evals 证据复核后生成</dc:description>
  <cp:keywords>LLM, Prompt, 过载, 边际效用, 评估</cp:keywords>
  <cp:lastModifiedBy>天宇</cp:lastModifiedBy>
  <dcterms:modified xsi:type="dcterms:W3CDTF">2026-08-04T12:25:23Z</dcterms:modified>
  <dc:subject>LLM Prompt 过载与边际效用验证实验评估</dc:subject>
  <dc:title>LLM-Prompt 过载与边际效用验证评估报告（业务版）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EF31913E1F66C1C61969716AE2D11BDF_42</vt:lpwstr>
  </property>
</Properties>
</file>