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8A2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18"/>
        </w:rPr>
        <w:t>实验评估  /  TECHNICAL EDITION</w:t>
      </w:r>
    </w:p>
    <w:p w14:paraId="6F37BFAF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41"/>
        </w:rPr>
        <w:t>LLM-Prompt 过载与边际效用验证评估报告</w:t>
      </w:r>
    </w:p>
    <w:p w14:paraId="2F90E96B">
      <w:pPr>
        <w:pageBreakBefore w:val="0"/>
        <w:widowControl/>
        <w:pBdr>
          <w:bottom w:val="single" w:color="2E74B5" w:sz="16" w:space="8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23"/>
        </w:rPr>
        <w:t>五组 Prompt 批跑、自动评估与证据边界审阅</w:t>
      </w:r>
    </w:p>
    <w:p w14:paraId="3E9752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18"/>
        </w:rPr>
        <w:t>报告日期：2026-08-04</w:t>
      </w:r>
    </w:p>
    <w:p w14:paraId="680D1B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18"/>
        </w:rPr>
        <w:t>证据范围：五组 Prompt、150 份生成结果、首轮自动评估结果</w:t>
      </w:r>
    </w:p>
    <w:p w14:paraId="77700E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18"/>
        </w:rPr>
        <w:t>报告性质：探索性评估；已完成证据复核，尚未完成人工校准与第二批复现</w:t>
      </w:r>
    </w:p>
    <w:p w14:paraId="0854F7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18"/>
        </w:rPr>
        <w:t>适用边界：本实验独立于本项目的“智能问数”和“智能报告”功能，仅用于验证 Prompt 复杂度、指令冲突与交付表现之间的关系</w:t>
      </w:r>
    </w:p>
    <w:p w14:paraId="48F433D3">
      <w:pPr>
        <w:pageBreakBefore w:val="0"/>
        <w:widowControl/>
        <w:pBdr>
          <w:left w:val="single" w:color="B7791F" w:sz="18" w:space="8"/>
        </w:pBdr>
        <w:shd w:val="clear" w:fill="FFF7E6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02"/>
        <w:textAlignment w:val="auto"/>
      </w:pPr>
      <w:r>
        <w:rPr>
          <w:rFonts w:ascii="Arial Unicode MS" w:hAnsi="Arial Unicode MS" w:eastAsia="Arial Unicode MS"/>
          <w:b/>
          <w:color w:val="243447"/>
          <w:sz w:val="19"/>
        </w:rPr>
        <w:t>证据状态：首轮探索性结论。150 份生成全部成功；111 份取得完整 AI 评审；程序规则覆盖 150 份。尚未完成人工校准、随机区组复跑与冲突匹配对照。</w:t>
      </w:r>
    </w:p>
    <w:p w14:paraId="23C1B3EA">
      <w:pPr>
        <w:pStyle w:val="3"/>
        <w:pageBreakBefore w:val="0"/>
        <w:widowControl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1. 执行摘要</w:t>
      </w:r>
    </w:p>
    <w:p w14:paraId="739D249D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本轮实验没有证明“Prompt 越短越好”，也尚不足以给出精确的“最佳字数”或“过载拐点”。它提供了三类可信度不同的信号：</w:t>
      </w:r>
    </w:p>
    <w:p w14:paraId="543A98AF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关键业务约束可能提升可控性。</w:t>
      </w:r>
      <w:r>
        <w:rPr>
          <w:rFonts w:ascii="Arial Unicode MS" w:hAnsi="Arial Unicode MS" w:eastAsia="Arial Unicode MS"/>
          <w:b w:val="0"/>
          <w:color w:val="243447"/>
          <w:sz w:val="20"/>
        </w:rPr>
        <w:t xml:space="preserve"> 在当前自动评审完整样本中，B 组的共享事实底线通过率为 23/26，高于 A 组的 9/28；但 B 组篇幅规则仅 6/30 通过，六项共享规则全部通过的比例也只有 6/26。因此，B 只能被视为当前的候选高价值配置，不能称为整体最优，更不能据此取消程序核验和人工复核。</w:t>
      </w:r>
    </w:p>
    <w:p w14:paraId="73FD73ED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继续加规则后，成本与可见收益开始脱钩。</w:t>
      </w:r>
      <w:r>
        <w:rPr>
          <w:rFonts w:ascii="Arial Unicode MS" w:hAnsi="Arial Unicode MS" w:eastAsia="Arial Unicode MS"/>
          <w:b w:val="0"/>
          <w:color w:val="243447"/>
          <w:sz w:val="20"/>
        </w:rPr>
        <w:t xml:space="preserve"> 从 C 到 D-Clean，输入仅增加 420 token，平均隐藏推理 token 约增加 2,456，平均耗时由 79.46 秒升至 179.01 秒；可见正文并未同比增长。全量程序规则同时显示，D-Clean 的篇幅规则仅 1/30 通过、首句限长 0/30 通过。</w:t>
      </w:r>
    </w:p>
    <w:p w14:paraId="0A38B2D0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在本次冲突 Prompt 中观察到静默取舍和明显不稳定。</w:t>
      </w:r>
      <w:r>
        <w:rPr>
          <w:rFonts w:ascii="Arial Unicode MS" w:hAnsi="Arial Unicode MS" w:eastAsia="Arial Unicode MS"/>
          <w:b w:val="0"/>
          <w:color w:val="243447"/>
          <w:sz w:val="20"/>
        </w:rPr>
        <w:t xml:space="preserve"> D-Conflict 的可见正文长度变异系数为 0.620，在本批次明显高于其余组；标题、章节、证据覆盖等程序规则大量失守。在 24 份完整自动评审中，有 8 份未能守住房地产投资和出口下降的事实方向。不过，D-Conflict 比 D-Clean 更长、规则也更多，本轮不能把两组差异单独归因于“冲突”。</w:t>
      </w:r>
    </w:p>
    <w:p w14:paraId="7EB1446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上述结论必须与评估缺陷同时阅读：150 份生成全部成功，但仅 111 份取得完整 LLM-judge 结果；D-Clean 的完整评审覆盖率仅 20%。此外，裁判结果中已发现结构化 verdict 与文字理由自相矛盾、重复规则覆盖和组专属规则语境渗漏。故本报告将</w:t>
      </w:r>
      <w:r>
        <w:rPr>
          <w:rFonts w:ascii="Arial Unicode MS" w:hAnsi="Arial Unicode MS" w:eastAsia="Arial Unicode MS"/>
          <w:b/>
          <w:color w:val="243447"/>
          <w:sz w:val="21"/>
        </w:rPr>
        <w:t>程序规则的 150/150 全量结果</w:t>
      </w:r>
      <w:r>
        <w:rPr>
          <w:rFonts w:ascii="Arial Unicode MS" w:hAnsi="Arial Unicode MS" w:eastAsia="Arial Unicode MS"/>
          <w:b w:val="0"/>
          <w:color w:val="243447"/>
          <w:sz w:val="21"/>
        </w:rPr>
        <w:t>作为较强证据，将</w:t>
      </w:r>
      <w:r>
        <w:rPr>
          <w:rFonts w:ascii="Arial Unicode MS" w:hAnsi="Arial Unicode MS" w:eastAsia="Arial Unicode MS"/>
          <w:b/>
          <w:color w:val="243447"/>
          <w:sz w:val="21"/>
        </w:rPr>
        <w:t>LLM-judge 指标</w:t>
      </w:r>
      <w:r>
        <w:rPr>
          <w:rFonts w:ascii="Arial Unicode MS" w:hAnsi="Arial Unicode MS" w:eastAsia="Arial Unicode MS"/>
          <w:b w:val="0"/>
          <w:color w:val="243447"/>
          <w:sz w:val="21"/>
        </w:rPr>
        <w:t>降级为待校准的探索性代理信号。</w:t>
      </w:r>
    </w:p>
    <w:p w14:paraId="186CE7E6">
      <w:pPr>
        <w:pStyle w:val="3"/>
        <w:pageBreakBefore w:val="0"/>
        <w:widowControl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2. 实验设计与证据链</w:t>
      </w:r>
    </w:p>
    <w:p w14:paraId="4037871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2.1 五组条件不是一条完全连续的阶梯</w:t>
      </w:r>
    </w:p>
    <w:p w14:paraId="2CCD82D4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最新 Prompt 的实际关系为：</w:t>
      </w:r>
    </w:p>
    <w:p w14:paraId="4FD7E540">
      <w:pPr>
        <w:pageBreakBefore w:val="0"/>
        <w:widowControl/>
        <w:pBdr>
          <w:left w:val="single" w:color="D9E2E8" w:sz="10" w:space="6"/>
        </w:pBdr>
        <w:shd w:val="clear" w:fill="F3F5F7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9" w:lineRule="auto"/>
        <w:ind w:left="173" w:right="115"/>
        <w:textAlignment w:val="auto"/>
      </w:pPr>
      <w:r>
        <w:rPr>
          <w:rFonts w:ascii="Consolas" w:hAnsi="Consolas" w:eastAsia="Arial Unicode MS"/>
          <w:color w:val="243447"/>
          <w:sz w:val="17"/>
        </w:rPr>
        <w:t>A 基线 → B 业务规则 → C 质量与治理规则 → D-Clean 成文微操</w:t>
      </w:r>
      <w:r>
        <w:rPr>
          <w:rFonts w:ascii="Consolas" w:hAnsi="Consolas" w:eastAsia="Arial Unicode MS"/>
          <w:color w:val="243447"/>
          <w:sz w:val="17"/>
        </w:rPr>
        <w:br w:type="textWrapping"/>
      </w:r>
      <w:r>
        <w:rPr>
          <w:rFonts w:ascii="Consolas" w:hAnsi="Consolas" w:eastAsia="Arial Unicode MS"/>
          <w:color w:val="243447"/>
          <w:sz w:val="17"/>
        </w:rPr>
        <w:t xml:space="preserve">                              └────────────→ D-Conflict 冲突压测</w:t>
      </w:r>
    </w:p>
    <w:p w14:paraId="74D02805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D-Clean 与 D-Conflict 均从 C 分叉，用于观察两类不同风险。D-Conflict 不继承 D-Clean 的 12 条成文微操，两者也不是等长度、等规则数的匹配对照。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4038"/>
        <w:gridCol w:w="981"/>
        <w:gridCol w:w="981"/>
        <w:gridCol w:w="2384"/>
      </w:tblGrid>
      <w:tr w14:paraId="0915044D">
        <w:trPr>
          <w:cantSplit/>
          <w:trHeight w:val="0" w:hRule="atLeast"/>
          <w:tblHeader/>
        </w:trPr>
        <w:tc>
          <w:tcPr>
            <w:tcW w:w="9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0832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条件</w:t>
            </w:r>
          </w:p>
        </w:tc>
        <w:tc>
          <w:tcPr>
            <w:tcW w:w="403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79AA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Prompt 的主要变化</w:t>
            </w:r>
          </w:p>
        </w:tc>
        <w:tc>
          <w:tcPr>
            <w:tcW w:w="9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3B8A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Prompt 显式规则</w:t>
            </w:r>
          </w:p>
        </w:tc>
        <w:tc>
          <w:tcPr>
            <w:tcW w:w="9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5FB6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适用评分原子规则</w:t>
            </w:r>
          </w:p>
        </w:tc>
        <w:tc>
          <w:tcPr>
            <w:tcW w:w="23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4D3B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业务含义</w:t>
            </w:r>
          </w:p>
        </w:tc>
      </w:tr>
      <w:tr w14:paraId="53709D3E">
        <w:trPr>
          <w:cantSplit/>
        </w:trPr>
        <w:tc>
          <w:tcPr>
            <w:tcW w:w="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54E6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A</w:t>
            </w:r>
          </w:p>
        </w:tc>
        <w:tc>
          <w:tcPr>
            <w:tcW w:w="40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540A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6 条共同底线，未规定具体指标选择、排序、结构和溯源</w:t>
            </w:r>
          </w:p>
        </w:tc>
        <w:tc>
          <w:tcPr>
            <w:tcW w:w="9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2361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6</w:t>
            </w:r>
          </w:p>
        </w:tc>
        <w:tc>
          <w:tcPr>
            <w:tcW w:w="9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503D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6</w:t>
            </w:r>
          </w:p>
        </w:tc>
        <w:tc>
          <w:tcPr>
            <w:tcW w:w="2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AAEA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业务规则相对不完备</w:t>
            </w:r>
          </w:p>
        </w:tc>
      </w:tr>
      <w:tr w14:paraId="531D5E75">
        <w:trPr>
          <w:cantSplit/>
        </w:trPr>
        <w:tc>
          <w:tcPr>
            <w:tcW w:w="97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8D12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B</w:t>
            </w:r>
          </w:p>
        </w:tc>
        <w:tc>
          <w:tcPr>
            <w:tcW w:w="403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9098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增加指标选择、章节结构、行业/区域比较、风险选择和基本溯源</w:t>
            </w:r>
          </w:p>
        </w:tc>
        <w:tc>
          <w:tcPr>
            <w:tcW w:w="98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E9C4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12</w:t>
            </w:r>
          </w:p>
        </w:tc>
        <w:tc>
          <w:tcPr>
            <w:tcW w:w="98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BC48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15</w:t>
            </w:r>
          </w:p>
        </w:tc>
        <w:tc>
          <w:tcPr>
            <w:tcW w:w="238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1273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少量关键业务规则</w:t>
            </w:r>
          </w:p>
        </w:tc>
      </w:tr>
      <w:tr w14:paraId="45B600CC">
        <w:trPr>
          <w:cantSplit/>
        </w:trPr>
        <w:tc>
          <w:tcPr>
            <w:tcW w:w="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0980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C</w:t>
            </w:r>
          </w:p>
        </w:tc>
        <w:tc>
          <w:tcPr>
            <w:tcW w:w="40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B87F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增加口径、证据完整性、缺失值和风险治理等规则</w:t>
            </w:r>
          </w:p>
        </w:tc>
        <w:tc>
          <w:tcPr>
            <w:tcW w:w="9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E963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30</w:t>
            </w:r>
          </w:p>
        </w:tc>
        <w:tc>
          <w:tcPr>
            <w:tcW w:w="9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32F0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33</w:t>
            </w:r>
          </w:p>
        </w:tc>
        <w:tc>
          <w:tcPr>
            <w:tcW w:w="2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41C3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较完备的业务质量约束</w:t>
            </w:r>
          </w:p>
        </w:tc>
      </w:tr>
      <w:tr w14:paraId="0DEC7D67">
        <w:trPr>
          <w:cantSplit/>
        </w:trPr>
        <w:tc>
          <w:tcPr>
            <w:tcW w:w="97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784F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D-Clean</w:t>
            </w:r>
          </w:p>
        </w:tc>
        <w:tc>
          <w:tcPr>
            <w:tcW w:w="403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1601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再加句长、词频、禁用表达、固定收尾等成文微操</w:t>
            </w:r>
          </w:p>
        </w:tc>
        <w:tc>
          <w:tcPr>
            <w:tcW w:w="98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9A90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42</w:t>
            </w:r>
          </w:p>
        </w:tc>
        <w:tc>
          <w:tcPr>
            <w:tcW w:w="98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DDCD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45</w:t>
            </w:r>
          </w:p>
        </w:tc>
        <w:tc>
          <w:tcPr>
            <w:tcW w:w="238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A785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无显式冲突的高负载 Prompt</w:t>
            </w:r>
          </w:p>
        </w:tc>
      </w:tr>
      <w:tr w14:paraId="61672F49">
        <w:trPr>
          <w:cantSplit/>
        </w:trPr>
        <w:tc>
          <w:tcPr>
            <w:tcW w:w="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BC8E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D-Conflict</w:t>
            </w:r>
          </w:p>
        </w:tc>
        <w:tc>
          <w:tcPr>
            <w:tcW w:w="40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8832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模拟多方提出 86 条细碎、含糊或互相冲突的要求</w:t>
            </w:r>
          </w:p>
        </w:tc>
        <w:tc>
          <w:tcPr>
            <w:tcW w:w="9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37BD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86</w:t>
            </w:r>
          </w:p>
        </w:tc>
        <w:tc>
          <w:tcPr>
            <w:tcW w:w="9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0473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40</w:t>
            </w:r>
          </w:p>
        </w:tc>
        <w:tc>
          <w:tcPr>
            <w:tcW w:w="2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6401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极端冲突压力测试</w:t>
            </w:r>
          </w:p>
        </w:tc>
      </w:tr>
    </w:tbl>
    <w:p w14:paraId="6E8ABE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3F0C7F2D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“Prompt 显式规则数”与“评分原子规则数”是两个不同口径，不能混用。D-Conflict 的 40 条评分规则只是抽样探针，并不表示 Prompt 只有 40 条要求。</w:t>
      </w:r>
    </w:p>
    <w:p w14:paraId="61A51A5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2.2 运行设置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7713"/>
      </w:tblGrid>
      <w:tr w14:paraId="64AB3CE7">
        <w:trPr>
          <w:cantSplit/>
          <w:trHeight w:val="0" w:hRule="atLeast"/>
          <w:tblHeader/>
        </w:trPr>
        <w:tc>
          <w:tcPr>
            <w:tcW w:w="164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2234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w="7713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96B0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实际记录</w:t>
            </w:r>
          </w:p>
        </w:tc>
      </w:tr>
      <w:tr w14:paraId="23D8E708">
        <w:trPr>
          <w:cantSplit/>
        </w:trPr>
        <w:tc>
          <w:tcPr>
            <w:tcW w:w="16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7E62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被测模型</w:t>
            </w:r>
          </w:p>
        </w:tc>
        <w:tc>
          <w:tcPr>
            <w:tcW w:w="77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1CA1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deepseek-v4-pro</w:t>
            </w: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，temperature=0.01</w:t>
            </w:r>
          </w:p>
        </w:tc>
      </w:tr>
      <w:tr w14:paraId="1E51F85F">
        <w:trPr>
          <w:cantSplit/>
        </w:trPr>
        <w:tc>
          <w:tcPr>
            <w:tcW w:w="16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07CA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生成上限</w:t>
            </w:r>
          </w:p>
        </w:tc>
        <w:tc>
          <w:tcPr>
            <w:tcW w:w="771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222D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maxTokens=null</w:t>
            </w: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，即未显式设置、使用供应商默认值；top_p 未落运行清单</w:t>
            </w:r>
          </w:p>
        </w:tc>
      </w:tr>
      <w:tr w14:paraId="293CE93A">
        <w:trPr>
          <w:cantSplit/>
        </w:trPr>
        <w:tc>
          <w:tcPr>
            <w:tcW w:w="16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36D7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自动评审模型</w:t>
            </w:r>
          </w:p>
        </w:tc>
        <w:tc>
          <w:tcPr>
            <w:tcW w:w="77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8051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qwen3.7-max</w:t>
            </w: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，temperature=0</w:t>
            </w:r>
          </w:p>
        </w:tc>
      </w:tr>
      <w:tr w14:paraId="23D91BA9">
        <w:trPr>
          <w:cantSplit/>
        </w:trPr>
        <w:tc>
          <w:tcPr>
            <w:tcW w:w="16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2DA3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样本量</w:t>
            </w:r>
          </w:p>
        </w:tc>
        <w:tc>
          <w:tcPr>
            <w:tcW w:w="771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96ED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5 条件 × 30 次，共 150 份</w:t>
            </w:r>
          </w:p>
        </w:tc>
      </w:tr>
      <w:tr w14:paraId="09D9F390">
        <w:trPr>
          <w:cantSplit/>
        </w:trPr>
        <w:tc>
          <w:tcPr>
            <w:tcW w:w="16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199B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调用方式</w:t>
            </w:r>
          </w:p>
        </w:tc>
        <w:tc>
          <w:tcPr>
            <w:tcW w:w="77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E645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每组内部并发；五组按 A→B→C→D-Clean→D-Conflict 顺序成批执行，并非组间随机交错</w:t>
            </w:r>
          </w:p>
        </w:tc>
      </w:tr>
      <w:tr w14:paraId="1E1B05E7">
        <w:trPr>
          <w:cantSplit/>
        </w:trPr>
        <w:tc>
          <w:tcPr>
            <w:tcW w:w="16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6E77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缓存与会话</w:t>
            </w:r>
          </w:p>
        </w:tc>
        <w:tc>
          <w:tcPr>
            <w:tcW w:w="771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335D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150 次均使用新 user_id，</w:t>
            </w: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cacheHitTokens=0</w:t>
            </w:r>
          </w:p>
        </w:tc>
      </w:tr>
      <w:tr w14:paraId="5F1399DC">
        <w:trPr>
          <w:cantSplit/>
        </w:trPr>
        <w:tc>
          <w:tcPr>
            <w:tcW w:w="16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FA82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生成结果</w:t>
            </w:r>
          </w:p>
        </w:tc>
        <w:tc>
          <w:tcPr>
            <w:tcW w:w="77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A8B4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 xml:space="preserve">150/150 成功，均为 </w:t>
            </w: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finish_reason=stop</w:t>
            </w: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，无生成重试</w:t>
            </w:r>
          </w:p>
        </w:tc>
      </w:tr>
      <w:tr w14:paraId="16459E10">
        <w:trPr>
          <w:cantSplit/>
        </w:trPr>
        <w:tc>
          <w:tcPr>
            <w:tcW w:w="16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BA0A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模型指纹</w:t>
            </w:r>
          </w:p>
        </w:tc>
        <w:tc>
          <w:tcPr>
            <w:tcW w:w="771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9829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 xml:space="preserve">150 次均为 </w:t>
            </w: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fp_9954b31ca7_prod0820_fp8_kvcache_20260402</w:t>
            </w:r>
          </w:p>
        </w:tc>
      </w:tr>
      <w:tr w14:paraId="150F290F">
        <w:trPr>
          <w:cantSplit/>
        </w:trPr>
        <w:tc>
          <w:tcPr>
            <w:tcW w:w="16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6D48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数据包</w:t>
            </w:r>
          </w:p>
        </w:tc>
        <w:tc>
          <w:tcPr>
            <w:tcW w:w="77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BB9B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DATA_JSON.json</w:t>
            </w: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，SHA-256：</w:t>
            </w: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98d8548bdcb3d3790f60b1f0568b56496f6927a8c55d445a6e9998ad21d017a6</w:t>
            </w:r>
          </w:p>
        </w:tc>
      </w:tr>
      <w:tr w14:paraId="415132B4">
        <w:trPr>
          <w:cantSplit/>
        </w:trPr>
        <w:tc>
          <w:tcPr>
            <w:tcW w:w="16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3E59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规则清单</w:t>
            </w:r>
          </w:p>
        </w:tc>
        <w:tc>
          <w:tcPr>
            <w:tcW w:w="771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8A86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v2.0，共 52 条，SHA-256：</w:t>
            </w:r>
            <w:r>
              <w:rPr>
                <w:rFonts w:ascii="Consolas" w:hAnsi="Consolas" w:eastAsia="Arial Unicode MS"/>
                <w:b w:val="0"/>
                <w:color w:val="243447"/>
                <w:sz w:val="17"/>
                <w:shd w:val="clear" w:fill="EEF2F6"/>
              </w:rPr>
              <w:t>6cbc9d730401130a15223c6e8bcb2ca4f43a8e4ac090168e4e20e064523b65b2</w:t>
            </w:r>
          </w:p>
        </w:tc>
      </w:tr>
    </w:tbl>
    <w:p w14:paraId="216F14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36094260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按组顺序批跑会引入时间混杂；本轮只能说明“在该次运行中同时出现”，不能排除服务端时段变化等影响。下一轮应采用随机区组或轮转顺序。</w:t>
      </w:r>
    </w:p>
    <w:p w14:paraId="629762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2.3 生成成本与可见输出</w:t>
      </w:r>
    </w:p>
    <w:p w14:paraId="7FABC2EB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Arial Unicode MS"/>
          <w:b w:val="0"/>
          <w:color w:val="243447"/>
          <w:sz w:val="20"/>
          <w:shd w:val="clear" w:fill="EEF2F6"/>
        </w:rPr>
        <w:t>completion_tokens</w:t>
      </w:r>
      <w:r>
        <w:rPr>
          <w:rFonts w:ascii="Arial Unicode MS" w:hAnsi="Arial Unicode MS" w:eastAsia="Arial Unicode MS"/>
          <w:b w:val="0"/>
          <w:color w:val="243447"/>
          <w:sz w:val="21"/>
        </w:rPr>
        <w:t xml:space="preserve"> 包含隐藏推理 token，不能直接称为“报告长度”。下表将其拆分，并用“completion−reasoning”近似可见 token。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242"/>
        <w:gridCol w:w="1242"/>
        <w:gridCol w:w="1242"/>
        <w:gridCol w:w="1242"/>
        <w:gridCol w:w="1242"/>
        <w:gridCol w:w="1242"/>
      </w:tblGrid>
      <w:tr w14:paraId="33437D81">
        <w:trPr>
          <w:cantSplit/>
          <w:trHeight w:val="0" w:hRule="atLeast"/>
          <w:tblHeader/>
        </w:trPr>
        <w:tc>
          <w:tcPr>
            <w:tcW w:w="19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211A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条件</w:t>
            </w:r>
          </w:p>
        </w:tc>
        <w:tc>
          <w:tcPr>
            <w:tcW w:w="124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EDC5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输入 token</w:t>
            </w:r>
          </w:p>
        </w:tc>
        <w:tc>
          <w:tcPr>
            <w:tcW w:w="124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FFD7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completion</w:t>
            </w:r>
          </w:p>
        </w:tc>
        <w:tc>
          <w:tcPr>
            <w:tcW w:w="124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9FE5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隐藏推理</w:t>
            </w:r>
          </w:p>
        </w:tc>
        <w:tc>
          <w:tcPr>
            <w:tcW w:w="124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24DC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可见 token 估算</w:t>
            </w:r>
          </w:p>
        </w:tc>
        <w:tc>
          <w:tcPr>
            <w:tcW w:w="124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1B5D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平均耗时</w:t>
            </w:r>
          </w:p>
        </w:tc>
        <w:tc>
          <w:tcPr>
            <w:tcW w:w="124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E745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可见正文字符 CV</w:t>
            </w:r>
          </w:p>
        </w:tc>
      </w:tr>
      <w:tr w14:paraId="03002129">
        <w:trPr>
          <w:cantSplit/>
        </w:trPr>
        <w:tc>
          <w:tcPr>
            <w:tcW w:w="19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1248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A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103D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3,274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2CE2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2,135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859C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1,360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7CF0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775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A9ED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56.85s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FD82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0.213</w:t>
            </w:r>
          </w:p>
        </w:tc>
      </w:tr>
      <w:tr w14:paraId="20994256">
        <w:trPr>
          <w:cantSplit/>
        </w:trPr>
        <w:tc>
          <w:tcPr>
            <w:tcW w:w="190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35ED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B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8BE9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3,594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4B75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2,869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CC9D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2,092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9C4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778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5E89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66.43s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8E7D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0.104</w:t>
            </w:r>
          </w:p>
        </w:tc>
      </w:tr>
      <w:tr w14:paraId="4C1A78C6">
        <w:trPr>
          <w:cantSplit/>
        </w:trPr>
        <w:tc>
          <w:tcPr>
            <w:tcW w:w="19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7465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C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12ED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4,427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4403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3,413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AB01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2,496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2212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917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6207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79.46s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4D4A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0.065</w:t>
            </w:r>
          </w:p>
        </w:tc>
      </w:tr>
      <w:tr w14:paraId="4A60E572">
        <w:trPr>
          <w:cantSplit/>
        </w:trPr>
        <w:tc>
          <w:tcPr>
            <w:tcW w:w="190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8788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D-Clean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CD55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4,847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B76C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5,803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7B21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4,952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56D6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851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982D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179.01s</w:t>
            </w:r>
          </w:p>
        </w:tc>
        <w:tc>
          <w:tcPr>
            <w:tcW w:w="124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784B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0.092</w:t>
            </w:r>
          </w:p>
        </w:tc>
      </w:tr>
      <w:tr w14:paraId="1097D98B">
        <w:trPr>
          <w:cantSplit/>
        </w:trPr>
        <w:tc>
          <w:tcPr>
            <w:tcW w:w="19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4841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D-Conflict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A3B8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6,525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EE5F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5,199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5EC1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4,489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A2EE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709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AD75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174.61s</w:t>
            </w:r>
          </w:p>
        </w:tc>
        <w:tc>
          <w:tcPr>
            <w:tcW w:w="12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3AFF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0.620</w:t>
            </w:r>
          </w:p>
        </w:tc>
      </w:tr>
    </w:tbl>
    <w:p w14:paraId="44CB69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39C9E222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从 C 到 D-Clean 的 completion 增长主要来自隐藏推理，而不是用户实际看到的正文膨胀。D-Conflict 的突出问题则是可见输出极不稳定：字符数范围为 323–3,225，离散程度在本批次明显增大。</w:t>
      </w:r>
    </w:p>
    <w:p w14:paraId="160E206A">
      <w:pPr>
        <w:pStyle w:val="3"/>
        <w:pageBreakBefore w:val="0"/>
        <w:widowControl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3. 评估覆盖与数据质量</w:t>
      </w:r>
    </w:p>
    <w:p w14:paraId="029C153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3.1 完整评审覆盖率</w:t>
      </w:r>
    </w:p>
    <w:p w14:paraId="3D9299DC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 xml:space="preserve">评估流程的 </w:t>
      </w:r>
      <w:r>
        <w:rPr>
          <w:rFonts w:ascii="Consolas" w:hAnsi="Consolas" w:eastAsia="Arial Unicode MS"/>
          <w:b w:val="0"/>
          <w:color w:val="243447"/>
          <w:sz w:val="20"/>
          <w:shd w:val="clear" w:fill="EEF2F6"/>
        </w:rPr>
        <w:t>doneOutputs=150</w:t>
      </w:r>
      <w:r>
        <w:rPr>
          <w:rFonts w:ascii="Arial Unicode MS" w:hAnsi="Arial Unicode MS" w:eastAsia="Arial Unicode MS"/>
          <w:b w:val="0"/>
          <w:color w:val="243447"/>
          <w:sz w:val="21"/>
        </w:rPr>
        <w:t xml:space="preserve"> 只表示 150 份均进入终态，不等于全部完成 AI 评分。38 份存在显式 </w:t>
      </w:r>
      <w:r>
        <w:rPr>
          <w:rFonts w:ascii="Consolas" w:hAnsi="Consolas" w:eastAsia="Arial Unicode MS"/>
          <w:b w:val="0"/>
          <w:color w:val="243447"/>
          <w:sz w:val="20"/>
          <w:shd w:val="clear" w:fill="EEF2F6"/>
        </w:rPr>
        <w:t>judgeError</w:t>
      </w:r>
      <w:r>
        <w:rPr>
          <w:rFonts w:ascii="Arial Unicode MS" w:hAnsi="Arial Unicode MS" w:eastAsia="Arial Unicode MS"/>
          <w:b w:val="0"/>
          <w:color w:val="243447"/>
          <w:sz w:val="21"/>
        </w:rPr>
        <w:t>，另有 A 组 1 份虽无错误标记，但只返回 3 条 verdict 且无质量分，属于静默不完整。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432"/>
        <w:gridCol w:w="1432"/>
        <w:gridCol w:w="1432"/>
        <w:gridCol w:w="1432"/>
        <w:gridCol w:w="1432"/>
      </w:tblGrid>
      <w:tr w14:paraId="334204E6">
        <w:trPr>
          <w:cantSplit/>
          <w:trHeight w:val="0" w:hRule="atLeast"/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80B0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条件</w:t>
            </w:r>
          </w:p>
        </w:tc>
        <w:tc>
          <w:tcPr>
            <w:tcW w:w="14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C678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生成输出</w:t>
            </w:r>
          </w:p>
        </w:tc>
        <w:tc>
          <w:tcPr>
            <w:tcW w:w="14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704A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收到 judge_raw</w:t>
            </w:r>
          </w:p>
        </w:tc>
        <w:tc>
          <w:tcPr>
            <w:tcW w:w="14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032F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完整 AI 评审</w:t>
            </w:r>
          </w:p>
        </w:tc>
        <w:tc>
          <w:tcPr>
            <w:tcW w:w="14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25E0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完整覆盖率</w:t>
            </w:r>
          </w:p>
        </w:tc>
        <w:tc>
          <w:tcPr>
            <w:tcW w:w="14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4421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缺失或不完整</w:t>
            </w:r>
          </w:p>
        </w:tc>
      </w:tr>
      <w:tr w14:paraId="563F4A01">
        <w:trPr>
          <w:cantSplit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2C25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A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7C3C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30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BDA6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29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8FB1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28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4D75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93.3%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35D0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</w:t>
            </w:r>
          </w:p>
        </w:tc>
      </w:tr>
      <w:tr w14:paraId="56C3304F">
        <w:trPr>
          <w:cantSplit/>
        </w:trPr>
        <w:tc>
          <w:tcPr>
            <w:tcW w:w="220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B2F5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B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2A7F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30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D8E6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26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7E19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26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F305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86.7%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86A8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</w:t>
            </w:r>
          </w:p>
        </w:tc>
      </w:tr>
      <w:tr w14:paraId="397F5F82">
        <w:trPr>
          <w:cantSplit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8592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C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E839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30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00FD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27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D96F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27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3A2C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90.0%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383D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</w:t>
            </w:r>
          </w:p>
        </w:tc>
      </w:tr>
      <w:tr w14:paraId="6E2B5825">
        <w:trPr>
          <w:cantSplit/>
        </w:trPr>
        <w:tc>
          <w:tcPr>
            <w:tcW w:w="220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B580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D-Clean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0E8A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30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2FCE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6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FBD3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6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1A47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20.0%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1E35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24</w:t>
            </w:r>
          </w:p>
        </w:tc>
      </w:tr>
      <w:tr w14:paraId="22BD0C85">
        <w:trPr>
          <w:cantSplit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A84F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D-Conflict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CC89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30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4AD1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24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4C4E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24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3E9C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80.0%</w:t>
            </w:r>
          </w:p>
        </w:tc>
        <w:tc>
          <w:tcPr>
            <w:tcW w:w="14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42E5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6</w:t>
            </w:r>
          </w:p>
        </w:tc>
      </w:tr>
      <w:tr w14:paraId="0154A143">
        <w:trPr>
          <w:cantSplit/>
        </w:trPr>
        <w:tc>
          <w:tcPr>
            <w:tcW w:w="220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5043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243447"/>
                <w:sz w:val="16"/>
              </w:rPr>
              <w:t>合计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B51B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243447"/>
                <w:sz w:val="16"/>
              </w:rPr>
              <w:t>150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6554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243447"/>
                <w:sz w:val="16"/>
              </w:rPr>
              <w:t>112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252A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243447"/>
                <w:sz w:val="16"/>
              </w:rPr>
              <w:t>111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5171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243447"/>
                <w:sz w:val="16"/>
              </w:rPr>
              <w:t>74.0%</w:t>
            </w:r>
          </w:p>
        </w:tc>
        <w:tc>
          <w:tcPr>
            <w:tcW w:w="14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6FB5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243447"/>
                <w:sz w:val="16"/>
              </w:rPr>
              <w:t>39</w:t>
            </w:r>
          </w:p>
        </w:tc>
      </w:tr>
    </w:tbl>
    <w:p w14:paraId="308524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577FF4D1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显式错误包括 35 次响应提取失败、2 次远端流取消、1 次无法解析的返回；另有 1 次静默不完整。现有证据不能确认它们由“长载荷超时”造成。PROGRAM 规则不依赖 LLM-judge，仍然覆盖 150/150。</w:t>
      </w:r>
    </w:p>
    <w:p w14:paraId="5D3CC73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3.2 自动裁判的已知异常</w:t>
      </w:r>
    </w:p>
    <w:p w14:paraId="05EC83E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已发现多条记录的结构化 verdict 为 FAIL，但文字理由明确写着“应判 PASS”或“最终判定 PASS”；不同检索口径还会影响异常计数。该现象足以说明绝对分数对裁判误差敏感，正式统计前应逐条人工复核，而不在本报告中直接改写记录值。</w:t>
      </w:r>
    </w:p>
    <w:p w14:paraId="66B4D35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 xml:space="preserve">两份 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judge_raw</w:t>
      </w:r>
      <w:r>
        <w:rPr>
          <w:rFonts w:ascii="Arial Unicode MS" w:hAnsi="Arial Unicode MS" w:eastAsia="Arial Unicode MS"/>
          <w:b w:val="0"/>
          <w:color w:val="243447"/>
          <w:sz w:val="20"/>
        </w:rPr>
        <w:t xml:space="preserve"> 存在同一 rule ID 重复且前后结论不同，当前聚合逻辑采用最后一条覆盖前一条。</w:t>
      </w:r>
    </w:p>
    <w:p w14:paraId="55E19D2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 xml:space="preserve">C 组的“两位小数”专属规则与共享 K03 在同一次调用中评审，出现把 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18.6</w:t>
      </w:r>
      <w:r>
        <w:rPr>
          <w:rFonts w:ascii="Arial Unicode MS" w:hAnsi="Arial Unicode MS" w:eastAsia="Arial Unicode MS"/>
          <w:b w:val="0"/>
          <w:color w:val="243447"/>
          <w:sz w:val="20"/>
        </w:rPr>
        <w:t xml:space="preserve"> 与 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18.60</w:t>
      </w:r>
      <w:r>
        <w:rPr>
          <w:rFonts w:ascii="Arial Unicode MS" w:hAnsi="Arial Unicode MS" w:eastAsia="Arial Unicode MS"/>
          <w:b w:val="0"/>
          <w:color w:val="243447"/>
          <w:sz w:val="20"/>
        </w:rPr>
        <w:t xml:space="preserve"> 视为事实不一致的案例。组专属规则可能污染共享规则的横向比较。</w:t>
      </w:r>
    </w:p>
    <w:p w14:paraId="01C4B1E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质量分使用相同 rubric，但 judge 同时接收各组不同的专属规则，因此它不是条件盲评。</w:t>
      </w:r>
    </w:p>
    <w:p w14:paraId="2CD822D2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因此，下文的 AI 指标统一称为</w:t>
      </w:r>
      <w:r>
        <w:rPr>
          <w:rFonts w:ascii="Arial Unicode MS" w:hAnsi="Arial Unicode MS" w:eastAsia="Arial Unicode MS"/>
          <w:b/>
          <w:color w:val="243447"/>
          <w:sz w:val="21"/>
        </w:rPr>
        <w:t>完整案例口径（complete-case）下的未校准记录值</w:t>
      </w:r>
      <w:r>
        <w:rPr>
          <w:rFonts w:ascii="Arial Unicode MS" w:hAnsi="Arial Unicode MS" w:eastAsia="Arial Unicode MS"/>
          <w:b w:val="0"/>
          <w:color w:val="243447"/>
          <w:sz w:val="21"/>
        </w:rPr>
        <w:t>。其缺失并非随机，尤其 D-Clean 仅 6 份完整，不能据此代表全组。将评估 ERROR 按 0 计的页面指标混合了模型失败与评估故障，本报告不把它解释为模型能力的“保守估计”。</w:t>
      </w:r>
    </w:p>
    <w:p w14:paraId="22E704F4">
      <w:pPr>
        <w:pStyle w:val="3"/>
        <w:pageBreakBefore w:val="0"/>
        <w:widowControl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4. 横向结果</w:t>
      </w:r>
    </w:p>
    <w:p w14:paraId="5BFDE6E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4.1 共享指标：完整案例、未人工纠偏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1120"/>
        <w:gridCol w:w="2039"/>
        <w:gridCol w:w="1120"/>
        <w:gridCol w:w="1120"/>
        <w:gridCol w:w="1120"/>
        <w:gridCol w:w="1120"/>
      </w:tblGrid>
      <w:tr w14:paraId="51114EAC">
        <w:trPr>
          <w:cantSplit/>
          <w:trHeight w:val="0" w:hRule="atLeast"/>
          <w:tblHeader/>
        </w:trPr>
        <w:tc>
          <w:tcPr>
            <w:tcW w:w="1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360A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条件</w:t>
            </w:r>
          </w:p>
        </w:tc>
        <w:tc>
          <w:tcPr>
            <w:tcW w:w="11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023A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完整 n</w:t>
            </w:r>
          </w:p>
        </w:tc>
        <w:tc>
          <w:tcPr>
            <w:tcW w:w="203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CA9A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共享 P0 全过率</w:t>
            </w:r>
          </w:p>
        </w:tc>
        <w:tc>
          <w:tcPr>
            <w:tcW w:w="11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A1F4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Core 加权分</w:t>
            </w:r>
          </w:p>
        </w:tc>
        <w:tc>
          <w:tcPr>
            <w:tcW w:w="11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F71C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Core 未加权分</w:t>
            </w:r>
          </w:p>
        </w:tc>
        <w:tc>
          <w:tcPr>
            <w:tcW w:w="11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EACD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StablePass</w:t>
            </w:r>
          </w:p>
        </w:tc>
        <w:tc>
          <w:tcPr>
            <w:tcW w:w="11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E74C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质量分</w:t>
            </w:r>
          </w:p>
        </w:tc>
      </w:tr>
      <w:tr w14:paraId="77777145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DD5A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A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6DBB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28</w:t>
            </w:r>
          </w:p>
        </w:tc>
        <w:tc>
          <w:tcPr>
            <w:tcW w:w="20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93DF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32.1%（9/28）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AF0E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72.0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4C71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78.0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9397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17.9%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9F5E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4.47</w:t>
            </w:r>
          </w:p>
        </w:tc>
      </w:tr>
      <w:tr w14:paraId="5F893DCA">
        <w:trPr>
          <w:cantSplit/>
        </w:trPr>
        <w:tc>
          <w:tcPr>
            <w:tcW w:w="172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B19F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B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C587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26</w:t>
            </w:r>
          </w:p>
        </w:tc>
        <w:tc>
          <w:tcPr>
            <w:tcW w:w="203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3334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88.5%（23/26）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3BB0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92.1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3539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84.6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AC41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23.1%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1B1C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4.63</w:t>
            </w:r>
          </w:p>
        </w:tc>
      </w:tr>
      <w:tr w14:paraId="0A0B5FCF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64A0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C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70CF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27</w:t>
            </w:r>
          </w:p>
        </w:tc>
        <w:tc>
          <w:tcPr>
            <w:tcW w:w="20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8C1D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40.7%（11/27）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6AD2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79.1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237A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76.5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97CE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14.8%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89E6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4.69</w:t>
            </w:r>
          </w:p>
        </w:tc>
      </w:tr>
      <w:tr w14:paraId="05DDE735">
        <w:trPr>
          <w:cantSplit/>
        </w:trPr>
        <w:tc>
          <w:tcPr>
            <w:tcW w:w="172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F1F8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D-Clean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A14E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6</w:t>
            </w:r>
          </w:p>
        </w:tc>
        <w:tc>
          <w:tcPr>
            <w:tcW w:w="203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FDD9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50.0%（3/6）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A5BC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77.8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C63C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72.2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34F0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0%</w:t>
            </w:r>
          </w:p>
        </w:tc>
        <w:tc>
          <w:tcPr>
            <w:tcW w:w="11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C22B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4.00</w:t>
            </w:r>
          </w:p>
        </w:tc>
      </w:tr>
      <w:tr w14:paraId="43F10235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5D88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D-Conflict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6D08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24</w:t>
            </w:r>
          </w:p>
        </w:tc>
        <w:tc>
          <w:tcPr>
            <w:tcW w:w="20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2FFD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8.3%（2/24）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DD0C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49.3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38E3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45.8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C17B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0%</w:t>
            </w:r>
          </w:p>
        </w:tc>
        <w:tc>
          <w:tcPr>
            <w:tcW w:w="11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849E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6"/>
              </w:rPr>
              <w:t>2.34</w:t>
            </w:r>
          </w:p>
        </w:tc>
      </w:tr>
    </w:tbl>
    <w:p w14:paraId="126B98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53DF95AC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指标定义：</w:t>
      </w:r>
    </w:p>
    <w:p w14:paraId="7655DFB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共享 P0 全过率</w:t>
      </w:r>
      <w:r>
        <w:rPr>
          <w:rFonts w:ascii="Arial Unicode MS" w:hAnsi="Arial Unicode MS" w:eastAsia="Arial Unicode MS"/>
          <w:b w:val="0"/>
          <w:color w:val="243447"/>
          <w:sz w:val="20"/>
        </w:rPr>
        <w:t>：K01 事实边界、K03 事实准确、K04 判断边界三条均为 PASS。</w:t>
      </w:r>
    </w:p>
    <w:p w14:paraId="60E13E9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StablePass</w:t>
      </w:r>
      <w:r>
        <w:rPr>
          <w:rFonts w:ascii="Arial Unicode MS" w:hAnsi="Arial Unicode MS" w:eastAsia="Arial Unicode MS"/>
          <w:b w:val="0"/>
          <w:color w:val="243447"/>
          <w:sz w:val="20"/>
        </w:rPr>
        <w:t>：六条共享 K 规则全部为 PASS，并不等于该组全部交付规则通过。</w:t>
      </w:r>
    </w:p>
    <w:p w14:paraId="2F5C09B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Core 分</w:t>
      </w:r>
      <w:r>
        <w:rPr>
          <w:rFonts w:ascii="Arial Unicode MS" w:hAnsi="Arial Unicode MS" w:eastAsia="Arial Unicode MS"/>
          <w:b w:val="0"/>
          <w:color w:val="243447"/>
          <w:sz w:val="20"/>
        </w:rPr>
        <w:t>：六条共享 K 规则的评分聚合，PASS=1、PARTIAL=0.5、FAIL=0。</w:t>
      </w:r>
    </w:p>
    <w:p w14:paraId="2455A92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质量分</w:t>
      </w:r>
      <w:r>
        <w:rPr>
          <w:rFonts w:ascii="Arial Unicode MS" w:hAnsi="Arial Unicode MS" w:eastAsia="Arial Unicode MS"/>
          <w:b w:val="0"/>
          <w:color w:val="243447"/>
          <w:sz w:val="20"/>
        </w:rPr>
        <w:t>：同一 LLM-judge rubric 的 1–5 分观感分；非条件盲评，不应单独作为可信度结论。</w:t>
      </w:r>
    </w:p>
    <w:p w14:paraId="0B17DB1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评估台的“仅 P0 通过份质量分”使用各组全部适用 P0 门禁，而非上表的三条共享 P0，因此两者分母可能不同。</w:t>
      </w:r>
    </w:p>
    <w:p w14:paraId="544E8A1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4.2 全量程序规则：更稳健的直接证据</w:t>
      </w:r>
    </w:p>
    <w:p w14:paraId="5D42EA8D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篇幅 K06 在全部 30 份上的通过率为：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9"/>
        <w:gridCol w:w="3175"/>
        <w:gridCol w:w="4706"/>
      </w:tblGrid>
      <w:tr w14:paraId="04E8655F">
        <w:trPr>
          <w:cantSplit/>
          <w:trHeight w:val="0" w:hRule="atLeast"/>
          <w:tblHeader/>
        </w:trPr>
        <w:tc>
          <w:tcPr>
            <w:tcW w:w="147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382C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条件</w:t>
            </w:r>
          </w:p>
        </w:tc>
        <w:tc>
          <w:tcPr>
            <w:tcW w:w="317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4409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K06 通过</w:t>
            </w:r>
          </w:p>
        </w:tc>
        <w:tc>
          <w:tcPr>
            <w:tcW w:w="470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F190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判读</w:t>
            </w:r>
          </w:p>
        </w:tc>
      </w:tr>
      <w:tr w14:paraId="1CDBAF76">
        <w:trPr>
          <w:cantSplit/>
        </w:trPr>
        <w:tc>
          <w:tcPr>
            <w:tcW w:w="1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F147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A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EA73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21/30（70.0%）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3419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基线多数可控</w:t>
            </w:r>
          </w:p>
        </w:tc>
      </w:tr>
      <w:tr w14:paraId="5E2F19F1">
        <w:trPr>
          <w:cantSplit/>
        </w:trPr>
        <w:tc>
          <w:tcPr>
            <w:tcW w:w="147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53AE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B</w:t>
            </w:r>
          </w:p>
        </w:tc>
        <w:tc>
          <w:tcPr>
            <w:tcW w:w="317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76A4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6/30（20.0%）</w:t>
            </w:r>
          </w:p>
        </w:tc>
        <w:tc>
          <w:tcPr>
            <w:tcW w:w="470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4FBC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加入业务结构后明显下降</w:t>
            </w:r>
          </w:p>
        </w:tc>
      </w:tr>
      <w:tr w14:paraId="76E6C3A1">
        <w:trPr>
          <w:cantSplit/>
        </w:trPr>
        <w:tc>
          <w:tcPr>
            <w:tcW w:w="1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41E4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C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4317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8/30（26.7%）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627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较 B 略回升，但仍处低位</w:t>
            </w:r>
          </w:p>
        </w:tc>
      </w:tr>
      <w:tr w14:paraId="4BC1407E">
        <w:trPr>
          <w:cantSplit/>
        </w:trPr>
        <w:tc>
          <w:tcPr>
            <w:tcW w:w="147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A7CE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D-Clean</w:t>
            </w:r>
          </w:p>
        </w:tc>
        <w:tc>
          <w:tcPr>
            <w:tcW w:w="317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3154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1/30（3.3%）</w:t>
            </w:r>
          </w:p>
        </w:tc>
        <w:tc>
          <w:tcPr>
            <w:tcW w:w="470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4E3E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成文微操高负载下近乎失守</w:t>
            </w:r>
          </w:p>
        </w:tc>
      </w:tr>
      <w:tr w14:paraId="1B310BB1">
        <w:trPr>
          <w:cantSplit/>
        </w:trPr>
        <w:tc>
          <w:tcPr>
            <w:tcW w:w="1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0296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D-Conflict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C47A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0/30（0%）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B186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冲突压测下完全失守</w:t>
            </w:r>
          </w:p>
        </w:tc>
      </w:tr>
    </w:tbl>
    <w:p w14:paraId="6AEE90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3D954591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这是一条</w:t>
      </w:r>
      <w:r>
        <w:rPr>
          <w:rFonts w:ascii="Arial Unicode MS" w:hAnsi="Arial Unicode MS" w:eastAsia="Arial Unicode MS"/>
          <w:b/>
          <w:color w:val="243447"/>
          <w:sz w:val="21"/>
        </w:rPr>
        <w:t>总体退化但非严格单调</w:t>
      </w:r>
      <w:r>
        <w:rPr>
          <w:rFonts w:ascii="Arial Unicode MS" w:hAnsi="Arial Unicode MS" w:eastAsia="Arial Unicode MS"/>
          <w:b w:val="0"/>
          <w:color w:val="243447"/>
          <w:sz w:val="21"/>
        </w:rPr>
        <w:t>的曲线。其他全量程序信号包括：</w:t>
      </w:r>
    </w:p>
    <w:p w14:paraId="70B27A2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D-Clean：首句限长 L03 为 0/30；证据标识真实性 H06a 为 17/30（56.7%）。L01 是 AI 规则，仅 6 份完整，不可按 30 份解释。</w:t>
      </w:r>
    </w:p>
    <w:p w14:paraId="78EA25A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D-Conflict：标题结构 6/30、章节结构 3/30、章节证据覆盖 3/30；M06、M08、M09、M16 分别仅 2/30、4/30、7/30、1/30。</w:t>
      </w:r>
    </w:p>
    <w:p w14:paraId="4A515028">
      <w:pPr>
        <w:pStyle w:val="3"/>
        <w:pageBreakBefore w:val="0"/>
        <w:widowControl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5. 主要发现与证据强度</w:t>
      </w:r>
    </w:p>
    <w:p w14:paraId="1FAA8CD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5.1 A→B：关键业务规则与事实代理指标改善同时出现</w:t>
      </w:r>
    </w:p>
    <w:p w14:paraId="61F9FBDD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B 比 A 增加 320 个输入 token，并同时增加指标选择、结构、行业与区域比较、风险选择和溯源要求。完整案例中，共享 P0 由 9/28 升至 23/26，Core 加权分由 72.0 升至 92.1；但 K06 篇幅通过率由 70.0% 降至 20.0%，StablePass 也仅为 23.1%。</w:t>
      </w:r>
    </w:p>
    <w:p w14:paraId="72DC46C3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因此，本轮只支持以下描述性结论：</w:t>
      </w:r>
      <w:r>
        <w:rPr>
          <w:rFonts w:ascii="Arial Unicode MS" w:hAnsi="Arial Unicode MS" w:eastAsia="Arial Unicode MS"/>
          <w:b/>
          <w:color w:val="243447"/>
          <w:sz w:val="21"/>
        </w:rPr>
        <w:t>这组关键业务规则的组合与事实代理指标改善同时出现，同时也观察到篇幅可控性下降。</w:t>
      </w:r>
      <w:r>
        <w:rPr>
          <w:rFonts w:ascii="Arial Unicode MS" w:hAnsi="Arial Unicode MS" w:eastAsia="Arial Unicode MS"/>
          <w:b w:val="0"/>
          <w:color w:val="243447"/>
          <w:sz w:val="21"/>
        </w:rPr>
        <w:t xml:space="preserve"> 由于没有对溯源、结构或指标选择做单因素消融，不能把改善单独归因于“标注出处”。</w:t>
      </w:r>
    </w:p>
    <w:p w14:paraId="5316DBE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5.2 B→C：出现负边际信号，但尚不能确认注意力过载</w:t>
      </w:r>
    </w:p>
    <w:p w14:paraId="5B456367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C 比 B 再增加 833 个输入 token。当前记录值中，M 层新增规则平均得分为 89.4%，但共享 Core 未加权分由 84.6 降至 76.5，共享 P0 由 88.5% 降至 40.7%，StablePass 由 23.1% 降至 14.8%。</w:t>
      </w:r>
    </w:p>
    <w:p w14:paraId="34322ED9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这与“新增细则伴随共享核心指标退化”的负边际形态一致，但不能直接解释为模型“忙于细节、忘了事实”。C 组 K03 已受到小数精度专属规则的评审语境污染，且自动裁判存在自相矛盾 verdict。需要对所有组用</w:t>
      </w:r>
      <w:r>
        <w:rPr>
          <w:rFonts w:ascii="Arial Unicode MS" w:hAnsi="Arial Unicode MS" w:eastAsia="Arial Unicode MS"/>
          <w:b/>
          <w:color w:val="243447"/>
          <w:sz w:val="21"/>
        </w:rPr>
        <w:t>相同、独立、仅含 K 层的裁判上下文</w:t>
      </w:r>
      <w:r>
        <w:rPr>
          <w:rFonts w:ascii="Arial Unicode MS" w:hAnsi="Arial Unicode MS" w:eastAsia="Arial Unicode MS"/>
          <w:b w:val="0"/>
          <w:color w:val="243447"/>
          <w:sz w:val="21"/>
        </w:rPr>
        <w:t>重评，再由人工抽核确认。</w:t>
      </w:r>
    </w:p>
    <w:p w14:paraId="7071B29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5.3 D-Clean：成本和确定性格式失控已确认，语义质量尚不可判读</w:t>
      </w:r>
    </w:p>
    <w:p w14:paraId="62660D42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D-Clean 相比 C 仅增加 420 个输入 token，但平均隐藏推理 token 约增加 2,456，平均耗时约增加 100 秒；可见 token 估算反而由 917 降至 851。PROGRAM 全量结果显示 K06 仅 1/30、L03 为 0/30、H06a 为 17/30。</w:t>
      </w:r>
    </w:p>
    <w:p w14:paraId="64EC7F99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这支持“成文微操继续增加后，模型内部计算成本上升，而篇幅、首句和证据标识等确定性交付要求失守”。但 D-Clean 只有 6 份完整 AI 评审，</w:t>
      </w:r>
      <w:r>
        <w:rPr>
          <w:rFonts w:ascii="Arial Unicode MS" w:hAnsi="Arial Unicode MS" w:eastAsia="Arial Unicode MS"/>
          <w:b/>
          <w:color w:val="243447"/>
          <w:sz w:val="21"/>
        </w:rPr>
        <w:t>不能据此判断其事实准确性或整体语义质量是否继续下降</w:t>
      </w:r>
      <w:r>
        <w:rPr>
          <w:rFonts w:ascii="Arial Unicode MS" w:hAnsi="Arial Unicode MS" w:eastAsia="Arial Unicode MS"/>
          <w:b w:val="0"/>
          <w:color w:val="243447"/>
          <w:sz w:val="21"/>
        </w:rPr>
        <w:t>。</w:t>
      </w:r>
    </w:p>
    <w:p w14:paraId="43F336D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5.4 D-Conflict：冲突压测呈现静默选边，但不同事实底线的韧性不同</w:t>
      </w:r>
    </w:p>
    <w:p w14:paraId="7B410F16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24 份完整评审中的冲突探针计数如下：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1251"/>
        <w:gridCol w:w="1251"/>
        <w:gridCol w:w="1251"/>
        <w:gridCol w:w="3333"/>
      </w:tblGrid>
      <w:tr w14:paraId="0D362CC7">
        <w:trPr>
          <w:cantSplit/>
          <w:trHeight w:val="0" w:hRule="atLeast"/>
          <w:tblHeader/>
        </w:trPr>
        <w:tc>
          <w:tcPr>
            <w:tcW w:w="227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3893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冲突探针</w:t>
            </w:r>
          </w:p>
        </w:tc>
        <w:tc>
          <w:tcPr>
            <w:tcW w:w="12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4410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PASS</w:t>
            </w:r>
          </w:p>
        </w:tc>
        <w:tc>
          <w:tcPr>
            <w:tcW w:w="12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F29C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PARTIAL</w:t>
            </w:r>
          </w:p>
        </w:tc>
        <w:tc>
          <w:tcPr>
            <w:tcW w:w="12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64F7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FAIL</w:t>
            </w:r>
          </w:p>
        </w:tc>
        <w:tc>
          <w:tcPr>
            <w:tcW w:w="3333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5087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观察</w:t>
            </w:r>
          </w:p>
        </w:tc>
      </w:tr>
      <w:tr w14:paraId="6E302B82">
        <w:trPr>
          <w:cantSplit/>
        </w:trPr>
        <w:tc>
          <w:tcPr>
            <w:tcW w:w="22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CE3F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篇幅互斥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64F5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1823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20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D725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</w:t>
            </w:r>
          </w:p>
        </w:tc>
        <w:tc>
          <w:tcPr>
            <w:tcW w:w="33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9151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多数静默折中</w:t>
            </w:r>
          </w:p>
        </w:tc>
      </w:tr>
      <w:tr w14:paraId="34FCCF0B">
        <w:trPr>
          <w:cantSplit/>
        </w:trPr>
        <w:tc>
          <w:tcPr>
            <w:tcW w:w="22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DBD7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载体互斥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E193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3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D424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15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179D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6</w:t>
            </w:r>
          </w:p>
        </w:tc>
        <w:tc>
          <w:tcPr>
            <w:tcW w:w="333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53E0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多数无法完整满足</w:t>
            </w:r>
          </w:p>
        </w:tc>
      </w:tr>
      <w:tr w14:paraId="27150C81">
        <w:trPr>
          <w:cantSplit/>
        </w:trPr>
        <w:tc>
          <w:tcPr>
            <w:tcW w:w="22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775B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措辞与事实方向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4CF5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16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BBD2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0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D919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8</w:t>
            </w:r>
          </w:p>
        </w:tc>
        <w:tc>
          <w:tcPr>
            <w:tcW w:w="33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8483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8 份未守住负向事实</w:t>
            </w:r>
          </w:p>
        </w:tc>
      </w:tr>
      <w:tr w14:paraId="2EA61E2C">
        <w:trPr>
          <w:cantSplit/>
        </w:trPr>
        <w:tc>
          <w:tcPr>
            <w:tcW w:w="22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BB8B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精度互斥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2971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5855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18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4DB1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4</w:t>
            </w:r>
          </w:p>
        </w:tc>
        <w:tc>
          <w:tcPr>
            <w:tcW w:w="333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5158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多数选择折中格式</w:t>
            </w:r>
          </w:p>
        </w:tc>
      </w:tr>
      <w:tr w14:paraId="66C2CF94">
        <w:trPr>
          <w:cantSplit/>
        </w:trPr>
        <w:tc>
          <w:tcPr>
            <w:tcW w:w="22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4A75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缺失值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C68D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21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CAF5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0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B212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3</w:t>
            </w:r>
          </w:p>
        </w:tc>
        <w:tc>
          <w:tcPr>
            <w:tcW w:w="33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AA58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大多数拒绝把 null 填成 0</w:t>
            </w:r>
          </w:p>
        </w:tc>
      </w:tr>
      <w:tr w14:paraId="0196D479">
        <w:trPr>
          <w:cantSplit/>
        </w:trPr>
        <w:tc>
          <w:tcPr>
            <w:tcW w:w="22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7D47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确定性归因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9B0F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21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0C6E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0</w:t>
            </w:r>
          </w:p>
        </w:tc>
        <w:tc>
          <w:tcPr>
            <w:tcW w:w="12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920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3</w:t>
            </w:r>
          </w:p>
        </w:tc>
        <w:tc>
          <w:tcPr>
            <w:tcW w:w="333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5F6A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大多数未编造唯一原因</w:t>
            </w:r>
          </w:p>
        </w:tc>
      </w:tr>
      <w:tr w14:paraId="22D0ECE1">
        <w:trPr>
          <w:cantSplit/>
        </w:trPr>
        <w:tc>
          <w:tcPr>
            <w:tcW w:w="22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1B0D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风险清单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DBEC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22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6A1A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0</w:t>
            </w:r>
          </w:p>
        </w:tc>
        <w:tc>
          <w:tcPr>
            <w:tcW w:w="1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542A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</w:t>
            </w:r>
          </w:p>
        </w:tc>
        <w:tc>
          <w:tcPr>
            <w:tcW w:w="33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D59B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大多数未把正增长指标强列为风险</w:t>
            </w:r>
          </w:p>
        </w:tc>
      </w:tr>
    </w:tbl>
    <w:p w14:paraId="6C7AFB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3D993BE7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这说明，在本次</w:t>
      </w:r>
      <w:r>
        <w:rPr>
          <w:rFonts w:ascii="Arial Unicode MS" w:hAnsi="Arial Unicode MS" w:eastAsia="Arial Unicode MS"/>
          <w:b/>
          <w:color w:val="243447"/>
          <w:sz w:val="21"/>
        </w:rPr>
        <w:t>人为构造的极端 Prompt</w:t>
      </w:r>
      <w:r>
        <w:rPr>
          <w:rFonts w:ascii="Arial Unicode MS" w:hAnsi="Arial Unicode MS" w:eastAsia="Arial Unicode MS"/>
          <w:b w:val="0"/>
          <w:color w:val="243447"/>
          <w:sz w:val="21"/>
        </w:rPr>
        <w:t>中，模型不是平均地放弃所有规则，而是静默选择部分要求：缺失值、确定性归因等底线相对有韧性，宣传措辞与事实方向的冲突更容易侵蚀真实表达。该结果不能外推为普通生产 Prompt 的日常失败率。</w:t>
      </w:r>
    </w:p>
    <w:p w14:paraId="6EB084E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5.5 “好看”与“可信”必须分开验收</w:t>
      </w:r>
    </w:p>
    <w:p w14:paraId="01FC3C75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A 的质量分为 4.47，但共享 P0 仅 9/28；C 的质量分为 4.69，但共享 P0 仅 11/27。观感较好并不等于事实可靠。不过，质量分本身并非条件盲评，因此这里只能用于提示“两个维度应分开”，不用于精确比较组间观感优劣。</w:t>
      </w:r>
    </w:p>
    <w:p w14:paraId="46EA740F">
      <w:pPr>
        <w:pStyle w:val="3"/>
        <w:pageBreakBefore w:val="0"/>
        <w:widowControl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6. 边际效用代理分析</w:t>
      </w:r>
    </w:p>
    <w:p w14:paraId="2996BFB4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本轮没有记录人工修改时间、Prompt 维护成本和每份最终合格报告成本，因此不能计算完整的商业 ROI。现阶段只能观察“输入 token—自动评审代理指标—推理/时延成本”的探索性关系：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952"/>
        <w:gridCol w:w="4153"/>
        <w:gridCol w:w="2930"/>
      </w:tblGrid>
      <w:tr w14:paraId="755CAE86">
        <w:trPr>
          <w:cantSplit/>
          <w:trHeight w:val="0" w:hRule="atLeast"/>
          <w:tblHeader/>
        </w:trPr>
        <w:tc>
          <w:tcPr>
            <w:tcW w:w="132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C9CE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w="9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8F8E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输入变化</w:t>
            </w:r>
          </w:p>
        </w:tc>
        <w:tc>
          <w:tcPr>
            <w:tcW w:w="4153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05EC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同时出现的收益或损失</w:t>
            </w:r>
          </w:p>
        </w:tc>
        <w:tc>
          <w:tcPr>
            <w:tcW w:w="293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65BD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当前判读</w:t>
            </w:r>
          </w:p>
        </w:tc>
      </w:tr>
      <w:tr w14:paraId="4B270ADF">
        <w:trPr>
          <w:cantSplit/>
        </w:trPr>
        <w:tc>
          <w:tcPr>
            <w:tcW w:w="13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AA0F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A→B</w:t>
            </w:r>
          </w:p>
        </w:tc>
        <w:tc>
          <w:tcPr>
            <w:tcW w:w="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89E0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+320</w:t>
            </w:r>
          </w:p>
        </w:tc>
        <w:tc>
          <w:tcPr>
            <w:tcW w:w="41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FACC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共享 P0 上升；篇幅通过率下降</w:t>
            </w:r>
          </w:p>
        </w:tc>
        <w:tc>
          <w:tcPr>
            <w:tcW w:w="29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99FA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高价值业务规则的候选区，非整体黄金区</w:t>
            </w:r>
          </w:p>
        </w:tc>
      </w:tr>
      <w:tr w14:paraId="7FFBC09A">
        <w:trPr>
          <w:cantSplit/>
        </w:trPr>
        <w:tc>
          <w:tcPr>
            <w:tcW w:w="132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41DE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B→C</w:t>
            </w:r>
          </w:p>
        </w:tc>
        <w:tc>
          <w:tcPr>
            <w:tcW w:w="95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C8C6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+833</w:t>
            </w:r>
          </w:p>
        </w:tc>
        <w:tc>
          <w:tcPr>
            <w:tcW w:w="415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ACC9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新增规则大多兑现；共享核心代理指标下降</w:t>
            </w:r>
          </w:p>
        </w:tc>
        <w:tc>
          <w:tcPr>
            <w:tcW w:w="293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1EA1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疑似负边际，待统一重评</w:t>
            </w:r>
          </w:p>
        </w:tc>
      </w:tr>
      <w:tr w14:paraId="2145D909">
        <w:trPr>
          <w:cantSplit/>
        </w:trPr>
        <w:tc>
          <w:tcPr>
            <w:tcW w:w="13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2349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C→D-Clean</w:t>
            </w:r>
          </w:p>
        </w:tc>
        <w:tc>
          <w:tcPr>
            <w:tcW w:w="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D394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+420</w:t>
            </w:r>
          </w:p>
        </w:tc>
        <w:tc>
          <w:tcPr>
            <w:tcW w:w="41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C1B2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隐藏推理与耗时大幅上升；篇幅和首句纪律近乎失守</w:t>
            </w:r>
          </w:p>
        </w:tc>
        <w:tc>
          <w:tcPr>
            <w:tcW w:w="29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2BF0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成本—可见收益脱钩的强程序信号</w:t>
            </w:r>
          </w:p>
        </w:tc>
      </w:tr>
      <w:tr w14:paraId="2A08CDD5">
        <w:trPr>
          <w:cantSplit/>
        </w:trPr>
        <w:tc>
          <w:tcPr>
            <w:tcW w:w="132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4E1D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C→D-Conflict</w:t>
            </w:r>
          </w:p>
        </w:tc>
        <w:tc>
          <w:tcPr>
            <w:tcW w:w="95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1E42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+2,098</w:t>
            </w:r>
          </w:p>
        </w:tc>
        <w:tc>
          <w:tcPr>
            <w:tcW w:w="415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37C6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结构、证据覆盖、稳定性在本批次明显下降</w:t>
            </w:r>
          </w:p>
        </w:tc>
        <w:tc>
          <w:tcPr>
            <w:tcW w:w="293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5AF3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极端冲突风险信号；非等负载因果对照</w:t>
            </w:r>
          </w:p>
        </w:tc>
      </w:tr>
    </w:tbl>
    <w:p w14:paraId="2BAE3E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7290C4A6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因此，首轮结果能呈现“边际收益可能由正转负”的形态，但不能据此精确定位一个通用 token 阈值。</w:t>
      </w:r>
    </w:p>
    <w:p w14:paraId="7BF173F3">
      <w:pPr>
        <w:pStyle w:val="3"/>
        <w:pageBreakBefore w:val="0"/>
        <w:widowControl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hint="eastAsia" w:ascii="Arial Unicode MS" w:hAnsi="Arial Unicode MS" w:eastAsia="Arial Unicode MS"/>
          <w:b/>
          <w:color w:val="17365D"/>
          <w:sz w:val="32"/>
          <w:lang w:val="en-US" w:eastAsia="zh-CN"/>
        </w:rPr>
        <w:t>7</w:t>
      </w:r>
      <w:bookmarkStart w:id="0" w:name="_GoBack"/>
      <w:bookmarkEnd w:id="0"/>
      <w:r>
        <w:rPr>
          <w:rFonts w:ascii="Arial Unicode MS" w:hAnsi="Arial Unicode MS" w:eastAsia="Arial Unicode MS"/>
          <w:b/>
          <w:color w:val="17365D"/>
          <w:sz w:val="32"/>
        </w:rPr>
        <w:t>. 证据索引</w:t>
      </w:r>
    </w:p>
    <w:p w14:paraId="5BE413D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五组最新 Prompt：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expe/Prompt-A-Baseline.md</w:t>
      </w:r>
      <w:r>
        <w:rPr>
          <w:rFonts w:ascii="Arial Unicode MS" w:hAnsi="Arial Unicode MS" w:eastAsia="Arial Unicode MS"/>
          <w:b w:val="0"/>
          <w:color w:val="243447"/>
          <w:sz w:val="20"/>
        </w:rPr>
        <w:t>、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Prompt-B-BizRules.md</w:t>
      </w:r>
      <w:r>
        <w:rPr>
          <w:rFonts w:ascii="Arial Unicode MS" w:hAnsi="Arial Unicode MS" w:eastAsia="Arial Unicode MS"/>
          <w:b w:val="0"/>
          <w:color w:val="243447"/>
          <w:sz w:val="20"/>
        </w:rPr>
        <w:t>、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Prompt-C-QualityRules.md</w:t>
      </w:r>
      <w:r>
        <w:rPr>
          <w:rFonts w:ascii="Arial Unicode MS" w:hAnsi="Arial Unicode MS" w:eastAsia="Arial Unicode MS"/>
          <w:b w:val="0"/>
          <w:color w:val="243447"/>
          <w:sz w:val="20"/>
        </w:rPr>
        <w:t>、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Prompt-D-Clean.md</w:t>
      </w:r>
      <w:r>
        <w:rPr>
          <w:rFonts w:ascii="Arial Unicode MS" w:hAnsi="Arial Unicode MS" w:eastAsia="Arial Unicode MS"/>
          <w:b w:val="0"/>
          <w:color w:val="243447"/>
          <w:sz w:val="20"/>
        </w:rPr>
        <w:t>、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Prompt-D-Conflict.md</w:t>
      </w:r>
      <w:r>
        <w:rPr>
          <w:rFonts w:ascii="Arial Unicode MS" w:hAnsi="Arial Unicode MS" w:eastAsia="Arial Unicode MS"/>
          <w:b w:val="0"/>
          <w:color w:val="243447"/>
          <w:sz w:val="20"/>
        </w:rPr>
        <w:t>。</w:t>
      </w:r>
    </w:p>
    <w:p w14:paraId="094A6B7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生成证据：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expe/runs/20260804-093318-*</w:t>
      </w:r>
      <w:r>
        <w:rPr>
          <w:rFonts w:ascii="Arial Unicode MS" w:hAnsi="Arial Unicode MS" w:eastAsia="Arial Unicode MS"/>
          <w:b w:val="0"/>
          <w:color w:val="243447"/>
          <w:sz w:val="20"/>
        </w:rPr>
        <w:t>，含提示词和数据冻结副本、送模全文、原始响应、结果及元数据。</w:t>
      </w:r>
    </w:p>
    <w:p w14:paraId="6F43E6D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评估证据：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expe/evals/20260804-100952-eval-cddd/</w:t>
      </w:r>
      <w:r>
        <w:rPr>
          <w:rFonts w:ascii="Arial Unicode MS" w:hAnsi="Arial Unicode MS" w:eastAsia="Arial Unicode MS"/>
          <w:b w:val="0"/>
          <w:color w:val="243447"/>
          <w:sz w:val="20"/>
        </w:rPr>
        <w:t>，含规则冻结副本、150 份逐条判定元数据及 112 份 judge 原始响应。</w:t>
      </w:r>
    </w:p>
    <w:p w14:paraId="1C0781E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数据包哈希：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98d8548bdcb3d3790f60b1f0568b56496f6927a8c55d445a6e9998ad21d017a6</w:t>
      </w:r>
      <w:r>
        <w:rPr>
          <w:rFonts w:ascii="Arial Unicode MS" w:hAnsi="Arial Unicode MS" w:eastAsia="Arial Unicode MS"/>
          <w:b w:val="0"/>
          <w:color w:val="243447"/>
          <w:sz w:val="20"/>
        </w:rPr>
        <w:t>。</w:t>
      </w:r>
    </w:p>
    <w:p w14:paraId="79FD287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评估规则哈希：</w:t>
      </w:r>
      <w:r>
        <w:rPr>
          <w:rFonts w:ascii="Consolas" w:hAnsi="Consolas" w:eastAsia="Arial Unicode MS"/>
          <w:b w:val="0"/>
          <w:color w:val="243447"/>
          <w:sz w:val="19"/>
          <w:shd w:val="clear" w:fill="EEF2F6"/>
        </w:rPr>
        <w:t>6cbc9d730401130a15223c6e8bcb2ca4f43a8e4ac090168e4e20e064523b65b2</w:t>
      </w:r>
      <w:r>
        <w:rPr>
          <w:rFonts w:ascii="Arial Unicode MS" w:hAnsi="Arial Unicode MS" w:eastAsia="Arial Unicode MS"/>
          <w:b w:val="0"/>
          <w:color w:val="243447"/>
          <w:sz w:val="20"/>
        </w:rPr>
        <w:t>。</w:t>
      </w:r>
    </w:p>
    <w:p w14:paraId="2B350E73">
      <w:pPr>
        <w:pageBreakBefore w:val="0"/>
        <w:widowControl/>
        <w:pBdr>
          <w:left w:val="single" w:color="2E74B5" w:sz="18" w:space="8"/>
        </w:pBdr>
        <w:shd w:val="clear" w:fill="F4F8FB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59" w:right="115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最终判定：本轮已经形成可用于业务认知演示的探索性证据，但尚未达到“通用阈值验证”或“因果机制证明”的证据等级。正式对外引用准确率、拐点和组间优劣前，应先完成统一重评、人工校准、随机区组复跑和匹配对照。</w:t>
      </w:r>
    </w:p>
    <w:sectPr>
      <w:footerReference r:id="rId7" w:type="first"/>
      <w:headerReference r:id="rId5" w:type="default"/>
      <w:footerReference r:id="rId6" w:type="default"/>
      <w:pgSz w:w="12240" w:h="15840"/>
      <w:pgMar w:top="1123" w:right="1440" w:bottom="1080" w:left="1440" w:header="518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60EE9">
    <w:pPr>
      <w:pStyle w:val="24"/>
      <w:jc w:val="right"/>
    </w:pPr>
    <w:r>
      <w:rPr>
        <w:rFonts w:ascii="Calibri" w:hAnsi="Calibri"/>
        <w:color w:val="667085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1F940">
    <w:pPr>
      <w:pStyle w:val="24"/>
      <w:jc w:val="right"/>
    </w:pPr>
    <w:r>
      <w:rPr>
        <w:rFonts w:ascii="Calibri" w:hAnsi="Calibri"/>
        <w:color w:val="667085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87601">
    <w:pPr>
      <w:pStyle w:val="25"/>
      <w:spacing w:after="0"/>
      <w:jc w:val="left"/>
    </w:pPr>
    <w:r>
      <w:rPr>
        <w:rFonts w:ascii="Arial Unicode MS" w:hAnsi="Arial Unicode MS" w:eastAsia="Arial Unicode MS"/>
        <w:b/>
        <w:color w:val="2E74B5"/>
        <w:sz w:val="16"/>
      </w:rPr>
      <w:t>LLM PROMPT 实验评估  /  技术版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F5926"/>
    <w:multiLevelType w:val="singleLevel"/>
    <w:tmpl w:val="F6FF5926"/>
    <w:lvl w:ilvl="0" w:tentative="0">
      <w:start w:val="1"/>
      <w:numFmt w:val="decimal"/>
      <w:lvlText w:val="%1."/>
      <w:lvlJc w:val="left"/>
      <w:pPr>
        <w:ind w:left="420" w:hanging="32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9C9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12" w:lineRule="auto"/>
    </w:pPr>
    <w:rPr>
      <w:rFonts w:ascii="Arial Unicode MS" w:hAnsi="Arial Unicode MS" w:eastAsia="Arial Unicode MS" w:cstheme="minorBidi"/>
      <w:color w:val="2434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40" w:after="16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6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70" w:line="293" w:lineRule="auto"/>
      <w:ind w:left="360" w:hanging="245"/>
      <w:contextualSpacing/>
    </w:pPr>
    <w:rPr>
      <w:rFonts w:ascii="Arial Unicode MS" w:hAnsi="Arial Unicode MS" w:eastAsia="Arial Unicode MS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70" w:line="293" w:lineRule="auto"/>
      <w:ind w:left="360" w:hanging="245"/>
      <w:contextualSpacing/>
    </w:pPr>
    <w:rPr>
      <w:rFonts w:ascii="Arial Unicode MS" w:hAnsi="Arial Unicode MS" w:eastAsia="Arial Unicode MS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AiReportPreResearch 实验评估</dc:creator>
  <dc:description>由最新五组 Prompt、runs 与 evals 证据复核后生成</dc:description>
  <cp:keywords>LLM, Prompt, 过载, 边际效用, 评估</cp:keywords>
  <cp:lastModifiedBy>天宇</cp:lastModifiedBy>
  <dcterms:modified xsi:type="dcterms:W3CDTF">2026-08-04T12:25:04Z</dcterms:modified>
  <dc:subject>LLM Prompt 过载与边际效用验证实验评估</dc:subject>
  <dc:title>LLM-Prompt 过载与边际效用验证评估报告（技术版）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EC9065286156F175A069716ADA0DE199_42</vt:lpwstr>
  </property>
</Properties>
</file>