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32"/>
        </w:rPr>
        <w:t>Autonomous Optimisation of Structure-Based Virtual Screening Protocols Using an LLM Coding Agent</w:t>
      </w:r>
    </w:p>
    <w:p>
      <w:pPr>
        <w:spacing w:after="80"/>
        <w:jc w:val="center"/>
      </w:pPr>
      <w:r>
        <w:rPr>
          <w:rFonts w:ascii="Times New Roman" w:hAnsi="Times New Roman"/>
          <w:b w:val="0"/>
          <w:i w:val="0"/>
          <w:sz w:val="24"/>
        </w:rPr>
        <w:t>Osman Gani</w:t>
      </w:r>
    </w:p>
    <w:p>
      <w:pPr>
        <w:spacing w:after="80"/>
        <w:jc w:val="center"/>
      </w:pPr>
      <w:r>
        <w:rPr>
          <w:rFonts w:ascii="Times New Roman" w:hAnsi="Times New Roman"/>
          <w:b w:val="0"/>
          <w:i/>
          <w:sz w:val="20"/>
        </w:rPr>
        <w:t>Section for Pharmaceutical Chemistry, Department of Pharmacy, University of Oslo, P.O. Box 1068 Blindern, 0316 Oslo, Norway</w:t>
      </w:r>
    </w:p>
    <w:p>
      <w:pPr>
        <w:spacing w:after="80"/>
        <w:jc w:val="center"/>
      </w:pPr>
      <w:r>
        <w:rPr>
          <w:rFonts w:ascii="Times New Roman" w:hAnsi="Times New Roman"/>
          <w:b w:val="0"/>
          <w:i w:val="0"/>
          <w:sz w:val="20"/>
        </w:rPr>
        <w:t>ORCID: 0009-0000-0515-2781</w:t>
      </w:r>
    </w:p>
    <w:p>
      <w:pPr>
        <w:spacing w:after="360"/>
        <w:jc w:val="center"/>
      </w:pPr>
      <w:r>
        <w:rPr>
          <w:rFonts w:ascii="Times New Roman" w:hAnsi="Times New Roman"/>
          <w:b w:val="0"/>
          <w:i w:val="0"/>
          <w:sz w:val="20"/>
        </w:rPr>
        <w:t>Correspondence: osman.gani@farmasi.uio.no</w:t>
      </w:r>
    </w:p>
    <w:p>
      <w:pPr>
        <w:pStyle w:val="Heading1"/>
      </w:pPr>
      <w:r>
        <w:t>Abstract</w:t>
      </w:r>
    </w:p>
    <w:p>
      <w:r>
        <w:rPr>
          <w:rFonts w:ascii="Times New Roman" w:hAnsi="Times New Roman"/>
          <w:b w:val="0"/>
          <w:i w:val="0"/>
          <w:sz w:val="22"/>
        </w:rPr>
        <w:t>I applied the autoresearch paradigm to structure-based virtual screening (VS) optimisation on two structurally diverse targets: formyl peptide receptor 2 (FPR2, a GPCR with 3.0 Å cryo-EM structure) and cyclin-dependent kinase 2 (CDK2, with 1.74 Å X-ray structure). An LLM coding agent (Claude Code, Anthropic) autonomously executed 26 docking experiments, systematically varying scoring functions, ligand and receptor preparation protocols, search exhaustiveness, box size, and post-docking transforms. On FPR2, the agent identified that Vinardo scoring improves ROC AUC from 0.736 to 0.748 (+1.6%), while on CDK2, switching to an unfiltered ligand library improved AUC from 0.677 to 0.735 (+8.6%). Multi-metric analysis revealed a critical distinction: the FPR2 AUC gain came at the cost of early enrichment (BEDROC −13.9%, EF 1% −45.6%), whereas CDK2 showed robust improvement across all metrics (BEDROC +73.0%, EF 1% +104.7%). Optimal parameters were target-dependent, with the preferred scoring function and library preparation reversing between targets. These results demonstrate that the autoresearch pattern translates effectively from machine learning to physics-based computational chemistry, that single-metric optimisation can be misleading, and that autonomous parameter search can uncover target-specific configurations unlikely to emerge from manual tuning.</w:t>
      </w:r>
    </w:p>
    <w:p>
      <w:pPr>
        <w:pStyle w:val="Heading1"/>
      </w:pPr>
      <w:r>
        <w:t>Introduction</w:t>
      </w:r>
    </w:p>
    <w:p>
      <w:r>
        <w:rPr>
          <w:rFonts w:ascii="Times New Roman" w:hAnsi="Times New Roman"/>
          <w:b w:val="0"/>
          <w:i w:val="0"/>
          <w:sz w:val="22"/>
        </w:rPr>
        <w:t>The autoresearch paradigm, recently introduced by Karpathy,</w:t>
      </w:r>
      <w:r>
        <w:rPr>
          <w:rFonts w:ascii="Times New Roman" w:hAnsi="Times New Roman"/>
          <w:b w:val="0"/>
          <w:i w:val="0"/>
          <w:sz w:val="22"/>
          <w:vertAlign w:val="superscript"/>
        </w:rPr>
        <w:t>1</w:t>
      </w:r>
      <w:r>
        <w:rPr>
          <w:rFonts w:ascii="Times New Roman" w:hAnsi="Times New Roman"/>
          <w:b w:val="0"/>
          <w:i w:val="0"/>
          <w:sz w:val="22"/>
        </w:rPr>
        <w:t xml:space="preserve"> uses AI coding agents to run autonomous experiment loops: the agent reads its own source code, forms a hypothesis, modifies the code, runs the experiment, evaluates the outcome, and keeps or reverts the change. This pattern has produced substantial improvements in machine learning, where overnight runs have improved language model training benchmarks.</w:t>
      </w:r>
      <w:r>
        <w:rPr>
          <w:rFonts w:ascii="Times New Roman" w:hAnsi="Times New Roman"/>
          <w:b w:val="0"/>
          <w:i w:val="0"/>
          <w:sz w:val="22"/>
          <w:vertAlign w:val="superscript"/>
        </w:rPr>
        <w:t>1</w:t>
      </w:r>
      <w:r>
        <w:rPr>
          <w:rFonts w:ascii="Times New Roman" w:hAnsi="Times New Roman"/>
          <w:b w:val="0"/>
          <w:i w:val="0"/>
          <w:sz w:val="22"/>
        </w:rPr>
        <w:t xml:space="preserve"> However, the paradigm has not been applied outside machine learning, and its utility for experimental pipelines in the natural sciences remains unknown.</w:t>
      </w:r>
    </w:p>
    <w:p>
      <w:r>
        <w:rPr>
          <w:rFonts w:ascii="Times New Roman" w:hAnsi="Times New Roman"/>
          <w:b w:val="0"/>
          <w:i w:val="0"/>
          <w:sz w:val="22"/>
        </w:rPr>
        <w:t>Structure-based virtual screening (VS) is a natural candidate for autonomous optimisation. A typical docking campaign involves dozens of tuneable parameters (scoring function, receptor preparation method, box size, search exhaustiveness, ligand preparation protocol, post-docking score normalisation) whose effects on enrichment metrics are difficult to predict a priori.</w:t>
      </w:r>
      <w:r>
        <w:rPr>
          <w:rFonts w:ascii="Times New Roman" w:hAnsi="Times New Roman"/>
          <w:b w:val="0"/>
          <w:i w:val="0"/>
          <w:sz w:val="22"/>
          <w:vertAlign w:val="superscript"/>
        </w:rPr>
        <w:t>2,3</w:t>
      </w:r>
      <w:r>
        <w:rPr>
          <w:rFonts w:ascii="Times New Roman" w:hAnsi="Times New Roman"/>
          <w:b w:val="0"/>
          <w:i w:val="0"/>
          <w:sz w:val="22"/>
        </w:rPr>
        <w:t xml:space="preserve"> These parameters are typically set by expert intuition or limited manual sweeps, leaving large regions of the configuration space unexplored.</w:t>
      </w:r>
      <w:r>
        <w:rPr>
          <w:rFonts w:ascii="Times New Roman" w:hAnsi="Times New Roman"/>
          <w:b w:val="0"/>
          <w:i w:val="0"/>
          <w:sz w:val="22"/>
          <w:vertAlign w:val="superscript"/>
        </w:rPr>
        <w:t>4</w:t>
      </w:r>
      <w:r>
        <w:rPr>
          <w:rFonts w:ascii="Times New Roman" w:hAnsi="Times New Roman"/>
          <w:b w:val="0"/>
          <w:i w:val="0"/>
          <w:sz w:val="22"/>
        </w:rPr>
        <w:t xml:space="preserve"> Each docking run produces a single scalar outcome (e.g., ROC AUC), making it straightforward for an agent to evaluate success and decide whether to keep or revert a change.</w:t>
      </w:r>
    </w:p>
    <w:p>
      <w:r>
        <w:rPr>
          <w:rFonts w:ascii="Times New Roman" w:hAnsi="Times New Roman"/>
          <w:b w:val="0"/>
          <w:i w:val="0"/>
          <w:sz w:val="22"/>
        </w:rPr>
        <w:t>LLM-based coding agents can now execute multi-step scientific workflows autonomously. Recent work has demonstrated agents that augment chemistry reasoning with specialised tools,</w:t>
      </w:r>
      <w:r>
        <w:rPr>
          <w:rFonts w:ascii="Times New Roman" w:hAnsi="Times New Roman"/>
          <w:b w:val="0"/>
          <w:i w:val="0"/>
          <w:sz w:val="22"/>
          <w:vertAlign w:val="superscript"/>
        </w:rPr>
        <w:t>5</w:t>
      </w:r>
      <w:r>
        <w:rPr>
          <w:rFonts w:ascii="Times New Roman" w:hAnsi="Times New Roman"/>
          <w:b w:val="0"/>
          <w:i w:val="0"/>
          <w:sz w:val="22"/>
        </w:rPr>
        <w:t xml:space="preserve"> plan and carry out chemical syntheses,</w:t>
      </w:r>
      <w:r>
        <w:rPr>
          <w:rFonts w:ascii="Times New Roman" w:hAnsi="Times New Roman"/>
          <w:b w:val="0"/>
          <w:i w:val="0"/>
          <w:sz w:val="22"/>
          <w:vertAlign w:val="superscript"/>
        </w:rPr>
        <w:t>6</w:t>
      </w:r>
      <w:r>
        <w:rPr>
          <w:rFonts w:ascii="Times New Roman" w:hAnsi="Times New Roman"/>
          <w:b w:val="0"/>
          <w:i w:val="0"/>
          <w:sz w:val="22"/>
        </w:rPr>
        <w:t xml:space="preserve"> and conduct fully automated scientific discovery.</w:t>
      </w:r>
      <w:r>
        <w:rPr>
          <w:rFonts w:ascii="Times New Roman" w:hAnsi="Times New Roman"/>
          <w:b w:val="0"/>
          <w:i w:val="0"/>
          <w:sz w:val="22"/>
          <w:vertAlign w:val="superscript"/>
        </w:rPr>
        <w:t>7</w:t>
      </w:r>
      <w:r>
        <w:rPr>
          <w:rFonts w:ascii="Times New Roman" w:hAnsi="Times New Roman"/>
          <w:b w:val="0"/>
          <w:i w:val="0"/>
          <w:sz w:val="22"/>
        </w:rPr>
        <w:t xml:space="preserve"> However, these studies used agents to execute predefined workflows rather than to iteratively optimise one. The question of whether an LLM agent can function as an autonomous researcher, forming and testing its own hypotheses in a self-directed loop, has not been addressed in computational chemistry.</w:t>
      </w:r>
    </w:p>
    <w:p>
      <w:r>
        <w:rPr>
          <w:rFonts w:ascii="Times New Roman" w:hAnsi="Times New Roman"/>
          <w:b w:val="0"/>
          <w:i w:val="0"/>
          <w:sz w:val="22"/>
        </w:rPr>
        <w:t>I applied the autoresearch paradigm to VS optimisation on two structurally diverse targets: formyl peptide receptor 2 (FPR2), a G protein-coupled receptor with a 3.0 Å cryo-EM structure (PDB: 7T6S</w:t>
      </w:r>
      <w:r>
        <w:rPr>
          <w:rFonts w:ascii="Times New Roman" w:hAnsi="Times New Roman"/>
          <w:b w:val="0"/>
          <w:i w:val="0"/>
          <w:sz w:val="22"/>
          <w:vertAlign w:val="superscript"/>
        </w:rPr>
        <w:t>8</w:t>
      </w:r>
      <w:r>
        <w:rPr>
          <w:rFonts w:ascii="Times New Roman" w:hAnsi="Times New Roman"/>
          <w:b w:val="0"/>
          <w:i w:val="0"/>
          <w:sz w:val="22"/>
        </w:rPr>
        <w:t>), and cyclin-dependent kinase 2 (CDK2), a well-studied kinase with a 1.74 Å X-ray crystal structure (PDB: 6INL</w:t>
      </w:r>
      <w:r>
        <w:rPr>
          <w:rFonts w:ascii="Times New Roman" w:hAnsi="Times New Roman"/>
          <w:b w:val="0"/>
          <w:i w:val="0"/>
          <w:sz w:val="22"/>
          <w:vertAlign w:val="superscript"/>
        </w:rPr>
        <w:t>9</w:t>
      </w:r>
      <w:r>
        <w:rPr>
          <w:rFonts w:ascii="Times New Roman" w:hAnsi="Times New Roman"/>
          <w:b w:val="0"/>
          <w:i w:val="0"/>
          <w:sz w:val="22"/>
        </w:rPr>
        <w:t>). These targets differ in binding site topology (transmembrane pocket vs. ATP-competitive cleft), structure quality (cryo-EM vs. X-ray), and available benchmark data (ChEMBL-curated actives vs. DUD-E decoys). The agent autonomously executed 26 experiments across both targets, testing modifications spanning scoring functions, receptor and ligand preparation protocols, search parameters, and post-docking score transforms.</w:t>
      </w:r>
    </w:p>
    <w:p>
      <w:pPr>
        <w:pStyle w:val="Heading1"/>
      </w:pPr>
      <w:r>
        <w:t>Results and discussion</w:t>
      </w:r>
    </w:p>
    <w:p>
      <w:pPr>
        <w:pStyle w:val="Heading2"/>
      </w:pPr>
      <w:r>
        <w:t>Overview of both autonomous campaigns</w:t>
      </w:r>
    </w:p>
    <w:p>
      <w:r>
        <w:rPr>
          <w:rFonts w:ascii="Times New Roman" w:hAnsi="Times New Roman"/>
          <w:b w:val="0"/>
          <w:i w:val="0"/>
          <w:sz w:val="22"/>
        </w:rPr>
        <w:t>The agent completed 26 experiments across two targets (Tables 1 and 2): ten on FPR2 (∼55 GPU-hours, single GPU) and sixteen on CDK2 (∼6 GPU-hours, dual-GPU). Of these, one experiment was kept for FPR2 (Vinardo scoring) and three for CDK2 (naive library, Vina scoring, batch size adjustment). The agent followed a strict experiment loop (Fig. 1) and made all decisions (hypothesis selection, parameter modification, keep/revert) without human intervention. Although ROC AUC was the primary optimisation target, all experiments were evaluated against three metrics (ROC AUC, BEDROC at α = 80.5, and enrichment factor at 1%), enabling post hoc analysis of whether AUC gains translated into improved early enrichment.</w:t>
      </w:r>
    </w:p>
    <w:p>
      <w:pPr>
        <w:pStyle w:val="Heading2"/>
      </w:pPr>
      <w:r>
        <w:t>FPR2: scoring function is the dominant parameter</w:t>
      </w:r>
    </w:p>
    <w:p>
      <w:r>
        <w:rPr>
          <w:rFonts w:ascii="Times New Roman" w:hAnsi="Times New Roman"/>
          <w:b w:val="0"/>
          <w:i w:val="0"/>
          <w:sz w:val="22"/>
        </w:rPr>
        <w:t>On FPR2, the only successful modification was switching from the Vina to the Vinardo</w:t>
      </w:r>
      <w:r>
        <w:rPr>
          <w:rFonts w:ascii="Times New Roman" w:hAnsi="Times New Roman"/>
          <w:b w:val="0"/>
          <w:i w:val="0"/>
          <w:sz w:val="22"/>
          <w:vertAlign w:val="superscript"/>
        </w:rPr>
        <w:t>10</w:t>
      </w:r>
      <w:r>
        <w:rPr>
          <w:rFonts w:ascii="Times New Roman" w:hAnsi="Times New Roman"/>
          <w:b w:val="0"/>
          <w:i w:val="0"/>
          <w:sz w:val="22"/>
        </w:rPr>
        <w:t xml:space="preserve"> scoring function, improving AUC from 0.736 to 0.748 (+0.012; Table 1, experiment 1). This improvement exceeded the estimated stochastic noise floor of 0.004 by threefold (see ESI, Section S4</w:t>
      </w:r>
      <w:r>
        <w:rPr>
          <w:rFonts w:ascii="Times New Roman" w:hAnsi="Times New Roman"/>
          <w:b w:val="0"/>
          <w:i w:val="0"/>
          <w:sz w:val="22"/>
          <w:vertAlign w:val="superscript"/>
        </w:rPr>
        <w:t>†</w:t>
      </w:r>
      <w:r>
        <w:rPr>
          <w:rFonts w:ascii="Times New Roman" w:hAnsi="Times New Roman"/>
          <w:b w:val="0"/>
          <w:i w:val="0"/>
          <w:sz w:val="22"/>
        </w:rPr>
        <w:t>). Nine other modifications were reverted, including box size reduction (20 Å, −0.003), doubling exhaustiveness (−0.004), switching to OpenBabel-prepared receptor (−0.016), MW correction (−0.046), and multi-pose aggregation (−0.018 to −0.033). The OpenBabel-prepared ligand library caused 100% segfault rate in Uni-Dock, preventing evaluation entirely.</w:t>
      </w:r>
    </w:p>
    <w:p>
      <w:pPr>
        <w:spacing w:after="120"/>
      </w:pPr>
      <w:r>
        <w:rPr>
          <w:rFonts w:ascii="Times New Roman" w:hAnsi="Times New Roman"/>
          <w:b/>
          <w:i w:val="0"/>
          <w:sz w:val="22"/>
        </w:rPr>
        <w:t xml:space="preserve">Table 1. </w:t>
      </w:r>
      <w:r>
        <w:rPr>
          <w:rFonts w:ascii="Times New Roman" w:hAnsi="Times New Roman"/>
          <w:b w:val="0"/>
          <w:i w:val="0"/>
          <w:sz w:val="22"/>
        </w:rPr>
        <w:t>FPR2 autoresearch campaign (10 experiments). Baseline: Vina scoring, skill library (5,223 ligands), skill receptor (Meeko), 25 Å box, exhaustiveness 8.</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D9E2F3"/>
          </w:tcPr>
          <w:p>
            <w:pPr>
              <w:jc w:val="center"/>
            </w:pPr>
            <w:r/>
            <w:r>
              <w:rPr>
                <w:rFonts w:ascii="Times New Roman" w:hAnsi="Times New Roman"/>
                <w:b/>
                <w:sz w:val="18"/>
              </w:rPr>
              <w:t>#</w:t>
            </w:r>
          </w:p>
        </w:tc>
        <w:tc>
          <w:tcPr>
            <w:tcW w:type="dxa" w:w="1170"/>
            <w:shd w:val="clear" w:color="auto" w:fill="D9E2F3"/>
          </w:tcPr>
          <w:p>
            <w:pPr>
              <w:jc w:val="center"/>
            </w:pPr>
            <w:r/>
            <w:r>
              <w:rPr>
                <w:rFonts w:ascii="Times New Roman" w:hAnsi="Times New Roman"/>
                <w:b/>
                <w:sz w:val="18"/>
              </w:rPr>
              <w:t>Experiment</w:t>
            </w:r>
          </w:p>
        </w:tc>
        <w:tc>
          <w:tcPr>
            <w:tcW w:type="dxa" w:w="1170"/>
            <w:shd w:val="clear" w:color="auto" w:fill="D9E2F3"/>
          </w:tcPr>
          <w:p>
            <w:pPr>
              <w:jc w:val="center"/>
            </w:pPr>
            <w:r/>
            <w:r>
              <w:rPr>
                <w:rFonts w:ascii="Times New Roman" w:hAnsi="Times New Roman"/>
                <w:b/>
                <w:sz w:val="18"/>
              </w:rPr>
              <w:t>AUC</w:t>
            </w:r>
          </w:p>
        </w:tc>
        <w:tc>
          <w:tcPr>
            <w:tcW w:type="dxa" w:w="1170"/>
            <w:shd w:val="clear" w:color="auto" w:fill="D9E2F3"/>
          </w:tcPr>
          <w:p>
            <w:pPr>
              <w:jc w:val="center"/>
            </w:pPr>
            <w:r/>
            <w:r>
              <w:rPr>
                <w:rFonts w:ascii="Times New Roman" w:hAnsi="Times New Roman"/>
                <w:b/>
                <w:sz w:val="18"/>
              </w:rPr>
              <w:t>ΔAUC</w:t>
            </w:r>
          </w:p>
        </w:tc>
        <w:tc>
          <w:tcPr>
            <w:tcW w:type="dxa" w:w="1170"/>
            <w:shd w:val="clear" w:color="auto" w:fill="D9E2F3"/>
          </w:tcPr>
          <w:p>
            <w:pPr>
              <w:jc w:val="center"/>
            </w:pPr>
            <w:r/>
            <w:r>
              <w:rPr>
                <w:rFonts w:ascii="Times New Roman" w:hAnsi="Times New Roman"/>
                <w:b/>
                <w:sz w:val="18"/>
              </w:rPr>
              <w:t>BEDROC</w:t>
            </w:r>
          </w:p>
        </w:tc>
        <w:tc>
          <w:tcPr>
            <w:tcW w:type="dxa" w:w="1170"/>
            <w:shd w:val="clear" w:color="auto" w:fill="D9E2F3"/>
          </w:tcPr>
          <w:p>
            <w:pPr>
              <w:jc w:val="center"/>
            </w:pPr>
            <w:r/>
            <w:r>
              <w:rPr>
                <w:rFonts w:ascii="Times New Roman" w:hAnsi="Times New Roman"/>
                <w:b/>
                <w:sz w:val="18"/>
              </w:rPr>
              <w:t>EF 1%</w:t>
            </w:r>
          </w:p>
        </w:tc>
        <w:tc>
          <w:tcPr>
            <w:tcW w:type="dxa" w:w="1170"/>
            <w:shd w:val="clear" w:color="auto" w:fill="D9E2F3"/>
          </w:tcPr>
          <w:p>
            <w:pPr>
              <w:jc w:val="center"/>
            </w:pPr>
            <w:r/>
            <w:r>
              <w:rPr>
                <w:rFonts w:ascii="Times New Roman" w:hAnsi="Times New Roman"/>
                <w:b/>
                <w:sz w:val="18"/>
              </w:rPr>
              <w:t>Time (h)</w:t>
            </w:r>
          </w:p>
        </w:tc>
        <w:tc>
          <w:tcPr>
            <w:tcW w:type="dxa" w:w="1170"/>
            <w:shd w:val="clear" w:color="auto" w:fill="D9E2F3"/>
          </w:tcPr>
          <w:p>
            <w:pPr>
              <w:jc w:val="center"/>
            </w:pPr>
            <w:r/>
            <w:r>
              <w:rPr>
                <w:rFonts w:ascii="Times New Roman" w:hAnsi="Times New Roman"/>
                <w:b/>
                <w:sz w:val="18"/>
              </w:rPr>
              <w:t>Decision</w:t>
            </w:r>
          </w:p>
        </w:tc>
      </w:tr>
      <w:tr>
        <w:tc>
          <w:tcPr>
            <w:tcW w:type="dxa" w:w="1170"/>
          </w:tcPr>
          <w:p>
            <w:pPr>
              <w:jc w:val="center"/>
            </w:pPr>
            <w:r/>
            <w:r>
              <w:rPr>
                <w:rFonts w:ascii="Times New Roman" w:hAnsi="Times New Roman"/>
                <w:b w:val="0"/>
                <w:sz w:val="18"/>
              </w:rPr>
              <w:t>0</w:t>
            </w:r>
          </w:p>
        </w:tc>
        <w:tc>
          <w:tcPr>
            <w:tcW w:type="dxa" w:w="1170"/>
          </w:tcPr>
          <w:p>
            <w:pPr>
              <w:jc w:val="center"/>
            </w:pPr>
            <w:r/>
            <w:r>
              <w:rPr>
                <w:rFonts w:ascii="Times New Roman" w:hAnsi="Times New Roman"/>
                <w:b w:val="0"/>
                <w:sz w:val="18"/>
              </w:rPr>
              <w:t>Baseline (Vina)</w:t>
            </w:r>
          </w:p>
        </w:tc>
        <w:tc>
          <w:tcPr>
            <w:tcW w:type="dxa" w:w="1170"/>
          </w:tcPr>
          <w:p>
            <w:pPr>
              <w:jc w:val="center"/>
            </w:pPr>
            <w:r/>
            <w:r>
              <w:rPr>
                <w:rFonts w:ascii="Times New Roman" w:hAnsi="Times New Roman"/>
                <w:b w:val="0"/>
                <w:sz w:val="18"/>
              </w:rPr>
              <w:t>0.736</w:t>
            </w:r>
          </w:p>
        </w:tc>
        <w:tc>
          <w:tcPr>
            <w:tcW w:type="dxa" w:w="1170"/>
          </w:tcPr>
          <w:p>
            <w:pPr>
              <w:jc w:val="center"/>
            </w:pPr>
            <w:r/>
            <w:r>
              <w:rPr>
                <w:rFonts w:ascii="Times New Roman" w:hAnsi="Times New Roman"/>
                <w:b w:val="0"/>
                <w:sz w:val="18"/>
              </w:rPr>
              <w:t>—</w:t>
            </w:r>
          </w:p>
        </w:tc>
        <w:tc>
          <w:tcPr>
            <w:tcW w:type="dxa" w:w="1170"/>
          </w:tcPr>
          <w:p>
            <w:pPr>
              <w:jc w:val="center"/>
            </w:pPr>
            <w:r/>
            <w:r>
              <w:rPr>
                <w:rFonts w:ascii="Times New Roman" w:hAnsi="Times New Roman"/>
                <w:b w:val="0"/>
                <w:sz w:val="18"/>
              </w:rPr>
              <w:t>0.277</w:t>
            </w:r>
          </w:p>
        </w:tc>
        <w:tc>
          <w:tcPr>
            <w:tcW w:type="dxa" w:w="1170"/>
          </w:tcPr>
          <w:p>
            <w:pPr>
              <w:jc w:val="center"/>
            </w:pPr>
            <w:r/>
            <w:r>
              <w:rPr>
                <w:rFonts w:ascii="Times New Roman" w:hAnsi="Times New Roman"/>
                <w:b w:val="0"/>
                <w:sz w:val="18"/>
              </w:rPr>
              <w:t>1.93</w:t>
            </w:r>
          </w:p>
        </w:tc>
        <w:tc>
          <w:tcPr>
            <w:tcW w:type="dxa" w:w="1170"/>
          </w:tcPr>
          <w:p>
            <w:pPr>
              <w:jc w:val="center"/>
            </w:pPr>
            <w:r/>
            <w:r>
              <w:rPr>
                <w:rFonts w:ascii="Times New Roman" w:hAnsi="Times New Roman"/>
                <w:b w:val="0"/>
                <w:sz w:val="18"/>
              </w:rPr>
              <w:t>6.1</w:t>
            </w:r>
          </w:p>
        </w:tc>
        <w:tc>
          <w:tcPr>
            <w:tcW w:type="dxa" w:w="1170"/>
          </w:tcPr>
          <w:p>
            <w:pPr>
              <w:jc w:val="center"/>
            </w:pPr>
            <w:r/>
            <w:r>
              <w:rPr>
                <w:rFonts w:ascii="Times New Roman" w:hAnsi="Times New Roman"/>
                <w:b w:val="0"/>
                <w:sz w:val="18"/>
              </w:rPr>
              <w:t>baseline</w:t>
            </w:r>
          </w:p>
        </w:tc>
      </w:tr>
      <w:tr>
        <w:tc>
          <w:tcPr>
            <w:tcW w:type="dxa" w:w="1170"/>
          </w:tcPr>
          <w:p>
            <w:pPr>
              <w:jc w:val="center"/>
            </w:pPr>
            <w:r/>
            <w:r>
              <w:rPr>
                <w:rFonts w:ascii="Times New Roman" w:hAnsi="Times New Roman"/>
                <w:b/>
                <w:sz w:val="18"/>
              </w:rPr>
              <w:t>1</w:t>
            </w:r>
          </w:p>
        </w:tc>
        <w:tc>
          <w:tcPr>
            <w:tcW w:type="dxa" w:w="1170"/>
          </w:tcPr>
          <w:p>
            <w:pPr>
              <w:jc w:val="center"/>
            </w:pPr>
            <w:r/>
            <w:r>
              <w:rPr>
                <w:rFonts w:ascii="Times New Roman" w:hAnsi="Times New Roman"/>
                <w:b/>
                <w:sz w:val="18"/>
              </w:rPr>
              <w:t>Vinardo scoring</w:t>
            </w:r>
          </w:p>
        </w:tc>
        <w:tc>
          <w:tcPr>
            <w:tcW w:type="dxa" w:w="1170"/>
          </w:tcPr>
          <w:p>
            <w:pPr>
              <w:jc w:val="center"/>
            </w:pPr>
            <w:r/>
            <w:r>
              <w:rPr>
                <w:rFonts w:ascii="Times New Roman" w:hAnsi="Times New Roman"/>
                <w:b/>
                <w:sz w:val="18"/>
              </w:rPr>
              <w:t>0.748</w:t>
            </w:r>
          </w:p>
        </w:tc>
        <w:tc>
          <w:tcPr>
            <w:tcW w:type="dxa" w:w="1170"/>
          </w:tcPr>
          <w:p>
            <w:pPr>
              <w:jc w:val="center"/>
            </w:pPr>
            <w:r/>
            <w:r>
              <w:rPr>
                <w:rFonts w:ascii="Times New Roman" w:hAnsi="Times New Roman"/>
                <w:b/>
                <w:sz w:val="18"/>
              </w:rPr>
              <w:t>+0.012</w:t>
            </w:r>
          </w:p>
        </w:tc>
        <w:tc>
          <w:tcPr>
            <w:tcW w:type="dxa" w:w="1170"/>
          </w:tcPr>
          <w:p>
            <w:pPr>
              <w:jc w:val="center"/>
            </w:pPr>
            <w:r/>
            <w:r>
              <w:rPr>
                <w:rFonts w:ascii="Times New Roman" w:hAnsi="Times New Roman"/>
                <w:b/>
                <w:sz w:val="18"/>
              </w:rPr>
              <w:t>0.238</w:t>
            </w:r>
          </w:p>
        </w:tc>
        <w:tc>
          <w:tcPr>
            <w:tcW w:type="dxa" w:w="1170"/>
          </w:tcPr>
          <w:p>
            <w:pPr>
              <w:jc w:val="center"/>
            </w:pPr>
            <w:r/>
            <w:r>
              <w:rPr>
                <w:rFonts w:ascii="Times New Roman" w:hAnsi="Times New Roman"/>
                <w:b/>
                <w:sz w:val="18"/>
              </w:rPr>
              <w:t>1.05</w:t>
            </w:r>
          </w:p>
        </w:tc>
        <w:tc>
          <w:tcPr>
            <w:tcW w:type="dxa" w:w="1170"/>
          </w:tcPr>
          <w:p>
            <w:pPr>
              <w:jc w:val="center"/>
            </w:pPr>
            <w:r/>
            <w:r>
              <w:rPr>
                <w:rFonts w:ascii="Times New Roman" w:hAnsi="Times New Roman"/>
                <w:b/>
                <w:sz w:val="18"/>
              </w:rPr>
              <w:t>6.2</w:t>
            </w:r>
          </w:p>
        </w:tc>
        <w:tc>
          <w:tcPr>
            <w:tcW w:type="dxa" w:w="1170"/>
          </w:tcPr>
          <w:p>
            <w:pPr>
              <w:jc w:val="center"/>
            </w:pPr>
            <w:r/>
            <w:r>
              <w:rPr>
                <w:rFonts w:ascii="Times New Roman" w:hAnsi="Times New Roman"/>
                <w:b/>
                <w:sz w:val="18"/>
              </w:rPr>
              <w:t>kept</w:t>
            </w:r>
          </w:p>
        </w:tc>
      </w:tr>
      <w:tr>
        <w:tc>
          <w:tcPr>
            <w:tcW w:type="dxa" w:w="1170"/>
          </w:tcPr>
          <w:p>
            <w:pPr>
              <w:jc w:val="center"/>
            </w:pPr>
            <w:r/>
            <w:r>
              <w:rPr>
                <w:rFonts w:ascii="Times New Roman" w:hAnsi="Times New Roman"/>
                <w:b w:val="0"/>
                <w:sz w:val="18"/>
              </w:rPr>
              <w:t>2</w:t>
            </w:r>
          </w:p>
        </w:tc>
        <w:tc>
          <w:tcPr>
            <w:tcW w:type="dxa" w:w="1170"/>
          </w:tcPr>
          <w:p>
            <w:pPr>
              <w:jc w:val="center"/>
            </w:pPr>
            <w:r/>
            <w:r>
              <w:rPr>
                <w:rFonts w:ascii="Times New Roman" w:hAnsi="Times New Roman"/>
                <w:b w:val="0"/>
                <w:sz w:val="18"/>
              </w:rPr>
              <w:t>Box 20 Å</w:t>
            </w:r>
          </w:p>
        </w:tc>
        <w:tc>
          <w:tcPr>
            <w:tcW w:type="dxa" w:w="1170"/>
          </w:tcPr>
          <w:p>
            <w:pPr>
              <w:jc w:val="center"/>
            </w:pPr>
            <w:r/>
            <w:r>
              <w:rPr>
                <w:rFonts w:ascii="Times New Roman" w:hAnsi="Times New Roman"/>
                <w:b w:val="0"/>
                <w:sz w:val="18"/>
              </w:rPr>
              <w:t>0.745</w:t>
            </w:r>
          </w:p>
        </w:tc>
        <w:tc>
          <w:tcPr>
            <w:tcW w:type="dxa" w:w="1170"/>
          </w:tcPr>
          <w:p>
            <w:pPr>
              <w:jc w:val="center"/>
            </w:pPr>
            <w:r/>
            <w:r>
              <w:rPr>
                <w:rFonts w:ascii="Times New Roman" w:hAnsi="Times New Roman"/>
                <w:b w:val="0"/>
                <w:sz w:val="18"/>
              </w:rPr>
              <w:t>−0.003</w:t>
            </w:r>
          </w:p>
        </w:tc>
        <w:tc>
          <w:tcPr>
            <w:tcW w:type="dxa" w:w="1170"/>
          </w:tcPr>
          <w:p>
            <w:pPr>
              <w:jc w:val="center"/>
            </w:pPr>
            <w:r/>
            <w:r>
              <w:rPr>
                <w:rFonts w:ascii="Times New Roman" w:hAnsi="Times New Roman"/>
                <w:b w:val="0"/>
                <w:sz w:val="18"/>
              </w:rPr>
              <w:t>0.221</w:t>
            </w:r>
          </w:p>
        </w:tc>
        <w:tc>
          <w:tcPr>
            <w:tcW w:type="dxa" w:w="1170"/>
          </w:tcPr>
          <w:p>
            <w:pPr>
              <w:jc w:val="center"/>
            </w:pPr>
            <w:r/>
            <w:r>
              <w:rPr>
                <w:rFonts w:ascii="Times New Roman" w:hAnsi="Times New Roman"/>
                <w:b w:val="0"/>
                <w:sz w:val="18"/>
              </w:rPr>
              <w:t>0.70</w:t>
            </w:r>
          </w:p>
        </w:tc>
        <w:tc>
          <w:tcPr>
            <w:tcW w:type="dxa" w:w="1170"/>
          </w:tcPr>
          <w:p>
            <w:pPr>
              <w:jc w:val="center"/>
            </w:pPr>
            <w:r/>
            <w:r>
              <w:rPr>
                <w:rFonts w:ascii="Times New Roman" w:hAnsi="Times New Roman"/>
                <w:b w:val="0"/>
                <w:sz w:val="18"/>
              </w:rPr>
              <w:t>6.5</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3</w:t>
            </w:r>
          </w:p>
        </w:tc>
        <w:tc>
          <w:tcPr>
            <w:tcW w:type="dxa" w:w="1170"/>
          </w:tcPr>
          <w:p>
            <w:pPr>
              <w:jc w:val="center"/>
            </w:pPr>
            <w:r/>
            <w:r>
              <w:rPr>
                <w:rFonts w:ascii="Times New Roman" w:hAnsi="Times New Roman"/>
                <w:b w:val="0"/>
                <w:sz w:val="18"/>
              </w:rPr>
              <w:t>Naive library</w:t>
            </w:r>
          </w:p>
        </w:tc>
        <w:tc>
          <w:tcPr>
            <w:tcW w:type="dxa" w:w="1170"/>
          </w:tcPr>
          <w:p>
            <w:pPr>
              <w:jc w:val="center"/>
            </w:pPr>
            <w:r/>
            <w:r>
              <w:rPr>
                <w:rFonts w:ascii="Times New Roman" w:hAnsi="Times New Roman"/>
                <w:b w:val="0"/>
                <w:sz w:val="18"/>
              </w:rPr>
              <w:t>n/a</w:t>
            </w:r>
          </w:p>
        </w:tc>
        <w:tc>
          <w:tcPr>
            <w:tcW w:type="dxa" w:w="1170"/>
          </w:tcPr>
          <w:p>
            <w:pPr>
              <w:jc w:val="center"/>
            </w:pPr>
            <w:r/>
            <w:r>
              <w:rPr>
                <w:rFonts w:ascii="Times New Roman" w:hAnsi="Times New Roman"/>
                <w:b w:val="0"/>
                <w:sz w:val="18"/>
              </w:rPr>
              <w:t>n/a</w:t>
            </w:r>
          </w:p>
        </w:tc>
        <w:tc>
          <w:tcPr>
            <w:tcW w:type="dxa" w:w="1170"/>
          </w:tcPr>
          <w:p>
            <w:pPr>
              <w:jc w:val="center"/>
            </w:pPr>
            <w:r/>
            <w:r>
              <w:rPr>
                <w:rFonts w:ascii="Times New Roman" w:hAnsi="Times New Roman"/>
                <w:b w:val="0"/>
                <w:sz w:val="18"/>
              </w:rPr>
              <w:t>0.000</w:t>
            </w:r>
          </w:p>
        </w:tc>
        <w:tc>
          <w:tcPr>
            <w:tcW w:type="dxa" w:w="1170"/>
          </w:tcPr>
          <w:p>
            <w:pPr>
              <w:jc w:val="center"/>
            </w:pPr>
            <w:r/>
            <w:r>
              <w:rPr>
                <w:rFonts w:ascii="Times New Roman" w:hAnsi="Times New Roman"/>
                <w:b w:val="0"/>
                <w:sz w:val="18"/>
              </w:rPr>
              <w:t>0.00</w:t>
            </w:r>
          </w:p>
        </w:tc>
        <w:tc>
          <w:tcPr>
            <w:tcW w:type="dxa" w:w="1170"/>
          </w:tcPr>
          <w:p>
            <w:pPr>
              <w:jc w:val="center"/>
            </w:pPr>
            <w:r/>
            <w:r>
              <w:rPr>
                <w:rFonts w:ascii="Times New Roman" w:hAnsi="Times New Roman"/>
                <w:b w:val="0"/>
                <w:sz w:val="18"/>
              </w:rPr>
              <w:t>0.1</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4</w:t>
            </w:r>
          </w:p>
        </w:tc>
        <w:tc>
          <w:tcPr>
            <w:tcW w:type="dxa" w:w="1170"/>
          </w:tcPr>
          <w:p>
            <w:pPr>
              <w:jc w:val="center"/>
            </w:pPr>
            <w:r/>
            <w:r>
              <w:rPr>
                <w:rFonts w:ascii="Times New Roman" w:hAnsi="Times New Roman"/>
                <w:b w:val="0"/>
                <w:sz w:val="18"/>
              </w:rPr>
              <w:t>Rank transform</w:t>
            </w:r>
          </w:p>
        </w:tc>
        <w:tc>
          <w:tcPr>
            <w:tcW w:type="dxa" w:w="1170"/>
          </w:tcPr>
          <w:p>
            <w:pPr>
              <w:jc w:val="center"/>
            </w:pPr>
            <w:r/>
            <w:r>
              <w:rPr>
                <w:rFonts w:ascii="Times New Roman" w:hAnsi="Times New Roman"/>
                <w:b w:val="0"/>
                <w:sz w:val="18"/>
              </w:rPr>
              <w:t>0.744</w:t>
            </w:r>
          </w:p>
        </w:tc>
        <w:tc>
          <w:tcPr>
            <w:tcW w:type="dxa" w:w="1170"/>
          </w:tcPr>
          <w:p>
            <w:pPr>
              <w:jc w:val="center"/>
            </w:pPr>
            <w:r/>
            <w:r>
              <w:rPr>
                <w:rFonts w:ascii="Times New Roman" w:hAnsi="Times New Roman"/>
                <w:b w:val="0"/>
                <w:sz w:val="18"/>
              </w:rPr>
              <w:t>0.000</w:t>
            </w:r>
          </w:p>
        </w:tc>
        <w:tc>
          <w:tcPr>
            <w:tcW w:type="dxa" w:w="1170"/>
          </w:tcPr>
          <w:p>
            <w:pPr>
              <w:jc w:val="center"/>
            </w:pPr>
            <w:r/>
            <w:r>
              <w:rPr>
                <w:rFonts w:ascii="Times New Roman" w:hAnsi="Times New Roman"/>
                <w:b w:val="0"/>
                <w:sz w:val="18"/>
              </w:rPr>
              <w:t>0.248</w:t>
            </w:r>
          </w:p>
        </w:tc>
        <w:tc>
          <w:tcPr>
            <w:tcW w:type="dxa" w:w="1170"/>
          </w:tcPr>
          <w:p>
            <w:pPr>
              <w:jc w:val="center"/>
            </w:pPr>
            <w:r/>
            <w:r>
              <w:rPr>
                <w:rFonts w:ascii="Times New Roman" w:hAnsi="Times New Roman"/>
                <w:b w:val="0"/>
                <w:sz w:val="18"/>
              </w:rPr>
              <w:t>1.40</w:t>
            </w:r>
          </w:p>
        </w:tc>
        <w:tc>
          <w:tcPr>
            <w:tcW w:type="dxa" w:w="1170"/>
          </w:tcPr>
          <w:p>
            <w:pPr>
              <w:jc w:val="center"/>
            </w:pPr>
            <w:r/>
            <w:r>
              <w:rPr>
                <w:rFonts w:ascii="Times New Roman" w:hAnsi="Times New Roman"/>
                <w:b w:val="0"/>
                <w:sz w:val="18"/>
              </w:rPr>
              <w:t>0</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5</w:t>
            </w:r>
          </w:p>
        </w:tc>
        <w:tc>
          <w:tcPr>
            <w:tcW w:type="dxa" w:w="1170"/>
          </w:tcPr>
          <w:p>
            <w:pPr>
              <w:jc w:val="center"/>
            </w:pPr>
            <w:r/>
            <w:r>
              <w:rPr>
                <w:rFonts w:ascii="Times New Roman" w:hAnsi="Times New Roman"/>
                <w:b w:val="0"/>
                <w:sz w:val="18"/>
              </w:rPr>
              <w:t>Exhaustiveness 16</w:t>
            </w:r>
          </w:p>
        </w:tc>
        <w:tc>
          <w:tcPr>
            <w:tcW w:type="dxa" w:w="1170"/>
          </w:tcPr>
          <w:p>
            <w:pPr>
              <w:jc w:val="center"/>
            </w:pPr>
            <w:r/>
            <w:r>
              <w:rPr>
                <w:rFonts w:ascii="Times New Roman" w:hAnsi="Times New Roman"/>
                <w:b w:val="0"/>
                <w:sz w:val="18"/>
              </w:rPr>
              <w:t>0.744</w:t>
            </w:r>
          </w:p>
        </w:tc>
        <w:tc>
          <w:tcPr>
            <w:tcW w:type="dxa" w:w="1170"/>
          </w:tcPr>
          <w:p>
            <w:pPr>
              <w:jc w:val="center"/>
            </w:pPr>
            <w:r/>
            <w:r>
              <w:rPr>
                <w:rFonts w:ascii="Times New Roman" w:hAnsi="Times New Roman"/>
                <w:b w:val="0"/>
                <w:sz w:val="18"/>
              </w:rPr>
              <w:t>−0.004</w:t>
            </w:r>
          </w:p>
        </w:tc>
        <w:tc>
          <w:tcPr>
            <w:tcW w:type="dxa" w:w="1170"/>
          </w:tcPr>
          <w:p>
            <w:pPr>
              <w:jc w:val="center"/>
            </w:pPr>
            <w:r/>
            <w:r>
              <w:rPr>
                <w:rFonts w:ascii="Times New Roman" w:hAnsi="Times New Roman"/>
                <w:b w:val="0"/>
                <w:sz w:val="18"/>
              </w:rPr>
              <w:t>0.204</w:t>
            </w:r>
          </w:p>
        </w:tc>
        <w:tc>
          <w:tcPr>
            <w:tcW w:type="dxa" w:w="1170"/>
          </w:tcPr>
          <w:p>
            <w:pPr>
              <w:jc w:val="center"/>
            </w:pPr>
            <w:r/>
            <w:r>
              <w:rPr>
                <w:rFonts w:ascii="Times New Roman" w:hAnsi="Times New Roman"/>
                <w:b w:val="0"/>
                <w:sz w:val="18"/>
              </w:rPr>
              <w:t>0.88</w:t>
            </w:r>
          </w:p>
        </w:tc>
        <w:tc>
          <w:tcPr>
            <w:tcW w:type="dxa" w:w="1170"/>
          </w:tcPr>
          <w:p>
            <w:pPr>
              <w:jc w:val="center"/>
            </w:pPr>
            <w:r/>
            <w:r>
              <w:rPr>
                <w:rFonts w:ascii="Times New Roman" w:hAnsi="Times New Roman"/>
                <w:b w:val="0"/>
                <w:sz w:val="18"/>
              </w:rPr>
              <w:t>6.9</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6</w:t>
            </w:r>
          </w:p>
        </w:tc>
        <w:tc>
          <w:tcPr>
            <w:tcW w:type="dxa" w:w="1170"/>
          </w:tcPr>
          <w:p>
            <w:pPr>
              <w:jc w:val="center"/>
            </w:pPr>
            <w:r/>
            <w:r>
              <w:rPr>
                <w:rFonts w:ascii="Times New Roman" w:hAnsi="Times New Roman"/>
                <w:b w:val="0"/>
                <w:sz w:val="18"/>
              </w:rPr>
              <w:t>Naive receptor</w:t>
            </w:r>
          </w:p>
        </w:tc>
        <w:tc>
          <w:tcPr>
            <w:tcW w:type="dxa" w:w="1170"/>
          </w:tcPr>
          <w:p>
            <w:pPr>
              <w:jc w:val="center"/>
            </w:pPr>
            <w:r/>
            <w:r>
              <w:rPr>
                <w:rFonts w:ascii="Times New Roman" w:hAnsi="Times New Roman"/>
                <w:b w:val="0"/>
                <w:sz w:val="18"/>
              </w:rPr>
              <w:t>0.732</w:t>
            </w:r>
          </w:p>
        </w:tc>
        <w:tc>
          <w:tcPr>
            <w:tcW w:type="dxa" w:w="1170"/>
          </w:tcPr>
          <w:p>
            <w:pPr>
              <w:jc w:val="center"/>
            </w:pPr>
            <w:r/>
            <w:r>
              <w:rPr>
                <w:rFonts w:ascii="Times New Roman" w:hAnsi="Times New Roman"/>
                <w:b w:val="0"/>
                <w:sz w:val="18"/>
              </w:rPr>
              <w:t>−0.016</w:t>
            </w:r>
          </w:p>
        </w:tc>
        <w:tc>
          <w:tcPr>
            <w:tcW w:type="dxa" w:w="1170"/>
          </w:tcPr>
          <w:p>
            <w:pPr>
              <w:jc w:val="center"/>
            </w:pPr>
            <w:r/>
            <w:r>
              <w:rPr>
                <w:rFonts w:ascii="Times New Roman" w:hAnsi="Times New Roman"/>
                <w:b w:val="0"/>
                <w:sz w:val="18"/>
              </w:rPr>
              <w:t>0.228</w:t>
            </w:r>
          </w:p>
        </w:tc>
        <w:tc>
          <w:tcPr>
            <w:tcW w:type="dxa" w:w="1170"/>
          </w:tcPr>
          <w:p>
            <w:pPr>
              <w:jc w:val="center"/>
            </w:pPr>
            <w:r/>
            <w:r>
              <w:rPr>
                <w:rFonts w:ascii="Times New Roman" w:hAnsi="Times New Roman"/>
                <w:b w:val="0"/>
                <w:sz w:val="18"/>
              </w:rPr>
              <w:t>1.22</w:t>
            </w:r>
          </w:p>
        </w:tc>
        <w:tc>
          <w:tcPr>
            <w:tcW w:type="dxa" w:w="1170"/>
          </w:tcPr>
          <w:p>
            <w:pPr>
              <w:jc w:val="center"/>
            </w:pPr>
            <w:r/>
            <w:r>
              <w:rPr>
                <w:rFonts w:ascii="Times New Roman" w:hAnsi="Times New Roman"/>
                <w:b w:val="0"/>
                <w:sz w:val="18"/>
              </w:rPr>
              <w:t>6.2</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7</w:t>
            </w:r>
          </w:p>
        </w:tc>
        <w:tc>
          <w:tcPr>
            <w:tcW w:type="dxa" w:w="1170"/>
          </w:tcPr>
          <w:p>
            <w:pPr>
              <w:jc w:val="center"/>
            </w:pPr>
            <w:r/>
            <w:r>
              <w:rPr>
                <w:rFonts w:ascii="Times New Roman" w:hAnsi="Times New Roman"/>
                <w:b w:val="0"/>
                <w:sz w:val="18"/>
              </w:rPr>
              <w:t>MW correction</w:t>
            </w:r>
          </w:p>
        </w:tc>
        <w:tc>
          <w:tcPr>
            <w:tcW w:type="dxa" w:w="1170"/>
          </w:tcPr>
          <w:p>
            <w:pPr>
              <w:jc w:val="center"/>
            </w:pPr>
            <w:r/>
            <w:r>
              <w:rPr>
                <w:rFonts w:ascii="Times New Roman" w:hAnsi="Times New Roman"/>
                <w:b w:val="0"/>
                <w:sz w:val="18"/>
              </w:rPr>
              <w:t>0.702</w:t>
            </w:r>
          </w:p>
        </w:tc>
        <w:tc>
          <w:tcPr>
            <w:tcW w:type="dxa" w:w="1170"/>
          </w:tcPr>
          <w:p>
            <w:pPr>
              <w:jc w:val="center"/>
            </w:pPr>
            <w:r/>
            <w:r>
              <w:rPr>
                <w:rFonts w:ascii="Times New Roman" w:hAnsi="Times New Roman"/>
                <w:b w:val="0"/>
                <w:sz w:val="18"/>
              </w:rPr>
              <w:t>−0.046</w:t>
            </w:r>
          </w:p>
        </w:tc>
        <w:tc>
          <w:tcPr>
            <w:tcW w:type="dxa" w:w="1170"/>
          </w:tcPr>
          <w:p>
            <w:pPr>
              <w:jc w:val="center"/>
            </w:pPr>
            <w:r/>
            <w:r>
              <w:rPr>
                <w:rFonts w:ascii="Times New Roman" w:hAnsi="Times New Roman"/>
                <w:b w:val="0"/>
                <w:sz w:val="18"/>
              </w:rPr>
              <w:t>0.218</w:t>
            </w:r>
          </w:p>
        </w:tc>
        <w:tc>
          <w:tcPr>
            <w:tcW w:type="dxa" w:w="1170"/>
          </w:tcPr>
          <w:p>
            <w:pPr>
              <w:jc w:val="center"/>
            </w:pPr>
            <w:r/>
            <w:r>
              <w:rPr>
                <w:rFonts w:ascii="Times New Roman" w:hAnsi="Times New Roman"/>
                <w:b w:val="0"/>
                <w:sz w:val="18"/>
              </w:rPr>
              <w:t>1.40</w:t>
            </w:r>
          </w:p>
        </w:tc>
        <w:tc>
          <w:tcPr>
            <w:tcW w:type="dxa" w:w="1170"/>
          </w:tcPr>
          <w:p>
            <w:pPr>
              <w:jc w:val="center"/>
            </w:pPr>
            <w:r/>
            <w:r>
              <w:rPr>
                <w:rFonts w:ascii="Times New Roman" w:hAnsi="Times New Roman"/>
                <w:b w:val="0"/>
                <w:sz w:val="18"/>
              </w:rPr>
              <w:t>6.2</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8</w:t>
            </w:r>
          </w:p>
        </w:tc>
        <w:tc>
          <w:tcPr>
            <w:tcW w:type="dxa" w:w="1170"/>
          </w:tcPr>
          <w:p>
            <w:pPr>
              <w:jc w:val="center"/>
            </w:pPr>
            <w:r/>
            <w:r>
              <w:rPr>
                <w:rFonts w:ascii="Times New Roman" w:hAnsi="Times New Roman"/>
                <w:b w:val="0"/>
                <w:sz w:val="18"/>
              </w:rPr>
              <w:t>Multi-pose top-3</w:t>
            </w:r>
          </w:p>
        </w:tc>
        <w:tc>
          <w:tcPr>
            <w:tcW w:type="dxa" w:w="1170"/>
          </w:tcPr>
          <w:p>
            <w:pPr>
              <w:jc w:val="center"/>
            </w:pPr>
            <w:r/>
            <w:r>
              <w:rPr>
                <w:rFonts w:ascii="Times New Roman" w:hAnsi="Times New Roman"/>
                <w:b w:val="0"/>
                <w:sz w:val="18"/>
              </w:rPr>
              <w:t>0.715</w:t>
            </w:r>
          </w:p>
        </w:tc>
        <w:tc>
          <w:tcPr>
            <w:tcW w:type="dxa" w:w="1170"/>
          </w:tcPr>
          <w:p>
            <w:pPr>
              <w:jc w:val="center"/>
            </w:pPr>
            <w:r/>
            <w:r>
              <w:rPr>
                <w:rFonts w:ascii="Times New Roman" w:hAnsi="Times New Roman"/>
                <w:b w:val="0"/>
                <w:sz w:val="18"/>
              </w:rPr>
              <w:t>−0.033</w:t>
            </w:r>
          </w:p>
        </w:tc>
        <w:tc>
          <w:tcPr>
            <w:tcW w:type="dxa" w:w="1170"/>
          </w:tcPr>
          <w:p>
            <w:pPr>
              <w:jc w:val="center"/>
            </w:pPr>
            <w:r/>
            <w:r>
              <w:rPr>
                <w:rFonts w:ascii="Times New Roman" w:hAnsi="Times New Roman"/>
                <w:b w:val="0"/>
                <w:sz w:val="18"/>
              </w:rPr>
              <w:t>0.208</w:t>
            </w:r>
          </w:p>
        </w:tc>
        <w:tc>
          <w:tcPr>
            <w:tcW w:type="dxa" w:w="1170"/>
          </w:tcPr>
          <w:p>
            <w:pPr>
              <w:jc w:val="center"/>
            </w:pPr>
            <w:r/>
            <w:r>
              <w:rPr>
                <w:rFonts w:ascii="Times New Roman" w:hAnsi="Times New Roman"/>
                <w:b w:val="0"/>
                <w:sz w:val="18"/>
              </w:rPr>
              <w:t>0.88</w:t>
            </w:r>
          </w:p>
        </w:tc>
        <w:tc>
          <w:tcPr>
            <w:tcW w:type="dxa" w:w="1170"/>
          </w:tcPr>
          <w:p>
            <w:pPr>
              <w:jc w:val="center"/>
            </w:pPr>
            <w:r/>
            <w:r>
              <w:rPr>
                <w:rFonts w:ascii="Times New Roman" w:hAnsi="Times New Roman"/>
                <w:b w:val="0"/>
                <w:sz w:val="18"/>
              </w:rPr>
              <w:t>0</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9</w:t>
            </w:r>
          </w:p>
        </w:tc>
        <w:tc>
          <w:tcPr>
            <w:tcW w:type="dxa" w:w="1170"/>
          </w:tcPr>
          <w:p>
            <w:pPr>
              <w:jc w:val="center"/>
            </w:pPr>
            <w:r/>
            <w:r>
              <w:rPr>
                <w:rFonts w:ascii="Times New Roman" w:hAnsi="Times New Roman"/>
                <w:b w:val="0"/>
                <w:sz w:val="18"/>
              </w:rPr>
              <w:t>Multi-pose Boltz.</w:t>
            </w:r>
          </w:p>
        </w:tc>
        <w:tc>
          <w:tcPr>
            <w:tcW w:type="dxa" w:w="1170"/>
          </w:tcPr>
          <w:p>
            <w:pPr>
              <w:jc w:val="center"/>
            </w:pPr>
            <w:r/>
            <w:r>
              <w:rPr>
                <w:rFonts w:ascii="Times New Roman" w:hAnsi="Times New Roman"/>
                <w:b w:val="0"/>
                <w:sz w:val="18"/>
              </w:rPr>
              <w:t>0.730</w:t>
            </w:r>
          </w:p>
        </w:tc>
        <w:tc>
          <w:tcPr>
            <w:tcW w:type="dxa" w:w="1170"/>
          </w:tcPr>
          <w:p>
            <w:pPr>
              <w:jc w:val="center"/>
            </w:pPr>
            <w:r/>
            <w:r>
              <w:rPr>
                <w:rFonts w:ascii="Times New Roman" w:hAnsi="Times New Roman"/>
                <w:b w:val="0"/>
                <w:sz w:val="18"/>
              </w:rPr>
              <w:t>−0.018</w:t>
            </w:r>
          </w:p>
        </w:tc>
        <w:tc>
          <w:tcPr>
            <w:tcW w:type="dxa" w:w="1170"/>
          </w:tcPr>
          <w:p>
            <w:pPr>
              <w:jc w:val="center"/>
            </w:pPr>
            <w:r/>
            <w:r>
              <w:rPr>
                <w:rFonts w:ascii="Times New Roman" w:hAnsi="Times New Roman"/>
                <w:b w:val="0"/>
                <w:sz w:val="18"/>
              </w:rPr>
              <w:t>0.221</w:t>
            </w:r>
          </w:p>
        </w:tc>
        <w:tc>
          <w:tcPr>
            <w:tcW w:type="dxa" w:w="1170"/>
          </w:tcPr>
          <w:p>
            <w:pPr>
              <w:jc w:val="center"/>
            </w:pPr>
            <w:r/>
            <w:r>
              <w:rPr>
                <w:rFonts w:ascii="Times New Roman" w:hAnsi="Times New Roman"/>
                <w:b w:val="0"/>
                <w:sz w:val="18"/>
              </w:rPr>
              <w:t>0.88</w:t>
            </w:r>
          </w:p>
        </w:tc>
        <w:tc>
          <w:tcPr>
            <w:tcW w:type="dxa" w:w="1170"/>
          </w:tcPr>
          <w:p>
            <w:pPr>
              <w:jc w:val="center"/>
            </w:pPr>
            <w:r/>
            <w:r>
              <w:rPr>
                <w:rFonts w:ascii="Times New Roman" w:hAnsi="Times New Roman"/>
                <w:b w:val="0"/>
                <w:sz w:val="18"/>
              </w:rPr>
              <w:t>0</w:t>
            </w:r>
          </w:p>
        </w:tc>
        <w:tc>
          <w:tcPr>
            <w:tcW w:type="dxa" w:w="1170"/>
          </w:tcPr>
          <w:p>
            <w:pPr>
              <w:jc w:val="center"/>
            </w:pPr>
            <w:r/>
            <w:r>
              <w:rPr>
                <w:rFonts w:ascii="Times New Roman" w:hAnsi="Times New Roman"/>
                <w:b w:val="0"/>
                <w:sz w:val="18"/>
              </w:rPr>
              <w:t>reverted</w:t>
            </w:r>
          </w:p>
        </w:tc>
      </w:tr>
    </w:tbl>
    <w:p>
      <w:pPr>
        <w:pStyle w:val="Heading2"/>
      </w:pPr>
      <w:r>
        <w:t>CDK2: library preparation has the largest impact</w:t>
      </w:r>
    </w:p>
    <w:p>
      <w:r>
        <w:rPr>
          <w:rFonts w:ascii="Times New Roman" w:hAnsi="Times New Roman"/>
          <w:b w:val="0"/>
          <w:i w:val="0"/>
          <w:sz w:val="22"/>
        </w:rPr>
        <w:t>The CDK2 campaign yielded a larger improvement: AUC rose from 0.677 (baseline) to 0.735 (+0.058, +8.6%; Table 2). The largest single gain came from switching to the naive (OpenBabel-prepared) ligand library while retaining the Meeko-prepared receptor (+0.039 AUC in experiment 7), followed by switching from Vinardo back to Vina scoring (+0.019 in experiment 9). Notably, the PAINS/Brenk filter</w:t>
      </w:r>
      <w:r>
        <w:rPr>
          <w:rFonts w:ascii="Times New Roman" w:hAnsi="Times New Roman"/>
          <w:b w:val="0"/>
          <w:i w:val="0"/>
          <w:sz w:val="22"/>
          <w:vertAlign w:val="superscript"/>
        </w:rPr>
        <w:t>16,17</w:t>
      </w:r>
      <w:r>
        <w:rPr>
          <w:rFonts w:ascii="Times New Roman" w:hAnsi="Times New Roman"/>
          <w:b w:val="0"/>
          <w:i w:val="0"/>
          <w:sz w:val="22"/>
        </w:rPr>
        <w:t xml:space="preserve"> removed 47% of compounds from the skill library, reducing it from 2,471 to 1,309 ligands. A formal active-versus-decoy count shows the filter dropped proportionally fewer actives (37.8%, 179/474) than decoys (49.3%, 984/1,997), so it enriched the retained set in actives (Fisher exact odds ratio 0.63, p = 6.5 × 10⁻⁶). The higher AUC of the unfiltered library therefore reflects a change in the DUD-E</w:t>
      </w:r>
      <w:r>
        <w:rPr>
          <w:rFonts w:ascii="Times New Roman" w:hAnsi="Times New Roman"/>
          <w:b w:val="0"/>
          <w:i w:val="0"/>
          <w:sz w:val="22"/>
          <w:vertAlign w:val="superscript"/>
        </w:rPr>
        <w:t>19</w:t>
      </w:r>
      <w:r>
        <w:rPr>
          <w:rFonts w:ascii="Times New Roman" w:hAnsi="Times New Roman"/>
          <w:b w:val="0"/>
          <w:i w:val="0"/>
          <w:sz w:val="22"/>
        </w:rPr>
        <w:t xml:space="preserve"> benchmark composition, and a larger decoy pool, rather than a genuine docking-protocol improvement.</w:t>
      </w:r>
    </w:p>
    <w:p>
      <w:r>
        <w:rPr>
          <w:rFonts w:ascii="Times New Roman" w:hAnsi="Times New Roman"/>
          <w:b w:val="0"/>
          <w:i w:val="0"/>
          <w:sz w:val="22"/>
        </w:rPr>
        <w:t>The CDK2 campaign also revealed that several parameters had negligible impact on enrichment: box size (18–30 Å), exhaustiveness (4–32), energy range, and number of binding modes all produced changes within the stochastic noise floor. These findings are consistent with Uni-Dock’s efficient GPU-parallel sampling, which achieves near-convergence at low exhaustiveness settings.</w:t>
      </w:r>
      <w:r>
        <w:rPr>
          <w:rFonts w:ascii="Times New Roman" w:hAnsi="Times New Roman"/>
          <w:b w:val="0"/>
          <w:i w:val="0"/>
          <w:sz w:val="22"/>
          <w:vertAlign w:val="superscript"/>
        </w:rPr>
        <w:t>13</w:t>
      </w:r>
    </w:p>
    <w:p>
      <w:pPr>
        <w:spacing w:after="120"/>
      </w:pPr>
      <w:r>
        <w:rPr>
          <w:rFonts w:ascii="Times New Roman" w:hAnsi="Times New Roman"/>
          <w:b/>
          <w:i w:val="0"/>
          <w:sz w:val="22"/>
        </w:rPr>
        <w:t xml:space="preserve">Table 2. </w:t>
      </w:r>
      <w:r>
        <w:rPr>
          <w:rFonts w:ascii="Times New Roman" w:hAnsi="Times New Roman"/>
          <w:b w:val="0"/>
          <w:i w:val="0"/>
          <w:sz w:val="22"/>
        </w:rPr>
        <w:t>CDK2 autoresearch campaign (16 experiments). Baseline: Vina scoring, skill library (1,309 ligands), skill receptor (Meeko), 25 Å box, exhaustiveness 8. Experiments are cumulative: each tests one modification against the current best configuration.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D9E2F3"/>
          </w:tcPr>
          <w:p>
            <w:pPr>
              <w:jc w:val="center"/>
            </w:pPr>
            <w:r/>
            <w:r>
              <w:rPr>
                <w:rFonts w:ascii="Times New Roman" w:hAnsi="Times New Roman"/>
                <w:b/>
                <w:sz w:val="18"/>
              </w:rPr>
              <w:t>#</w:t>
            </w:r>
          </w:p>
        </w:tc>
        <w:tc>
          <w:tcPr>
            <w:tcW w:type="dxa" w:w="1170"/>
            <w:shd w:val="clear" w:color="auto" w:fill="D9E2F3"/>
          </w:tcPr>
          <w:p>
            <w:pPr>
              <w:jc w:val="center"/>
            </w:pPr>
            <w:r/>
            <w:r>
              <w:rPr>
                <w:rFonts w:ascii="Times New Roman" w:hAnsi="Times New Roman"/>
                <w:b/>
                <w:sz w:val="18"/>
              </w:rPr>
              <w:t>Experiment</w:t>
            </w:r>
          </w:p>
        </w:tc>
        <w:tc>
          <w:tcPr>
            <w:tcW w:type="dxa" w:w="1170"/>
            <w:shd w:val="clear" w:color="auto" w:fill="D9E2F3"/>
          </w:tcPr>
          <w:p>
            <w:pPr>
              <w:jc w:val="center"/>
            </w:pPr>
            <w:r/>
            <w:r>
              <w:rPr>
                <w:rFonts w:ascii="Times New Roman" w:hAnsi="Times New Roman"/>
                <w:b/>
                <w:sz w:val="18"/>
              </w:rPr>
              <w:t>AUC</w:t>
            </w:r>
          </w:p>
        </w:tc>
        <w:tc>
          <w:tcPr>
            <w:tcW w:type="dxa" w:w="1170"/>
            <w:shd w:val="clear" w:color="auto" w:fill="D9E2F3"/>
          </w:tcPr>
          <w:p>
            <w:pPr>
              <w:jc w:val="center"/>
            </w:pPr>
            <w:r/>
            <w:r>
              <w:rPr>
                <w:rFonts w:ascii="Times New Roman" w:hAnsi="Times New Roman"/>
                <w:b/>
                <w:sz w:val="18"/>
              </w:rPr>
              <w:t>ΔAUC</w:t>
            </w:r>
          </w:p>
        </w:tc>
        <w:tc>
          <w:tcPr>
            <w:tcW w:type="dxa" w:w="1170"/>
            <w:shd w:val="clear" w:color="auto" w:fill="D9E2F3"/>
          </w:tcPr>
          <w:p>
            <w:pPr>
              <w:jc w:val="center"/>
            </w:pPr>
            <w:r/>
            <w:r>
              <w:rPr>
                <w:rFonts w:ascii="Times New Roman" w:hAnsi="Times New Roman"/>
                <w:b/>
                <w:sz w:val="18"/>
              </w:rPr>
              <w:t>BEDROC</w:t>
            </w:r>
          </w:p>
        </w:tc>
        <w:tc>
          <w:tcPr>
            <w:tcW w:type="dxa" w:w="1170"/>
            <w:shd w:val="clear" w:color="auto" w:fill="D9E2F3"/>
          </w:tcPr>
          <w:p>
            <w:pPr>
              <w:jc w:val="center"/>
            </w:pPr>
            <w:r/>
            <w:r>
              <w:rPr>
                <w:rFonts w:ascii="Times New Roman" w:hAnsi="Times New Roman"/>
                <w:b/>
                <w:sz w:val="18"/>
              </w:rPr>
              <w:t>EF 1%</w:t>
            </w:r>
          </w:p>
        </w:tc>
        <w:tc>
          <w:tcPr>
            <w:tcW w:type="dxa" w:w="1170"/>
            <w:shd w:val="clear" w:color="auto" w:fill="D9E2F3"/>
          </w:tcPr>
          <w:p>
            <w:pPr>
              <w:jc w:val="center"/>
            </w:pPr>
            <w:r/>
            <w:r>
              <w:rPr>
                <w:rFonts w:ascii="Times New Roman" w:hAnsi="Times New Roman"/>
                <w:b/>
                <w:sz w:val="18"/>
              </w:rPr>
              <w:t>Time (min)</w:t>
            </w:r>
          </w:p>
        </w:tc>
        <w:tc>
          <w:tcPr>
            <w:tcW w:type="dxa" w:w="1170"/>
            <w:shd w:val="clear" w:color="auto" w:fill="D9E2F3"/>
          </w:tcPr>
          <w:p>
            <w:pPr>
              <w:jc w:val="center"/>
            </w:pPr>
            <w:r/>
            <w:r>
              <w:rPr>
                <w:rFonts w:ascii="Times New Roman" w:hAnsi="Times New Roman"/>
                <w:b/>
                <w:sz w:val="18"/>
              </w:rPr>
              <w:t>Decision</w:t>
            </w:r>
          </w:p>
        </w:tc>
      </w:tr>
      <w:tr>
        <w:tc>
          <w:tcPr>
            <w:tcW w:type="dxa" w:w="1170"/>
          </w:tcPr>
          <w:p>
            <w:pPr>
              <w:jc w:val="center"/>
            </w:pPr>
            <w:r/>
            <w:r>
              <w:rPr>
                <w:rFonts w:ascii="Times New Roman" w:hAnsi="Times New Roman"/>
                <w:b w:val="0"/>
                <w:sz w:val="18"/>
              </w:rPr>
              <w:t>0</w:t>
            </w:r>
          </w:p>
        </w:tc>
        <w:tc>
          <w:tcPr>
            <w:tcW w:type="dxa" w:w="1170"/>
          </w:tcPr>
          <w:p>
            <w:pPr>
              <w:jc w:val="center"/>
            </w:pPr>
            <w:r/>
            <w:r>
              <w:rPr>
                <w:rFonts w:ascii="Times New Roman" w:hAnsi="Times New Roman"/>
                <w:b w:val="0"/>
                <w:sz w:val="18"/>
              </w:rPr>
              <w:t>Baseline (Vina/skill)</w:t>
            </w:r>
          </w:p>
        </w:tc>
        <w:tc>
          <w:tcPr>
            <w:tcW w:type="dxa" w:w="1170"/>
          </w:tcPr>
          <w:p>
            <w:pPr>
              <w:jc w:val="center"/>
            </w:pPr>
            <w:r/>
            <w:r>
              <w:rPr>
                <w:rFonts w:ascii="Times New Roman" w:hAnsi="Times New Roman"/>
                <w:b w:val="0"/>
                <w:sz w:val="18"/>
              </w:rPr>
              <w:t>0.677</w:t>
            </w:r>
          </w:p>
        </w:tc>
        <w:tc>
          <w:tcPr>
            <w:tcW w:type="dxa" w:w="1170"/>
          </w:tcPr>
          <w:p>
            <w:pPr>
              <w:jc w:val="center"/>
            </w:pPr>
            <w:r/>
            <w:r>
              <w:rPr>
                <w:rFonts w:ascii="Times New Roman" w:hAnsi="Times New Roman"/>
                <w:b w:val="0"/>
                <w:sz w:val="18"/>
              </w:rPr>
              <w:t>—</w:t>
            </w:r>
          </w:p>
        </w:tc>
        <w:tc>
          <w:tcPr>
            <w:tcW w:type="dxa" w:w="1170"/>
          </w:tcPr>
          <w:p>
            <w:pPr>
              <w:jc w:val="center"/>
            </w:pPr>
            <w:r/>
            <w:r>
              <w:rPr>
                <w:rFonts w:ascii="Times New Roman" w:hAnsi="Times New Roman"/>
                <w:b w:val="0"/>
                <w:sz w:val="18"/>
              </w:rPr>
              <w:t>0.443</w:t>
            </w:r>
          </w:p>
        </w:tc>
        <w:tc>
          <w:tcPr>
            <w:tcW w:type="dxa" w:w="1170"/>
          </w:tcPr>
          <w:p>
            <w:pPr>
              <w:jc w:val="center"/>
            </w:pPr>
            <w:r/>
            <w:r>
              <w:rPr>
                <w:rFonts w:ascii="Times New Roman" w:hAnsi="Times New Roman"/>
                <w:b w:val="0"/>
                <w:sz w:val="18"/>
              </w:rPr>
              <w:t>1.71</w:t>
            </w:r>
          </w:p>
        </w:tc>
        <w:tc>
          <w:tcPr>
            <w:tcW w:type="dxa" w:w="1170"/>
          </w:tcPr>
          <w:p>
            <w:pPr>
              <w:jc w:val="center"/>
            </w:pPr>
            <w:r/>
            <w:r>
              <w:rPr>
                <w:rFonts w:ascii="Times New Roman" w:hAnsi="Times New Roman"/>
                <w:b w:val="0"/>
                <w:sz w:val="18"/>
              </w:rPr>
              <w:t>22</w:t>
            </w:r>
          </w:p>
        </w:tc>
        <w:tc>
          <w:tcPr>
            <w:tcW w:type="dxa" w:w="1170"/>
          </w:tcPr>
          <w:p>
            <w:pPr>
              <w:jc w:val="center"/>
            </w:pPr>
            <w:r/>
            <w:r>
              <w:rPr>
                <w:rFonts w:ascii="Times New Roman" w:hAnsi="Times New Roman"/>
                <w:b w:val="0"/>
                <w:sz w:val="18"/>
              </w:rPr>
              <w:t>baseline</w:t>
            </w:r>
          </w:p>
        </w:tc>
      </w:tr>
      <w:tr>
        <w:tc>
          <w:tcPr>
            <w:tcW w:type="dxa" w:w="1170"/>
          </w:tcPr>
          <w:p>
            <w:pPr>
              <w:jc w:val="center"/>
            </w:pPr>
            <w:r/>
            <w:r>
              <w:rPr>
                <w:rFonts w:ascii="Times New Roman" w:hAnsi="Times New Roman"/>
                <w:b w:val="0"/>
                <w:sz w:val="18"/>
              </w:rPr>
              <w:t>1</w:t>
            </w:r>
          </w:p>
        </w:tc>
        <w:tc>
          <w:tcPr>
            <w:tcW w:type="dxa" w:w="1170"/>
          </w:tcPr>
          <w:p>
            <w:pPr>
              <w:jc w:val="center"/>
            </w:pPr>
            <w:r/>
            <w:r>
              <w:rPr>
                <w:rFonts w:ascii="Times New Roman" w:hAnsi="Times New Roman"/>
                <w:b w:val="0"/>
                <w:sz w:val="18"/>
              </w:rPr>
              <w:t>Vinardo scoring</w:t>
            </w:r>
          </w:p>
        </w:tc>
        <w:tc>
          <w:tcPr>
            <w:tcW w:type="dxa" w:w="1170"/>
          </w:tcPr>
          <w:p>
            <w:pPr>
              <w:jc w:val="center"/>
            </w:pPr>
            <w:r/>
            <w:r>
              <w:rPr>
                <w:rFonts w:ascii="Times New Roman" w:hAnsi="Times New Roman"/>
                <w:b w:val="0"/>
                <w:sz w:val="18"/>
              </w:rPr>
              <w:t>0.695</w:t>
            </w:r>
          </w:p>
        </w:tc>
        <w:tc>
          <w:tcPr>
            <w:tcW w:type="dxa" w:w="1170"/>
          </w:tcPr>
          <w:p>
            <w:pPr>
              <w:jc w:val="center"/>
            </w:pPr>
            <w:r/>
            <w:r>
              <w:rPr>
                <w:rFonts w:ascii="Times New Roman" w:hAnsi="Times New Roman"/>
                <w:b w:val="0"/>
                <w:sz w:val="18"/>
              </w:rPr>
              <w:t>+0.018</w:t>
            </w:r>
          </w:p>
        </w:tc>
        <w:tc>
          <w:tcPr>
            <w:tcW w:type="dxa" w:w="1170"/>
          </w:tcPr>
          <w:p>
            <w:pPr>
              <w:jc w:val="center"/>
            </w:pPr>
            <w:r/>
            <w:r>
              <w:rPr>
                <w:rFonts w:ascii="Times New Roman" w:hAnsi="Times New Roman"/>
                <w:b w:val="0"/>
                <w:sz w:val="18"/>
              </w:rPr>
              <w:t>0.403</w:t>
            </w:r>
          </w:p>
        </w:tc>
        <w:tc>
          <w:tcPr>
            <w:tcW w:type="dxa" w:w="1170"/>
          </w:tcPr>
          <w:p>
            <w:pPr>
              <w:jc w:val="center"/>
            </w:pPr>
            <w:r/>
            <w:r>
              <w:rPr>
                <w:rFonts w:ascii="Times New Roman" w:hAnsi="Times New Roman"/>
                <w:b w:val="0"/>
                <w:sz w:val="18"/>
              </w:rPr>
              <w:t>1.37</w:t>
            </w:r>
          </w:p>
        </w:tc>
        <w:tc>
          <w:tcPr>
            <w:tcW w:type="dxa" w:w="1170"/>
          </w:tcPr>
          <w:p>
            <w:pPr>
              <w:jc w:val="center"/>
            </w:pPr>
            <w:r/>
            <w:r>
              <w:rPr>
                <w:rFonts w:ascii="Times New Roman" w:hAnsi="Times New Roman"/>
                <w:b w:val="0"/>
                <w:sz w:val="18"/>
              </w:rPr>
              <w:t>23</w:t>
            </w:r>
          </w:p>
        </w:tc>
        <w:tc>
          <w:tcPr>
            <w:tcW w:type="dxa" w:w="1170"/>
          </w:tcPr>
          <w:p>
            <w:pPr>
              <w:jc w:val="center"/>
            </w:pPr>
            <w:r/>
            <w:r>
              <w:rPr>
                <w:rFonts w:ascii="Times New Roman" w:hAnsi="Times New Roman"/>
                <w:b w:val="0"/>
                <w:sz w:val="18"/>
              </w:rPr>
              <w:t>kept</w:t>
            </w:r>
          </w:p>
        </w:tc>
      </w:tr>
      <w:tr>
        <w:tc>
          <w:tcPr>
            <w:tcW w:type="dxa" w:w="1170"/>
          </w:tcPr>
          <w:p>
            <w:pPr>
              <w:jc w:val="center"/>
            </w:pPr>
            <w:r/>
            <w:r>
              <w:rPr>
                <w:rFonts w:ascii="Times New Roman" w:hAnsi="Times New Roman"/>
                <w:b w:val="0"/>
                <w:sz w:val="18"/>
              </w:rPr>
              <w:t>2</w:t>
            </w:r>
          </w:p>
        </w:tc>
        <w:tc>
          <w:tcPr>
            <w:tcW w:type="dxa" w:w="1170"/>
          </w:tcPr>
          <w:p>
            <w:pPr>
              <w:jc w:val="center"/>
            </w:pPr>
            <w:r/>
            <w:r>
              <w:rPr>
                <w:rFonts w:ascii="Times New Roman" w:hAnsi="Times New Roman"/>
                <w:b w:val="0"/>
                <w:sz w:val="18"/>
              </w:rPr>
              <w:t>Box 20 Å</w:t>
            </w:r>
          </w:p>
        </w:tc>
        <w:tc>
          <w:tcPr>
            <w:tcW w:type="dxa" w:w="1170"/>
          </w:tcPr>
          <w:p>
            <w:pPr>
              <w:jc w:val="center"/>
            </w:pPr>
            <w:r/>
            <w:r>
              <w:rPr>
                <w:rFonts w:ascii="Times New Roman" w:hAnsi="Times New Roman"/>
                <w:b w:val="0"/>
                <w:sz w:val="18"/>
              </w:rPr>
              <w:t>0.692</w:t>
            </w:r>
          </w:p>
        </w:tc>
        <w:tc>
          <w:tcPr>
            <w:tcW w:type="dxa" w:w="1170"/>
          </w:tcPr>
          <w:p>
            <w:pPr>
              <w:jc w:val="center"/>
            </w:pPr>
            <w:r/>
            <w:r>
              <w:rPr>
                <w:rFonts w:ascii="Times New Roman" w:hAnsi="Times New Roman"/>
                <w:b w:val="0"/>
                <w:sz w:val="18"/>
              </w:rPr>
              <w:t>−0.003</w:t>
            </w:r>
          </w:p>
        </w:tc>
        <w:tc>
          <w:tcPr>
            <w:tcW w:type="dxa" w:w="1170"/>
          </w:tcPr>
          <w:p>
            <w:pPr>
              <w:jc w:val="center"/>
            </w:pPr>
            <w:r/>
            <w:r>
              <w:rPr>
                <w:rFonts w:ascii="Times New Roman" w:hAnsi="Times New Roman"/>
                <w:b w:val="0"/>
                <w:sz w:val="18"/>
              </w:rPr>
              <w:t>0.381</w:t>
            </w:r>
          </w:p>
        </w:tc>
        <w:tc>
          <w:tcPr>
            <w:tcW w:type="dxa" w:w="1170"/>
          </w:tcPr>
          <w:p>
            <w:pPr>
              <w:jc w:val="center"/>
            </w:pPr>
            <w:r/>
            <w:r>
              <w:rPr>
                <w:rFonts w:ascii="Times New Roman" w:hAnsi="Times New Roman"/>
                <w:b w:val="0"/>
                <w:sz w:val="18"/>
              </w:rPr>
              <w:t>1.37</w:t>
            </w:r>
          </w:p>
        </w:tc>
        <w:tc>
          <w:tcPr>
            <w:tcW w:type="dxa" w:w="1170"/>
          </w:tcPr>
          <w:p>
            <w:pPr>
              <w:jc w:val="center"/>
            </w:pPr>
            <w:r/>
            <w:r>
              <w:rPr>
                <w:rFonts w:ascii="Times New Roman" w:hAnsi="Times New Roman"/>
                <w:b w:val="0"/>
                <w:sz w:val="18"/>
              </w:rPr>
              <w:t>24</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3</w:t>
            </w:r>
          </w:p>
        </w:tc>
        <w:tc>
          <w:tcPr>
            <w:tcW w:type="dxa" w:w="1170"/>
          </w:tcPr>
          <w:p>
            <w:pPr>
              <w:jc w:val="center"/>
            </w:pPr>
            <w:r/>
            <w:r>
              <w:rPr>
                <w:rFonts w:ascii="Times New Roman" w:hAnsi="Times New Roman"/>
                <w:b w:val="0"/>
                <w:sz w:val="18"/>
              </w:rPr>
              <w:t>Box 18 Å</w:t>
            </w:r>
          </w:p>
        </w:tc>
        <w:tc>
          <w:tcPr>
            <w:tcW w:type="dxa" w:w="1170"/>
          </w:tcPr>
          <w:p>
            <w:pPr>
              <w:jc w:val="center"/>
            </w:pPr>
            <w:r/>
            <w:r>
              <w:rPr>
                <w:rFonts w:ascii="Times New Roman" w:hAnsi="Times New Roman"/>
                <w:b w:val="0"/>
                <w:sz w:val="18"/>
              </w:rPr>
              <w:t>0.694</w:t>
            </w:r>
          </w:p>
        </w:tc>
        <w:tc>
          <w:tcPr>
            <w:tcW w:type="dxa" w:w="1170"/>
          </w:tcPr>
          <w:p>
            <w:pPr>
              <w:jc w:val="center"/>
            </w:pPr>
            <w:r/>
            <w:r>
              <w:rPr>
                <w:rFonts w:ascii="Times New Roman" w:hAnsi="Times New Roman"/>
                <w:b w:val="0"/>
                <w:sz w:val="18"/>
              </w:rPr>
              <w:t>−0.001</w:t>
            </w:r>
          </w:p>
        </w:tc>
        <w:tc>
          <w:tcPr>
            <w:tcW w:type="dxa" w:w="1170"/>
          </w:tcPr>
          <w:p>
            <w:pPr>
              <w:jc w:val="center"/>
            </w:pPr>
            <w:r/>
            <w:r>
              <w:rPr>
                <w:rFonts w:ascii="Times New Roman" w:hAnsi="Times New Roman"/>
                <w:b w:val="0"/>
                <w:sz w:val="18"/>
              </w:rPr>
              <w:t>0.336</w:t>
            </w:r>
          </w:p>
        </w:tc>
        <w:tc>
          <w:tcPr>
            <w:tcW w:type="dxa" w:w="1170"/>
          </w:tcPr>
          <w:p>
            <w:pPr>
              <w:jc w:val="center"/>
            </w:pPr>
            <w:r/>
            <w:r>
              <w:rPr>
                <w:rFonts w:ascii="Times New Roman" w:hAnsi="Times New Roman"/>
                <w:b w:val="0"/>
                <w:sz w:val="18"/>
              </w:rPr>
              <w:t>1.03</w:t>
            </w:r>
          </w:p>
        </w:tc>
        <w:tc>
          <w:tcPr>
            <w:tcW w:type="dxa" w:w="1170"/>
          </w:tcPr>
          <w:p>
            <w:pPr>
              <w:jc w:val="center"/>
            </w:pPr>
            <w:r/>
            <w:r>
              <w:rPr>
                <w:rFonts w:ascii="Times New Roman" w:hAnsi="Times New Roman"/>
                <w:b w:val="0"/>
                <w:sz w:val="18"/>
              </w:rPr>
              <w:t>23</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4</w:t>
            </w:r>
          </w:p>
        </w:tc>
        <w:tc>
          <w:tcPr>
            <w:tcW w:type="dxa" w:w="1170"/>
          </w:tcPr>
          <w:p>
            <w:pPr>
              <w:jc w:val="center"/>
            </w:pPr>
            <w:r/>
            <w:r>
              <w:rPr>
                <w:rFonts w:ascii="Times New Roman" w:hAnsi="Times New Roman"/>
                <w:b w:val="0"/>
                <w:sz w:val="18"/>
              </w:rPr>
              <w:t>Box 30 Å</w:t>
            </w:r>
          </w:p>
        </w:tc>
        <w:tc>
          <w:tcPr>
            <w:tcW w:type="dxa" w:w="1170"/>
          </w:tcPr>
          <w:p>
            <w:pPr>
              <w:jc w:val="center"/>
            </w:pPr>
            <w:r/>
            <w:r>
              <w:rPr>
                <w:rFonts w:ascii="Times New Roman" w:hAnsi="Times New Roman"/>
                <w:b w:val="0"/>
                <w:sz w:val="18"/>
              </w:rPr>
              <w:t>0.685</w:t>
            </w:r>
          </w:p>
        </w:tc>
        <w:tc>
          <w:tcPr>
            <w:tcW w:type="dxa" w:w="1170"/>
          </w:tcPr>
          <w:p>
            <w:pPr>
              <w:jc w:val="center"/>
            </w:pPr>
            <w:r/>
            <w:r>
              <w:rPr>
                <w:rFonts w:ascii="Times New Roman" w:hAnsi="Times New Roman"/>
                <w:b w:val="0"/>
                <w:sz w:val="18"/>
              </w:rPr>
              <w:t>−0.010</w:t>
            </w:r>
          </w:p>
        </w:tc>
        <w:tc>
          <w:tcPr>
            <w:tcW w:type="dxa" w:w="1170"/>
          </w:tcPr>
          <w:p>
            <w:pPr>
              <w:jc w:val="center"/>
            </w:pPr>
            <w:r/>
            <w:r>
              <w:rPr>
                <w:rFonts w:ascii="Times New Roman" w:hAnsi="Times New Roman"/>
                <w:b w:val="0"/>
                <w:sz w:val="18"/>
              </w:rPr>
              <w:t>0.370</w:t>
            </w:r>
          </w:p>
        </w:tc>
        <w:tc>
          <w:tcPr>
            <w:tcW w:type="dxa" w:w="1170"/>
          </w:tcPr>
          <w:p>
            <w:pPr>
              <w:jc w:val="center"/>
            </w:pPr>
            <w:r/>
            <w:r>
              <w:rPr>
                <w:rFonts w:ascii="Times New Roman" w:hAnsi="Times New Roman"/>
                <w:b w:val="0"/>
                <w:sz w:val="18"/>
              </w:rPr>
              <w:t>1.02</w:t>
            </w:r>
          </w:p>
        </w:tc>
        <w:tc>
          <w:tcPr>
            <w:tcW w:type="dxa" w:w="1170"/>
          </w:tcPr>
          <w:p>
            <w:pPr>
              <w:jc w:val="center"/>
            </w:pPr>
            <w:r/>
            <w:r>
              <w:rPr>
                <w:rFonts w:ascii="Times New Roman" w:hAnsi="Times New Roman"/>
                <w:b w:val="0"/>
                <w:sz w:val="18"/>
              </w:rPr>
              <w:t>23</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5</w:t>
            </w:r>
          </w:p>
        </w:tc>
        <w:tc>
          <w:tcPr>
            <w:tcW w:type="dxa" w:w="1170"/>
          </w:tcPr>
          <w:p>
            <w:pPr>
              <w:jc w:val="center"/>
            </w:pPr>
            <w:r/>
            <w:r>
              <w:rPr>
                <w:rFonts w:ascii="Times New Roman" w:hAnsi="Times New Roman"/>
                <w:b w:val="0"/>
                <w:sz w:val="18"/>
              </w:rPr>
              <w:t>Exh. 16</w:t>
            </w:r>
          </w:p>
        </w:tc>
        <w:tc>
          <w:tcPr>
            <w:tcW w:type="dxa" w:w="1170"/>
          </w:tcPr>
          <w:p>
            <w:pPr>
              <w:jc w:val="center"/>
            </w:pPr>
            <w:r/>
            <w:r>
              <w:rPr>
                <w:rFonts w:ascii="Times New Roman" w:hAnsi="Times New Roman"/>
                <w:b w:val="0"/>
                <w:sz w:val="18"/>
              </w:rPr>
              <w:t>0.686</w:t>
            </w:r>
          </w:p>
        </w:tc>
        <w:tc>
          <w:tcPr>
            <w:tcW w:type="dxa" w:w="1170"/>
          </w:tcPr>
          <w:p>
            <w:pPr>
              <w:jc w:val="center"/>
            </w:pPr>
            <w:r/>
            <w:r>
              <w:rPr>
                <w:rFonts w:ascii="Times New Roman" w:hAnsi="Times New Roman"/>
                <w:b w:val="0"/>
                <w:sz w:val="18"/>
              </w:rPr>
              <w:t>−0.009</w:t>
            </w:r>
          </w:p>
        </w:tc>
        <w:tc>
          <w:tcPr>
            <w:tcW w:type="dxa" w:w="1170"/>
          </w:tcPr>
          <w:p>
            <w:pPr>
              <w:jc w:val="center"/>
            </w:pPr>
            <w:r/>
            <w:r>
              <w:rPr>
                <w:rFonts w:ascii="Times New Roman" w:hAnsi="Times New Roman"/>
                <w:b w:val="0"/>
                <w:sz w:val="18"/>
              </w:rPr>
              <w:t>0.308</w:t>
            </w:r>
          </w:p>
        </w:tc>
        <w:tc>
          <w:tcPr>
            <w:tcW w:type="dxa" w:w="1170"/>
          </w:tcPr>
          <w:p>
            <w:pPr>
              <w:jc w:val="center"/>
            </w:pPr>
            <w:r/>
            <w:r>
              <w:rPr>
                <w:rFonts w:ascii="Times New Roman" w:hAnsi="Times New Roman"/>
                <w:b w:val="0"/>
                <w:sz w:val="18"/>
              </w:rPr>
              <w:t>0.34</w:t>
            </w:r>
          </w:p>
        </w:tc>
        <w:tc>
          <w:tcPr>
            <w:tcW w:type="dxa" w:w="1170"/>
          </w:tcPr>
          <w:p>
            <w:pPr>
              <w:jc w:val="center"/>
            </w:pPr>
            <w:r/>
            <w:r>
              <w:rPr>
                <w:rFonts w:ascii="Times New Roman" w:hAnsi="Times New Roman"/>
                <w:b w:val="0"/>
                <w:sz w:val="18"/>
              </w:rPr>
              <w:t>27</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6</w:t>
            </w:r>
          </w:p>
        </w:tc>
        <w:tc>
          <w:tcPr>
            <w:tcW w:type="dxa" w:w="1170"/>
          </w:tcPr>
          <w:p>
            <w:pPr>
              <w:jc w:val="center"/>
            </w:pPr>
            <w:r/>
            <w:r>
              <w:rPr>
                <w:rFonts w:ascii="Times New Roman" w:hAnsi="Times New Roman"/>
                <w:b w:val="0"/>
                <w:sz w:val="18"/>
              </w:rPr>
              <w:t>Exh. 32</w:t>
            </w:r>
          </w:p>
        </w:tc>
        <w:tc>
          <w:tcPr>
            <w:tcW w:type="dxa" w:w="1170"/>
          </w:tcPr>
          <w:p>
            <w:pPr>
              <w:jc w:val="center"/>
            </w:pPr>
            <w:r/>
            <w:r>
              <w:rPr>
                <w:rFonts w:ascii="Times New Roman" w:hAnsi="Times New Roman"/>
                <w:b w:val="0"/>
                <w:sz w:val="18"/>
              </w:rPr>
              <w:t>0.693</w:t>
            </w:r>
          </w:p>
        </w:tc>
        <w:tc>
          <w:tcPr>
            <w:tcW w:type="dxa" w:w="1170"/>
          </w:tcPr>
          <w:p>
            <w:pPr>
              <w:jc w:val="center"/>
            </w:pPr>
            <w:r/>
            <w:r>
              <w:rPr>
                <w:rFonts w:ascii="Times New Roman" w:hAnsi="Times New Roman"/>
                <w:b w:val="0"/>
                <w:sz w:val="18"/>
              </w:rPr>
              <w:t>−0.002</w:t>
            </w:r>
          </w:p>
        </w:tc>
        <w:tc>
          <w:tcPr>
            <w:tcW w:type="dxa" w:w="1170"/>
          </w:tcPr>
          <w:p>
            <w:pPr>
              <w:jc w:val="center"/>
            </w:pPr>
            <w:r/>
            <w:r>
              <w:rPr>
                <w:rFonts w:ascii="Times New Roman" w:hAnsi="Times New Roman"/>
                <w:b w:val="0"/>
                <w:sz w:val="18"/>
              </w:rPr>
              <w:t>0.364</w:t>
            </w:r>
          </w:p>
        </w:tc>
        <w:tc>
          <w:tcPr>
            <w:tcW w:type="dxa" w:w="1170"/>
          </w:tcPr>
          <w:p>
            <w:pPr>
              <w:jc w:val="center"/>
            </w:pPr>
            <w:r/>
            <w:r>
              <w:rPr>
                <w:rFonts w:ascii="Times New Roman" w:hAnsi="Times New Roman"/>
                <w:b w:val="0"/>
                <w:sz w:val="18"/>
              </w:rPr>
              <w:t>1.02</w:t>
            </w:r>
          </w:p>
        </w:tc>
        <w:tc>
          <w:tcPr>
            <w:tcW w:type="dxa" w:w="1170"/>
          </w:tcPr>
          <w:p>
            <w:pPr>
              <w:jc w:val="center"/>
            </w:pPr>
            <w:r/>
            <w:r>
              <w:rPr>
                <w:rFonts w:ascii="Times New Roman" w:hAnsi="Times New Roman"/>
                <w:b w:val="0"/>
                <w:sz w:val="18"/>
              </w:rPr>
              <w:t>36</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sz w:val="18"/>
              </w:rPr>
              <w:t>7</w:t>
            </w:r>
          </w:p>
        </w:tc>
        <w:tc>
          <w:tcPr>
            <w:tcW w:type="dxa" w:w="1170"/>
          </w:tcPr>
          <w:p>
            <w:pPr>
              <w:jc w:val="center"/>
            </w:pPr>
            <w:r/>
            <w:r>
              <w:rPr>
                <w:rFonts w:ascii="Times New Roman" w:hAnsi="Times New Roman"/>
                <w:b/>
                <w:sz w:val="18"/>
              </w:rPr>
              <w:t>Naive library (Vinardo)</w:t>
            </w:r>
          </w:p>
        </w:tc>
        <w:tc>
          <w:tcPr>
            <w:tcW w:type="dxa" w:w="1170"/>
          </w:tcPr>
          <w:p>
            <w:pPr>
              <w:jc w:val="center"/>
            </w:pPr>
            <w:r/>
            <w:r>
              <w:rPr>
                <w:rFonts w:ascii="Times New Roman" w:hAnsi="Times New Roman"/>
                <w:b/>
                <w:sz w:val="18"/>
              </w:rPr>
              <w:t>0.716</w:t>
            </w:r>
          </w:p>
        </w:tc>
        <w:tc>
          <w:tcPr>
            <w:tcW w:type="dxa" w:w="1170"/>
          </w:tcPr>
          <w:p>
            <w:pPr>
              <w:jc w:val="center"/>
            </w:pPr>
            <w:r/>
            <w:r>
              <w:rPr>
                <w:rFonts w:ascii="Times New Roman" w:hAnsi="Times New Roman"/>
                <w:b/>
                <w:sz w:val="18"/>
              </w:rPr>
              <w:t>+0.021</w:t>
            </w:r>
          </w:p>
        </w:tc>
        <w:tc>
          <w:tcPr>
            <w:tcW w:type="dxa" w:w="1170"/>
          </w:tcPr>
          <w:p>
            <w:pPr>
              <w:jc w:val="center"/>
            </w:pPr>
            <w:r/>
            <w:r>
              <w:rPr>
                <w:rFonts w:ascii="Times New Roman" w:hAnsi="Times New Roman"/>
                <w:b/>
                <w:sz w:val="18"/>
              </w:rPr>
              <w:t>0.711</w:t>
            </w:r>
          </w:p>
        </w:tc>
        <w:tc>
          <w:tcPr>
            <w:tcW w:type="dxa" w:w="1170"/>
          </w:tcPr>
          <w:p>
            <w:pPr>
              <w:jc w:val="center"/>
            </w:pPr>
            <w:r/>
            <w:r>
              <w:rPr>
                <w:rFonts w:ascii="Times New Roman" w:hAnsi="Times New Roman"/>
                <w:b/>
                <w:sz w:val="18"/>
              </w:rPr>
              <w:t>3.00</w:t>
            </w:r>
          </w:p>
        </w:tc>
        <w:tc>
          <w:tcPr>
            <w:tcW w:type="dxa" w:w="1170"/>
          </w:tcPr>
          <w:p>
            <w:pPr>
              <w:jc w:val="center"/>
            </w:pPr>
            <w:r/>
            <w:r>
              <w:rPr>
                <w:rFonts w:ascii="Times New Roman" w:hAnsi="Times New Roman"/>
                <w:b/>
                <w:sz w:val="18"/>
              </w:rPr>
              <w:t>10</w:t>
            </w:r>
          </w:p>
        </w:tc>
        <w:tc>
          <w:tcPr>
            <w:tcW w:type="dxa" w:w="1170"/>
          </w:tcPr>
          <w:p>
            <w:pPr>
              <w:jc w:val="center"/>
            </w:pPr>
            <w:r/>
            <w:r>
              <w:rPr>
                <w:rFonts w:ascii="Times New Roman" w:hAnsi="Times New Roman"/>
                <w:b/>
                <w:sz w:val="18"/>
              </w:rPr>
              <w:t>kept</w:t>
            </w:r>
          </w:p>
        </w:tc>
      </w:tr>
      <w:tr>
        <w:tc>
          <w:tcPr>
            <w:tcW w:type="dxa" w:w="1170"/>
          </w:tcPr>
          <w:p>
            <w:pPr>
              <w:jc w:val="center"/>
            </w:pPr>
            <w:r/>
            <w:r>
              <w:rPr>
                <w:rFonts w:ascii="Times New Roman" w:hAnsi="Times New Roman"/>
                <w:b w:val="0"/>
                <w:sz w:val="18"/>
              </w:rPr>
              <w:t>8</w:t>
            </w:r>
          </w:p>
        </w:tc>
        <w:tc>
          <w:tcPr>
            <w:tcW w:type="dxa" w:w="1170"/>
          </w:tcPr>
          <w:p>
            <w:pPr>
              <w:jc w:val="center"/>
            </w:pPr>
            <w:r/>
            <w:r>
              <w:rPr>
                <w:rFonts w:ascii="Times New Roman" w:hAnsi="Times New Roman"/>
                <w:b w:val="0"/>
                <w:sz w:val="18"/>
              </w:rPr>
              <w:t>Naive rec.+lib.</w:t>
            </w:r>
          </w:p>
        </w:tc>
        <w:tc>
          <w:tcPr>
            <w:tcW w:type="dxa" w:w="1170"/>
          </w:tcPr>
          <w:p>
            <w:pPr>
              <w:jc w:val="center"/>
            </w:pPr>
            <w:r/>
            <w:r>
              <w:rPr>
                <w:rFonts w:ascii="Times New Roman" w:hAnsi="Times New Roman"/>
                <w:b w:val="0"/>
                <w:sz w:val="18"/>
              </w:rPr>
              <w:t>0.706</w:t>
            </w:r>
          </w:p>
        </w:tc>
        <w:tc>
          <w:tcPr>
            <w:tcW w:type="dxa" w:w="1170"/>
          </w:tcPr>
          <w:p>
            <w:pPr>
              <w:jc w:val="center"/>
            </w:pPr>
            <w:r/>
            <w:r>
              <w:rPr>
                <w:rFonts w:ascii="Times New Roman" w:hAnsi="Times New Roman"/>
                <w:b w:val="0"/>
                <w:sz w:val="18"/>
              </w:rPr>
              <w:t>−0.010</w:t>
            </w:r>
          </w:p>
        </w:tc>
        <w:tc>
          <w:tcPr>
            <w:tcW w:type="dxa" w:w="1170"/>
          </w:tcPr>
          <w:p>
            <w:pPr>
              <w:jc w:val="center"/>
            </w:pPr>
            <w:r/>
            <w:r>
              <w:rPr>
                <w:rFonts w:ascii="Times New Roman" w:hAnsi="Times New Roman"/>
                <w:b w:val="0"/>
                <w:sz w:val="18"/>
              </w:rPr>
              <w:t>0.730</w:t>
            </w:r>
          </w:p>
        </w:tc>
        <w:tc>
          <w:tcPr>
            <w:tcW w:type="dxa" w:w="1170"/>
          </w:tcPr>
          <w:p>
            <w:pPr>
              <w:jc w:val="center"/>
            </w:pPr>
            <w:r/>
            <w:r>
              <w:rPr>
                <w:rFonts w:ascii="Times New Roman" w:hAnsi="Times New Roman"/>
                <w:b w:val="0"/>
                <w:sz w:val="18"/>
              </w:rPr>
              <w:t>3.50</w:t>
            </w:r>
          </w:p>
        </w:tc>
        <w:tc>
          <w:tcPr>
            <w:tcW w:type="dxa" w:w="1170"/>
          </w:tcPr>
          <w:p>
            <w:pPr>
              <w:jc w:val="center"/>
            </w:pPr>
            <w:r/>
            <w:r>
              <w:rPr>
                <w:rFonts w:ascii="Times New Roman" w:hAnsi="Times New Roman"/>
                <w:b w:val="0"/>
                <w:sz w:val="18"/>
              </w:rPr>
              <w:t>11</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sz w:val="18"/>
              </w:rPr>
              <w:t>9</w:t>
            </w:r>
          </w:p>
        </w:tc>
        <w:tc>
          <w:tcPr>
            <w:tcW w:type="dxa" w:w="1170"/>
          </w:tcPr>
          <w:p>
            <w:pPr>
              <w:jc w:val="center"/>
            </w:pPr>
            <w:r/>
            <w:r>
              <w:rPr>
                <w:rFonts w:ascii="Times New Roman" w:hAnsi="Times New Roman"/>
                <w:b/>
                <w:sz w:val="18"/>
              </w:rPr>
              <w:t>Naive lib. (Vina)</w:t>
            </w:r>
          </w:p>
        </w:tc>
        <w:tc>
          <w:tcPr>
            <w:tcW w:type="dxa" w:w="1170"/>
          </w:tcPr>
          <w:p>
            <w:pPr>
              <w:jc w:val="center"/>
            </w:pPr>
            <w:r/>
            <w:r>
              <w:rPr>
                <w:rFonts w:ascii="Times New Roman" w:hAnsi="Times New Roman"/>
                <w:b/>
                <w:sz w:val="18"/>
              </w:rPr>
              <w:t>0.735</w:t>
            </w:r>
          </w:p>
        </w:tc>
        <w:tc>
          <w:tcPr>
            <w:tcW w:type="dxa" w:w="1170"/>
          </w:tcPr>
          <w:p>
            <w:pPr>
              <w:jc w:val="center"/>
            </w:pPr>
            <w:r/>
            <w:r>
              <w:rPr>
                <w:rFonts w:ascii="Times New Roman" w:hAnsi="Times New Roman"/>
                <w:b/>
                <w:sz w:val="18"/>
              </w:rPr>
              <w:t>+0.019</w:t>
            </w:r>
          </w:p>
        </w:tc>
        <w:tc>
          <w:tcPr>
            <w:tcW w:type="dxa" w:w="1170"/>
          </w:tcPr>
          <w:p>
            <w:pPr>
              <w:jc w:val="center"/>
            </w:pPr>
            <w:r/>
            <w:r>
              <w:rPr>
                <w:rFonts w:ascii="Times New Roman" w:hAnsi="Times New Roman"/>
                <w:b/>
                <w:sz w:val="18"/>
              </w:rPr>
              <w:t>0.766</w:t>
            </w:r>
          </w:p>
        </w:tc>
        <w:tc>
          <w:tcPr>
            <w:tcW w:type="dxa" w:w="1170"/>
          </w:tcPr>
          <w:p>
            <w:pPr>
              <w:jc w:val="center"/>
            </w:pPr>
            <w:r/>
            <w:r>
              <w:rPr>
                <w:rFonts w:ascii="Times New Roman" w:hAnsi="Times New Roman"/>
                <w:b/>
                <w:sz w:val="18"/>
              </w:rPr>
              <w:t>3.50</w:t>
            </w:r>
          </w:p>
        </w:tc>
        <w:tc>
          <w:tcPr>
            <w:tcW w:type="dxa" w:w="1170"/>
          </w:tcPr>
          <w:p>
            <w:pPr>
              <w:jc w:val="center"/>
            </w:pPr>
            <w:r/>
            <w:r>
              <w:rPr>
                <w:rFonts w:ascii="Times New Roman" w:hAnsi="Times New Roman"/>
                <w:b/>
                <w:sz w:val="18"/>
              </w:rPr>
              <w:t>10</w:t>
            </w:r>
          </w:p>
        </w:tc>
        <w:tc>
          <w:tcPr>
            <w:tcW w:type="dxa" w:w="1170"/>
          </w:tcPr>
          <w:p>
            <w:pPr>
              <w:jc w:val="center"/>
            </w:pPr>
            <w:r/>
            <w:r>
              <w:rPr>
                <w:rFonts w:ascii="Times New Roman" w:hAnsi="Times New Roman"/>
                <w:b/>
                <w:sz w:val="18"/>
              </w:rPr>
              <w:t>kept</w:t>
            </w:r>
          </w:p>
        </w:tc>
      </w:tr>
      <w:tr>
        <w:tc>
          <w:tcPr>
            <w:tcW w:type="dxa" w:w="1170"/>
          </w:tcPr>
          <w:p>
            <w:pPr>
              <w:jc w:val="center"/>
            </w:pPr>
            <w:r/>
            <w:r>
              <w:rPr>
                <w:rFonts w:ascii="Times New Roman" w:hAnsi="Times New Roman"/>
                <w:b w:val="0"/>
                <w:sz w:val="18"/>
              </w:rPr>
              <w:t>10</w:t>
            </w:r>
          </w:p>
        </w:tc>
        <w:tc>
          <w:tcPr>
            <w:tcW w:type="dxa" w:w="1170"/>
          </w:tcPr>
          <w:p>
            <w:pPr>
              <w:jc w:val="center"/>
            </w:pPr>
            <w:r/>
            <w:r>
              <w:rPr>
                <w:rFonts w:ascii="Times New Roman" w:hAnsi="Times New Roman"/>
                <w:b w:val="0"/>
                <w:sz w:val="18"/>
              </w:rPr>
              <w:t>Energy range 5</w:t>
            </w:r>
          </w:p>
        </w:tc>
        <w:tc>
          <w:tcPr>
            <w:tcW w:type="dxa" w:w="1170"/>
          </w:tcPr>
          <w:p>
            <w:pPr>
              <w:jc w:val="center"/>
            </w:pPr>
            <w:r/>
            <w:r>
              <w:rPr>
                <w:rFonts w:ascii="Times New Roman" w:hAnsi="Times New Roman"/>
                <w:b w:val="0"/>
                <w:sz w:val="18"/>
              </w:rPr>
              <w:t>0.735</w:t>
            </w:r>
          </w:p>
        </w:tc>
        <w:tc>
          <w:tcPr>
            <w:tcW w:type="dxa" w:w="1170"/>
          </w:tcPr>
          <w:p>
            <w:pPr>
              <w:jc w:val="center"/>
            </w:pPr>
            <w:r/>
            <w:r>
              <w:rPr>
                <w:rFonts w:ascii="Times New Roman" w:hAnsi="Times New Roman"/>
                <w:b w:val="0"/>
                <w:sz w:val="18"/>
              </w:rPr>
              <w:t>0.000</w:t>
            </w:r>
          </w:p>
        </w:tc>
        <w:tc>
          <w:tcPr>
            <w:tcW w:type="dxa" w:w="1170"/>
          </w:tcPr>
          <w:p>
            <w:pPr>
              <w:jc w:val="center"/>
            </w:pPr>
            <w:r/>
            <w:r>
              <w:rPr>
                <w:rFonts w:ascii="Times New Roman" w:hAnsi="Times New Roman"/>
                <w:b w:val="0"/>
                <w:sz w:val="18"/>
              </w:rPr>
              <w:t>0.766</w:t>
            </w:r>
          </w:p>
        </w:tc>
        <w:tc>
          <w:tcPr>
            <w:tcW w:type="dxa" w:w="1170"/>
          </w:tcPr>
          <w:p>
            <w:pPr>
              <w:jc w:val="center"/>
            </w:pPr>
            <w:r/>
            <w:r>
              <w:rPr>
                <w:rFonts w:ascii="Times New Roman" w:hAnsi="Times New Roman"/>
                <w:b w:val="0"/>
                <w:sz w:val="18"/>
              </w:rPr>
              <w:t>3.50</w:t>
            </w:r>
          </w:p>
        </w:tc>
        <w:tc>
          <w:tcPr>
            <w:tcW w:type="dxa" w:w="1170"/>
          </w:tcPr>
          <w:p>
            <w:pPr>
              <w:jc w:val="center"/>
            </w:pPr>
            <w:r/>
            <w:r>
              <w:rPr>
                <w:rFonts w:ascii="Times New Roman" w:hAnsi="Times New Roman"/>
                <w:b w:val="0"/>
                <w:sz w:val="18"/>
              </w:rPr>
              <w:t>10</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11</w:t>
            </w:r>
          </w:p>
        </w:tc>
        <w:tc>
          <w:tcPr>
            <w:tcW w:type="dxa" w:w="1170"/>
          </w:tcPr>
          <w:p>
            <w:pPr>
              <w:jc w:val="center"/>
            </w:pPr>
            <w:r/>
            <w:r>
              <w:rPr>
                <w:rFonts w:ascii="Times New Roman" w:hAnsi="Times New Roman"/>
                <w:b w:val="0"/>
                <w:sz w:val="18"/>
              </w:rPr>
              <w:t>Batch size 50</w:t>
            </w:r>
          </w:p>
        </w:tc>
        <w:tc>
          <w:tcPr>
            <w:tcW w:type="dxa" w:w="1170"/>
          </w:tcPr>
          <w:p>
            <w:pPr>
              <w:jc w:val="center"/>
            </w:pPr>
            <w:r/>
            <w:r>
              <w:rPr>
                <w:rFonts w:ascii="Times New Roman" w:hAnsi="Times New Roman"/>
                <w:b w:val="0"/>
                <w:sz w:val="18"/>
              </w:rPr>
              <w:t>0.733</w:t>
            </w:r>
          </w:p>
        </w:tc>
        <w:tc>
          <w:tcPr>
            <w:tcW w:type="dxa" w:w="1170"/>
          </w:tcPr>
          <w:p>
            <w:pPr>
              <w:jc w:val="center"/>
            </w:pPr>
            <w:r/>
            <w:r>
              <w:rPr>
                <w:rFonts w:ascii="Times New Roman" w:hAnsi="Times New Roman"/>
                <w:b w:val="0"/>
                <w:sz w:val="18"/>
              </w:rPr>
              <w:t>−0.002</w:t>
            </w:r>
          </w:p>
        </w:tc>
        <w:tc>
          <w:tcPr>
            <w:tcW w:type="dxa" w:w="1170"/>
          </w:tcPr>
          <w:p>
            <w:pPr>
              <w:jc w:val="center"/>
            </w:pPr>
            <w:r/>
            <w:r>
              <w:rPr>
                <w:rFonts w:ascii="Times New Roman" w:hAnsi="Times New Roman"/>
                <w:b w:val="0"/>
                <w:sz w:val="18"/>
              </w:rPr>
              <w:t>0.740</w:t>
            </w:r>
          </w:p>
        </w:tc>
        <w:tc>
          <w:tcPr>
            <w:tcW w:type="dxa" w:w="1170"/>
          </w:tcPr>
          <w:p>
            <w:pPr>
              <w:jc w:val="center"/>
            </w:pPr>
            <w:r/>
            <w:r>
              <w:rPr>
                <w:rFonts w:ascii="Times New Roman" w:hAnsi="Times New Roman"/>
                <w:b w:val="0"/>
                <w:sz w:val="18"/>
              </w:rPr>
              <w:t>3.43</w:t>
            </w:r>
          </w:p>
        </w:tc>
        <w:tc>
          <w:tcPr>
            <w:tcW w:type="dxa" w:w="1170"/>
          </w:tcPr>
          <w:p>
            <w:pPr>
              <w:jc w:val="center"/>
            </w:pPr>
            <w:r/>
            <w:r>
              <w:rPr>
                <w:rFonts w:ascii="Times New Roman" w:hAnsi="Times New Roman"/>
                <w:b w:val="0"/>
                <w:sz w:val="18"/>
              </w:rPr>
              <w:t>23</w:t>
            </w:r>
          </w:p>
        </w:tc>
        <w:tc>
          <w:tcPr>
            <w:tcW w:type="dxa" w:w="1170"/>
          </w:tcPr>
          <w:p>
            <w:pPr>
              <w:jc w:val="center"/>
            </w:pPr>
            <w:r/>
            <w:r>
              <w:rPr>
                <w:rFonts w:ascii="Times New Roman" w:hAnsi="Times New Roman"/>
                <w:b w:val="0"/>
                <w:sz w:val="18"/>
              </w:rPr>
              <w:t>kept</w:t>
            </w:r>
          </w:p>
        </w:tc>
      </w:tr>
      <w:tr>
        <w:tc>
          <w:tcPr>
            <w:tcW w:type="dxa" w:w="1170"/>
          </w:tcPr>
          <w:p>
            <w:pPr>
              <w:jc w:val="center"/>
            </w:pPr>
            <w:r/>
            <w:r>
              <w:rPr>
                <w:rFonts w:ascii="Times New Roman" w:hAnsi="Times New Roman"/>
                <w:b w:val="0"/>
                <w:sz w:val="18"/>
              </w:rPr>
              <w:t>12</w:t>
            </w:r>
          </w:p>
        </w:tc>
        <w:tc>
          <w:tcPr>
            <w:tcW w:type="dxa" w:w="1170"/>
          </w:tcPr>
          <w:p>
            <w:pPr>
              <w:jc w:val="center"/>
            </w:pPr>
            <w:r/>
            <w:r>
              <w:rPr>
                <w:rFonts w:ascii="Times New Roman" w:hAnsi="Times New Roman"/>
                <w:b w:val="0"/>
                <w:sz w:val="18"/>
              </w:rPr>
              <w:t>Batch size 20</w:t>
            </w:r>
          </w:p>
        </w:tc>
        <w:tc>
          <w:tcPr>
            <w:tcW w:type="dxa" w:w="1170"/>
          </w:tcPr>
          <w:p>
            <w:pPr>
              <w:jc w:val="center"/>
            </w:pPr>
            <w:r/>
            <w:r>
              <w:rPr>
                <w:rFonts w:ascii="Times New Roman" w:hAnsi="Times New Roman"/>
                <w:b w:val="0"/>
                <w:sz w:val="18"/>
              </w:rPr>
              <w:t>0.730</w:t>
            </w:r>
          </w:p>
        </w:tc>
        <w:tc>
          <w:tcPr>
            <w:tcW w:type="dxa" w:w="1170"/>
          </w:tcPr>
          <w:p>
            <w:pPr>
              <w:jc w:val="center"/>
            </w:pPr>
            <w:r/>
            <w:r>
              <w:rPr>
                <w:rFonts w:ascii="Times New Roman" w:hAnsi="Times New Roman"/>
                <w:b w:val="0"/>
                <w:sz w:val="18"/>
              </w:rPr>
              <w:t>−0.003</w:t>
            </w:r>
          </w:p>
        </w:tc>
        <w:tc>
          <w:tcPr>
            <w:tcW w:type="dxa" w:w="1170"/>
          </w:tcPr>
          <w:p>
            <w:pPr>
              <w:jc w:val="center"/>
            </w:pPr>
            <w:r/>
            <w:r>
              <w:rPr>
                <w:rFonts w:ascii="Times New Roman" w:hAnsi="Times New Roman"/>
                <w:b w:val="0"/>
                <w:sz w:val="18"/>
              </w:rPr>
              <w:t>0.651</w:t>
            </w:r>
          </w:p>
        </w:tc>
        <w:tc>
          <w:tcPr>
            <w:tcW w:type="dxa" w:w="1170"/>
          </w:tcPr>
          <w:p>
            <w:pPr>
              <w:jc w:val="center"/>
            </w:pPr>
            <w:r/>
            <w:r>
              <w:rPr>
                <w:rFonts w:ascii="Times New Roman" w:hAnsi="Times New Roman"/>
                <w:b w:val="0"/>
                <w:sz w:val="18"/>
              </w:rPr>
              <w:t>3.23</w:t>
            </w:r>
          </w:p>
        </w:tc>
        <w:tc>
          <w:tcPr>
            <w:tcW w:type="dxa" w:w="1170"/>
          </w:tcPr>
          <w:p>
            <w:pPr>
              <w:jc w:val="center"/>
            </w:pPr>
            <w:r/>
            <w:r>
              <w:rPr>
                <w:rFonts w:ascii="Times New Roman" w:hAnsi="Times New Roman"/>
                <w:b w:val="0"/>
                <w:sz w:val="18"/>
              </w:rPr>
              <w:t>53</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13</w:t>
            </w:r>
          </w:p>
        </w:tc>
        <w:tc>
          <w:tcPr>
            <w:tcW w:type="dxa" w:w="1170"/>
          </w:tcPr>
          <w:p>
            <w:pPr>
              <w:jc w:val="center"/>
            </w:pPr>
            <w:r/>
            <w:r>
              <w:rPr>
                <w:rFonts w:ascii="Times New Roman" w:hAnsi="Times New Roman"/>
                <w:b w:val="0"/>
                <w:sz w:val="18"/>
              </w:rPr>
              <w:t>Exh. 4</w:t>
            </w:r>
          </w:p>
        </w:tc>
        <w:tc>
          <w:tcPr>
            <w:tcW w:type="dxa" w:w="1170"/>
          </w:tcPr>
          <w:p>
            <w:pPr>
              <w:jc w:val="center"/>
            </w:pPr>
            <w:r/>
            <w:r>
              <w:rPr>
                <w:rFonts w:ascii="Times New Roman" w:hAnsi="Times New Roman"/>
                <w:b w:val="0"/>
                <w:sz w:val="18"/>
              </w:rPr>
              <w:t>0.729</w:t>
            </w:r>
          </w:p>
        </w:tc>
        <w:tc>
          <w:tcPr>
            <w:tcW w:type="dxa" w:w="1170"/>
          </w:tcPr>
          <w:p>
            <w:pPr>
              <w:jc w:val="center"/>
            </w:pPr>
            <w:r/>
            <w:r>
              <w:rPr>
                <w:rFonts w:ascii="Times New Roman" w:hAnsi="Times New Roman"/>
                <w:b w:val="0"/>
                <w:sz w:val="18"/>
              </w:rPr>
              <w:t>−0.004</w:t>
            </w:r>
          </w:p>
        </w:tc>
        <w:tc>
          <w:tcPr>
            <w:tcW w:type="dxa" w:w="1170"/>
          </w:tcPr>
          <w:p>
            <w:pPr>
              <w:jc w:val="center"/>
            </w:pPr>
            <w:r/>
            <w:r>
              <w:rPr>
                <w:rFonts w:ascii="Times New Roman" w:hAnsi="Times New Roman"/>
                <w:b w:val="0"/>
                <w:sz w:val="18"/>
              </w:rPr>
              <w:t>0.729</w:t>
            </w:r>
          </w:p>
        </w:tc>
        <w:tc>
          <w:tcPr>
            <w:tcW w:type="dxa" w:w="1170"/>
          </w:tcPr>
          <w:p>
            <w:pPr>
              <w:jc w:val="center"/>
            </w:pPr>
            <w:r/>
            <w:r>
              <w:rPr>
                <w:rFonts w:ascii="Times New Roman" w:hAnsi="Times New Roman"/>
                <w:b w:val="0"/>
                <w:sz w:val="18"/>
              </w:rPr>
              <w:t>3.43</w:t>
            </w:r>
          </w:p>
        </w:tc>
        <w:tc>
          <w:tcPr>
            <w:tcW w:type="dxa" w:w="1170"/>
          </w:tcPr>
          <w:p>
            <w:pPr>
              <w:jc w:val="center"/>
            </w:pPr>
            <w:r/>
            <w:r>
              <w:rPr>
                <w:rFonts w:ascii="Times New Roman" w:hAnsi="Times New Roman"/>
                <w:b w:val="0"/>
                <w:sz w:val="18"/>
              </w:rPr>
              <w:t>20</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14</w:t>
            </w:r>
          </w:p>
        </w:tc>
        <w:tc>
          <w:tcPr>
            <w:tcW w:type="dxa" w:w="1170"/>
          </w:tcPr>
          <w:p>
            <w:pPr>
              <w:jc w:val="center"/>
            </w:pPr>
            <w:r/>
            <w:r>
              <w:rPr>
                <w:rFonts w:ascii="Times New Roman" w:hAnsi="Times New Roman"/>
                <w:b w:val="0"/>
                <w:sz w:val="18"/>
              </w:rPr>
              <w:t>Box 22 Å</w:t>
            </w:r>
          </w:p>
        </w:tc>
        <w:tc>
          <w:tcPr>
            <w:tcW w:type="dxa" w:w="1170"/>
          </w:tcPr>
          <w:p>
            <w:pPr>
              <w:jc w:val="center"/>
            </w:pPr>
            <w:r/>
            <w:r>
              <w:rPr>
                <w:rFonts w:ascii="Times New Roman" w:hAnsi="Times New Roman"/>
                <w:b w:val="0"/>
                <w:sz w:val="18"/>
              </w:rPr>
              <w:t>0.729</w:t>
            </w:r>
          </w:p>
        </w:tc>
        <w:tc>
          <w:tcPr>
            <w:tcW w:type="dxa" w:w="1170"/>
          </w:tcPr>
          <w:p>
            <w:pPr>
              <w:jc w:val="center"/>
            </w:pPr>
            <w:r/>
            <w:r>
              <w:rPr>
                <w:rFonts w:ascii="Times New Roman" w:hAnsi="Times New Roman"/>
                <w:b w:val="0"/>
                <w:sz w:val="18"/>
              </w:rPr>
              <w:t>−0.004</w:t>
            </w:r>
          </w:p>
        </w:tc>
        <w:tc>
          <w:tcPr>
            <w:tcW w:type="dxa" w:w="1170"/>
          </w:tcPr>
          <w:p>
            <w:pPr>
              <w:jc w:val="center"/>
            </w:pPr>
            <w:r/>
            <w:r>
              <w:rPr>
                <w:rFonts w:ascii="Times New Roman" w:hAnsi="Times New Roman"/>
                <w:b w:val="0"/>
                <w:sz w:val="18"/>
              </w:rPr>
              <w:t>0.709</w:t>
            </w:r>
          </w:p>
        </w:tc>
        <w:tc>
          <w:tcPr>
            <w:tcW w:type="dxa" w:w="1170"/>
          </w:tcPr>
          <w:p>
            <w:pPr>
              <w:jc w:val="center"/>
            </w:pPr>
            <w:r/>
            <w:r>
              <w:rPr>
                <w:rFonts w:ascii="Times New Roman" w:hAnsi="Times New Roman"/>
                <w:b w:val="0"/>
                <w:sz w:val="18"/>
              </w:rPr>
              <w:t>3.43</w:t>
            </w:r>
          </w:p>
        </w:tc>
        <w:tc>
          <w:tcPr>
            <w:tcW w:type="dxa" w:w="1170"/>
          </w:tcPr>
          <w:p>
            <w:pPr>
              <w:jc w:val="center"/>
            </w:pPr>
            <w:r/>
            <w:r>
              <w:rPr>
                <w:rFonts w:ascii="Times New Roman" w:hAnsi="Times New Roman"/>
                <w:b w:val="0"/>
                <w:sz w:val="18"/>
              </w:rPr>
              <w:t>24</w:t>
            </w:r>
          </w:p>
        </w:tc>
        <w:tc>
          <w:tcPr>
            <w:tcW w:type="dxa" w:w="1170"/>
          </w:tcPr>
          <w:p>
            <w:pPr>
              <w:jc w:val="center"/>
            </w:pPr>
            <w:r/>
            <w:r>
              <w:rPr>
                <w:rFonts w:ascii="Times New Roman" w:hAnsi="Times New Roman"/>
                <w:b w:val="0"/>
                <w:sz w:val="18"/>
              </w:rPr>
              <w:t>reverted</w:t>
            </w:r>
          </w:p>
        </w:tc>
      </w:tr>
      <w:tr>
        <w:tc>
          <w:tcPr>
            <w:tcW w:type="dxa" w:w="1170"/>
          </w:tcPr>
          <w:p>
            <w:pPr>
              <w:jc w:val="center"/>
            </w:pPr>
            <w:r/>
            <w:r>
              <w:rPr>
                <w:rFonts w:ascii="Times New Roman" w:hAnsi="Times New Roman"/>
                <w:b w:val="0"/>
                <w:sz w:val="18"/>
              </w:rPr>
              <w:t>15</w:t>
            </w:r>
          </w:p>
        </w:tc>
        <w:tc>
          <w:tcPr>
            <w:tcW w:type="dxa" w:w="1170"/>
          </w:tcPr>
          <w:p>
            <w:pPr>
              <w:jc w:val="center"/>
            </w:pPr>
            <w:r/>
            <w:r>
              <w:rPr>
                <w:rFonts w:ascii="Times New Roman" w:hAnsi="Times New Roman"/>
                <w:b w:val="0"/>
                <w:sz w:val="18"/>
              </w:rPr>
              <w:t>Num. modes 20</w:t>
            </w:r>
          </w:p>
        </w:tc>
        <w:tc>
          <w:tcPr>
            <w:tcW w:type="dxa" w:w="1170"/>
          </w:tcPr>
          <w:p>
            <w:pPr>
              <w:jc w:val="center"/>
            </w:pPr>
            <w:r/>
            <w:r>
              <w:rPr>
                <w:rFonts w:ascii="Times New Roman" w:hAnsi="Times New Roman"/>
                <w:b w:val="0"/>
                <w:sz w:val="18"/>
              </w:rPr>
              <w:t>0.727</w:t>
            </w:r>
          </w:p>
        </w:tc>
        <w:tc>
          <w:tcPr>
            <w:tcW w:type="dxa" w:w="1170"/>
          </w:tcPr>
          <w:p>
            <w:pPr>
              <w:jc w:val="center"/>
            </w:pPr>
            <w:r/>
            <w:r>
              <w:rPr>
                <w:rFonts w:ascii="Times New Roman" w:hAnsi="Times New Roman"/>
                <w:b w:val="0"/>
                <w:sz w:val="18"/>
              </w:rPr>
              <w:t>−0.006</w:t>
            </w:r>
          </w:p>
        </w:tc>
        <w:tc>
          <w:tcPr>
            <w:tcW w:type="dxa" w:w="1170"/>
          </w:tcPr>
          <w:p>
            <w:pPr>
              <w:jc w:val="center"/>
            </w:pPr>
            <w:r/>
            <w:r>
              <w:rPr>
                <w:rFonts w:ascii="Times New Roman" w:hAnsi="Times New Roman"/>
                <w:b w:val="0"/>
                <w:sz w:val="18"/>
              </w:rPr>
              <w:t>0.727</w:t>
            </w:r>
          </w:p>
        </w:tc>
        <w:tc>
          <w:tcPr>
            <w:tcW w:type="dxa" w:w="1170"/>
          </w:tcPr>
          <w:p>
            <w:pPr>
              <w:jc w:val="center"/>
            </w:pPr>
            <w:r/>
            <w:r>
              <w:rPr>
                <w:rFonts w:ascii="Times New Roman" w:hAnsi="Times New Roman"/>
                <w:b w:val="0"/>
                <w:sz w:val="18"/>
              </w:rPr>
              <w:t>3.71</w:t>
            </w:r>
          </w:p>
        </w:tc>
        <w:tc>
          <w:tcPr>
            <w:tcW w:type="dxa" w:w="1170"/>
          </w:tcPr>
          <w:p>
            <w:pPr>
              <w:jc w:val="center"/>
            </w:pPr>
            <w:r/>
            <w:r>
              <w:rPr>
                <w:rFonts w:ascii="Times New Roman" w:hAnsi="Times New Roman"/>
                <w:b w:val="0"/>
                <w:sz w:val="18"/>
              </w:rPr>
              <w:t>24</w:t>
            </w:r>
          </w:p>
        </w:tc>
        <w:tc>
          <w:tcPr>
            <w:tcW w:type="dxa" w:w="1170"/>
          </w:tcPr>
          <w:p>
            <w:pPr>
              <w:jc w:val="center"/>
            </w:pPr>
            <w:r/>
            <w:r>
              <w:rPr>
                <w:rFonts w:ascii="Times New Roman" w:hAnsi="Times New Roman"/>
                <w:b w:val="0"/>
                <w:sz w:val="18"/>
              </w:rPr>
              <w:t>reverted</w:t>
            </w:r>
          </w:p>
        </w:tc>
      </w:tr>
    </w:tbl>
    <w:p/>
    <w:p>
      <w:pPr>
        <w:jc w:val="center"/>
      </w:pPr>
      <w:r>
        <w:drawing>
          <wp:inline xmlns:a="http://schemas.openxmlformats.org/drawingml/2006/main" xmlns:pic="http://schemas.openxmlformats.org/drawingml/2006/picture">
            <wp:extent cx="5029200" cy="2381939"/>
            <wp:docPr id="1" name="Picture 1"/>
            <wp:cNvGraphicFramePr>
              <a:graphicFrameLocks noChangeAspect="1"/>
            </wp:cNvGraphicFramePr>
            <a:graphic>
              <a:graphicData uri="http://schemas.openxmlformats.org/drawingml/2006/picture">
                <pic:pic>
                  <pic:nvPicPr>
                    <pic:cNvPr id="0" name="figure1_workflow.png"/>
                    <pic:cNvPicPr/>
                  </pic:nvPicPr>
                  <pic:blipFill>
                    <a:blip r:embed="rId9"/>
                    <a:stretch>
                      <a:fillRect/>
                    </a:stretch>
                  </pic:blipFill>
                  <pic:spPr>
                    <a:xfrm>
                      <a:off x="0" y="0"/>
                      <a:ext cx="5029200" cy="2381939"/>
                    </a:xfrm>
                    <a:prstGeom prst="rect"/>
                  </pic:spPr>
                </pic:pic>
              </a:graphicData>
            </a:graphic>
          </wp:inline>
        </w:drawing>
      </w:r>
    </w:p>
    <w:p>
      <w:pPr>
        <w:spacing w:after="240"/>
      </w:pPr>
      <w:r>
        <w:rPr>
          <w:rFonts w:ascii="Times New Roman" w:hAnsi="Times New Roman"/>
          <w:b/>
          <w:i w:val="0"/>
          <w:sz w:val="22"/>
        </w:rPr>
        <w:t xml:space="preserve">Fig. 1 </w:t>
      </w:r>
      <w:r>
        <w:rPr>
          <w:rFonts w:ascii="Times New Roman" w:hAnsi="Times New Roman"/>
          <w:b w:val="0"/>
          <w:i w:val="0"/>
          <w:sz w:val="22"/>
        </w:rPr>
        <w:t>Schematic of the autoresearch experiment loop. The LLM agent autonomously cycles through hypothesise, modify, commit, dock, evaluate, and keep/revert stages. Each cycle tests exactly one parameter change.</w:t>
      </w:r>
    </w:p>
    <w:p/>
    <w:p>
      <w:pPr>
        <w:jc w:val="center"/>
      </w:pPr>
      <w:r>
        <w:drawing>
          <wp:inline xmlns:a="http://schemas.openxmlformats.org/drawingml/2006/main" xmlns:pic="http://schemas.openxmlformats.org/drawingml/2006/picture">
            <wp:extent cx="5486400" cy="2434851"/>
            <wp:docPr id="2" name="Picture 2"/>
            <wp:cNvGraphicFramePr>
              <a:graphicFrameLocks noChangeAspect="1"/>
            </wp:cNvGraphicFramePr>
            <a:graphic>
              <a:graphicData uri="http://schemas.openxmlformats.org/drawingml/2006/picture">
                <pic:pic>
                  <pic:nvPicPr>
                    <pic:cNvPr id="0" name="figure2_auc_comparison.png"/>
                    <pic:cNvPicPr/>
                  </pic:nvPicPr>
                  <pic:blipFill>
                    <a:blip r:embed="rId10"/>
                    <a:stretch>
                      <a:fillRect/>
                    </a:stretch>
                  </pic:blipFill>
                  <pic:spPr>
                    <a:xfrm>
                      <a:off x="0" y="0"/>
                      <a:ext cx="5486400" cy="2434851"/>
                    </a:xfrm>
                    <a:prstGeom prst="rect"/>
                  </pic:spPr>
                </pic:pic>
              </a:graphicData>
            </a:graphic>
          </wp:inline>
        </w:drawing>
      </w:r>
    </w:p>
    <w:p>
      <w:pPr>
        <w:spacing w:after="240"/>
      </w:pPr>
      <w:r>
        <w:rPr>
          <w:rFonts w:ascii="Times New Roman" w:hAnsi="Times New Roman"/>
          <w:b/>
          <w:i w:val="0"/>
          <w:sz w:val="22"/>
        </w:rPr>
        <w:t xml:space="preserve">Fig. 2 </w:t>
      </w:r>
      <w:r>
        <w:rPr>
          <w:rFonts w:ascii="Times New Roman" w:hAnsi="Times New Roman"/>
          <w:b w:val="0"/>
          <w:i w:val="0"/>
          <w:sz w:val="22"/>
        </w:rPr>
        <w:t>Multi-metric divergence between baseline and optimised configurations. Percentage change from baseline for ROC AUC, BEDROC (α = 80.5), and EF 1% on FPR2 (A) and CDK2 (B), with absolute values shown below each bar. On FPR2, the AUC gain (+1.6%) is offset by decreased early enrichment (BEDROC −13.9%, EF 1% −45.6%), indicating that Vinardo scoring redistributes discrimination power away from the top-ranked compounds. On CDK2, all three metrics improve substantially, confirming that library expansion and scoring function selection jointly enhanced both global ranking and early enrichment.</w:t>
      </w:r>
    </w:p>
    <w:p>
      <w:pPr>
        <w:pStyle w:val="Heading2"/>
      </w:pPr>
      <w:r>
        <w:t>Optimal parameters are target-dependent</w:t>
      </w:r>
    </w:p>
    <w:p>
      <w:r>
        <w:rPr>
          <w:rFonts w:ascii="Times New Roman" w:hAnsi="Times New Roman"/>
          <w:b w:val="0"/>
          <w:i w:val="0"/>
          <w:sz w:val="22"/>
        </w:rPr>
        <w:t>The key finding is the reversal of optimal parameters between targets (Fig. 3). For FPR2, Vinardo outperformed Vina (+0.012 AUC), while for CDK2, Vina outperformed Vinardo (+0.019) after switching to the naive library. Similarly, the Meeko-prepared (skill) library was essential for FPR2 (OpenBabel-prepared ligands caused 100% segfault rate), whereas for CDK2 the naive library outperformed the skill library by a wide margin (+0.058 AUC). These reversals demonstrate that there is no universally optimal VS configuration: scoring function, preparation protocol, and other parameters interact with target-specific binding site characteristics in ways that are difficult to predict a priori.</w:t>
      </w:r>
    </w:p>
    <w:p>
      <w:pPr>
        <w:pStyle w:val="Heading2"/>
      </w:pPr>
      <w:r>
        <w:t>AUC gains do not guarantee improved early enrichment</w:t>
      </w:r>
    </w:p>
    <w:p>
      <w:r>
        <w:rPr>
          <w:rFonts w:ascii="Times New Roman" w:hAnsi="Times New Roman"/>
          <w:b w:val="0"/>
          <w:i w:val="0"/>
          <w:sz w:val="22"/>
        </w:rPr>
        <w:t>Multi-metric analysis reveals a limitation of single-metric optimisation (Fig. 2). On FPR2, the Vinardo-driven AUC improvement (+1.6%) was accompanied by a 13.9% decrease in BEDROC and a 45.6% decrease in EF 1%, indicating that the scoring function change reshuffled the ranked list without improving, and in fact worsening, the concentration of actives among the highest-ranked compounds. In a prospective screen where only the top 1% of compounds can be tested experimentally, this AUC gain would translate into fewer confirmed hits. By contrast, the CDK2 change raised all three metrics (AUC +8.6%, BEDROC +73.0%, and EF 1% +104.7%), but this apparent gain arose from a change in benchmark composition rather than a better docking protocol: an inappropriate PAINS/Brenk filter had been applied to a DUD-E set, and switching to the unfiltered library restored the original property-matched composition. The FPR2 change relied solely on a scoring function swap that altered the score distribution without fundamentally changing which compounds were evaluated.</w:t>
      </w:r>
    </w:p>
    <w:p>
      <w:r>
        <w:rPr>
          <w:rFonts w:ascii="Times New Roman" w:hAnsi="Times New Roman"/>
          <w:b w:val="0"/>
          <w:i w:val="0"/>
          <w:sz w:val="22"/>
        </w:rPr>
        <w:t>These results support multi-metric evaluation in autonomous VS campaigns. An agent optimising BEDROC or EF 1% instead of, or alongside, AUC might reach different and potentially more practically useful configurations. Future implementations should consider multi-objective optimisation frameworks that balance global discrimination (AUC) against early enrichment (BEDROC, EF 1%).</w:t>
      </w:r>
    </w:p>
    <w:p>
      <w:r>
        <w:rPr>
          <w:rFonts w:ascii="Times New Roman" w:hAnsi="Times New Roman"/>
          <w:b w:val="0"/>
          <w:i w:val="0"/>
          <w:sz w:val="22"/>
        </w:rPr>
        <w:t>The differing response to library preparation is instructive. For FPR2, the skill library (Meeko-prepared with PAINS</w:t>
      </w:r>
      <w:r>
        <w:rPr>
          <w:rFonts w:ascii="Times New Roman" w:hAnsi="Times New Roman"/>
          <w:b w:val="0"/>
          <w:i w:val="0"/>
          <w:sz w:val="22"/>
          <w:vertAlign w:val="superscript"/>
        </w:rPr>
        <w:t>16</w:t>
      </w:r>
      <w:r>
        <w:rPr>
          <w:rFonts w:ascii="Times New Roman" w:hAnsi="Times New Roman"/>
          <w:b w:val="0"/>
          <w:i w:val="0"/>
          <w:sz w:val="22"/>
        </w:rPr>
        <w:t>/Brenk</w:t>
      </w:r>
      <w:r>
        <w:rPr>
          <w:rFonts w:ascii="Times New Roman" w:hAnsi="Times New Roman"/>
          <w:b w:val="0"/>
          <w:i w:val="0"/>
          <w:sz w:val="22"/>
          <w:vertAlign w:val="superscript"/>
        </w:rPr>
        <w:t>17</w:t>
      </w:r>
      <w:r>
        <w:rPr>
          <w:rFonts w:ascii="Times New Roman" w:hAnsi="Times New Roman"/>
          <w:b w:val="0"/>
          <w:i w:val="0"/>
          <w:sz w:val="22"/>
        </w:rPr>
        <w:t xml:space="preserve"> filtering) was the only viable option because OpenBabel-generated PDBQT files contained pervasive structural defects that crashed Uni-Dock. For CDK2, the same PAINS/Brenk filter removed 47% of compounds (1,309 vs. 2,471), and because it dropped proportionally more decoys than actives it altered the deliberately property-matched DUD-E composition; the unfiltered library's higher enrichment reflects that composition change rather than a better protocol. This cautions against applying PAINS/Brenk filters to retrospective benchmarks whose active/decoy balance is matched by design.</w:t>
      </w:r>
    </w:p>
    <w:p/>
    <w:p>
      <w:pPr>
        <w:jc w:val="center"/>
      </w:pPr>
      <w:r>
        <w:drawing>
          <wp:inline xmlns:a="http://schemas.openxmlformats.org/drawingml/2006/main" xmlns:pic="http://schemas.openxmlformats.org/drawingml/2006/picture">
            <wp:extent cx="5486400" cy="2855897"/>
            <wp:docPr id="3" name="Picture 3"/>
            <wp:cNvGraphicFramePr>
              <a:graphicFrameLocks noChangeAspect="1"/>
            </wp:cNvGraphicFramePr>
            <a:graphic>
              <a:graphicData uri="http://schemas.openxmlformats.org/drawingml/2006/picture">
                <pic:pic>
                  <pic:nvPicPr>
                    <pic:cNvPr id="0" name="figure3_cross_target.png"/>
                    <pic:cNvPicPr/>
                  </pic:nvPicPr>
                  <pic:blipFill>
                    <a:blip r:embed="rId11"/>
                    <a:stretch>
                      <a:fillRect/>
                    </a:stretch>
                  </pic:blipFill>
                  <pic:spPr>
                    <a:xfrm>
                      <a:off x="0" y="0"/>
                      <a:ext cx="5486400" cy="2855897"/>
                    </a:xfrm>
                    <a:prstGeom prst="rect"/>
                  </pic:spPr>
                </pic:pic>
              </a:graphicData>
            </a:graphic>
          </wp:inline>
        </w:drawing>
      </w:r>
    </w:p>
    <w:p>
      <w:pPr>
        <w:spacing w:after="240"/>
      </w:pPr>
      <w:r>
        <w:rPr>
          <w:rFonts w:ascii="Times New Roman" w:hAnsi="Times New Roman"/>
          <w:b/>
          <w:i w:val="0"/>
          <w:sz w:val="22"/>
        </w:rPr>
        <w:t xml:space="preserve">Fig. 3 </w:t>
      </w:r>
      <w:r>
        <w:rPr>
          <w:rFonts w:ascii="Times New Roman" w:hAnsi="Times New Roman"/>
          <w:b w:val="0"/>
          <w:i w:val="0"/>
          <w:sz w:val="22"/>
        </w:rPr>
        <w:t>Cross-target parameter sensitivity. (A) Scoring function: Vinardo outperforms Vina on FPR2 but underperforms on CDK2. (B) Library preparation: skill (Meeko) preparation is essential for FPR2 but the naive (OpenBabel) library is superior for CDK2. Hatched bar indicates a failed experiment (100% segfault).</w:t>
      </w:r>
    </w:p>
    <w:p>
      <w:pPr>
        <w:pStyle w:val="Heading2"/>
      </w:pPr>
      <w:r>
        <w:t>Agent behaviour and emergent capabilities</w:t>
      </w:r>
    </w:p>
    <w:p>
      <w:r>
        <w:rPr>
          <w:rFonts w:ascii="Times New Roman" w:hAnsi="Times New Roman"/>
          <w:b w:val="0"/>
          <w:i w:val="0"/>
          <w:sz w:val="22"/>
        </w:rPr>
        <w:t>Across both campaigns, the agent exhibited systematic exploration, prioritising high-impact parameters (scoring function, library choice) before lower-impact ones (transforms, exhaustiveness). When the naive library run on FPR2 destroyed cached results, the agent independently devised a “reuse_results” mechanism to skip docking and test post-processing modifications on existing output files, saving approximately 6 GPU-hours per transform test. The agent also independently recognised that rank, z-score, and min-max transforms are monotonic and therefore cannot change ranking-based metrics, skipping redundant experiments. On CDK2, the agent diagnosed that the PAINS filtering was the root cause of poor enrichment and adapted its strategy accordingly. None of these behaviours was explicitly programmed.</w:t>
      </w:r>
    </w:p>
    <w:p>
      <w:pPr>
        <w:pStyle w:val="Heading2"/>
      </w:pPr>
      <w:r>
        <w:t>Limitations</w:t>
      </w:r>
    </w:p>
    <w:p>
      <w:r>
        <w:rPr>
          <w:rFonts w:ascii="Times New Roman" w:hAnsi="Times New Roman"/>
          <w:b w:val="0"/>
          <w:i w:val="0"/>
          <w:sz w:val="22"/>
        </w:rPr>
        <w:t>Although two targets were studied, broader validation across diverse target classes is needed to establish general guidelines. The search space was limited to parameters exposed by the Uni-Dock command-line interface; more sophisticated modifications (e.g., consensus scoring across multiple docking engines, flexible residue selection) remain unexplored. The stochastic noise floor of approximately 0.004 AUC limits the agent’s ability to detect small improvements. The FPR2 result (AUC 0.748) reflects the inherent difficulty of VS on GPCR targets with cryo-EM structures at moderate resolution, while the CDK2 result (AUC 0.735) is influenced by DUD-E benchmark biases.</w:t>
      </w:r>
      <w:r>
        <w:rPr>
          <w:rFonts w:ascii="Times New Roman" w:hAnsi="Times New Roman"/>
          <w:b w:val="0"/>
          <w:i w:val="0"/>
          <w:sz w:val="22"/>
          <w:vertAlign w:val="superscript"/>
        </w:rPr>
        <w:t>19</w:t>
      </w:r>
    </w:p>
    <w:p>
      <w:pPr>
        <w:pStyle w:val="Heading1"/>
      </w:pPr>
      <w:r>
        <w:t>Conclusions</w:t>
      </w:r>
    </w:p>
    <w:p>
      <w:r>
        <w:rPr>
          <w:rFonts w:ascii="Times New Roman" w:hAnsi="Times New Roman"/>
          <w:b w:val="0"/>
          <w:i w:val="0"/>
          <w:sz w:val="22"/>
        </w:rPr>
        <w:t>I have demonstrated that the autoresearch paradigm, previously limited to machine learning hyperparameter tuning, can be successfully applied to structure-based virtual screening optimisation. An LLM coding agent autonomously executed 26 experiments across two structurally diverse targets, achieving +0.012 AUC on FPR2 and +0.058 AUC on CDK2. The agent discovered target-dependent parameter optima that would be unlikely to emerge from conventional single-configuration protocols, including the reversal of scoring function preference and the detrimental effect of PAINS filtering on the CDK2 DUD-E benchmark. Multi-metric evaluation revealed that AUC gains do not necessarily translate into improved early enrichment: on FPR2, BEDROC and EF 1% actually worsened despite improved AUC, highlighting the importance of tracking multiple metrics in autonomous VS campaigns.</w:t>
      </w:r>
    </w:p>
    <w:p>
      <w:r>
        <w:rPr>
          <w:rFonts w:ascii="Times New Roman" w:hAnsi="Times New Roman"/>
          <w:b w:val="0"/>
          <w:i w:val="0"/>
          <w:sz w:val="22"/>
        </w:rPr>
        <w:t>The autonomous agent required no human intervention during the optimisation loops and independently devised infrastructure workarounds, reasoned about mathematical properties of score transforms, and adapted its strategy based on accumulated results. Combined with advances in self-driving laboratories</w:t>
      </w:r>
      <w:r>
        <w:rPr>
          <w:rFonts w:ascii="Times New Roman" w:hAnsi="Times New Roman"/>
          <w:b w:val="0"/>
          <w:i w:val="0"/>
          <w:sz w:val="22"/>
          <w:vertAlign w:val="superscript"/>
        </w:rPr>
        <w:t>6</w:t>
      </w:r>
      <w:r>
        <w:rPr>
          <w:rFonts w:ascii="Times New Roman" w:hAnsi="Times New Roman"/>
          <w:b w:val="0"/>
          <w:i w:val="0"/>
          <w:sz w:val="22"/>
        </w:rPr>
        <w:t xml:space="preserve"> and automated scientific discovery,</w:t>
      </w:r>
      <w:r>
        <w:rPr>
          <w:rFonts w:ascii="Times New Roman" w:hAnsi="Times New Roman"/>
          <w:b w:val="0"/>
          <w:i w:val="0"/>
          <w:sz w:val="22"/>
          <w:vertAlign w:val="superscript"/>
        </w:rPr>
        <w:t>7</w:t>
      </w:r>
      <w:r>
        <w:rPr>
          <w:rFonts w:ascii="Times New Roman" w:hAnsi="Times New Roman"/>
          <w:b w:val="0"/>
          <w:i w:val="0"/>
          <w:sz w:val="22"/>
        </w:rPr>
        <w:t xml:space="preserve"> this work suggests that agentic AI can serve as a practical tool for computational drug discovery.</w:t>
      </w:r>
    </w:p>
    <w:p>
      <w:pPr>
        <w:pStyle w:val="Heading1"/>
      </w:pPr>
      <w:r>
        <w:t>Methods</w:t>
      </w:r>
    </w:p>
    <w:p>
      <w:pPr>
        <w:pStyle w:val="Heading2"/>
      </w:pPr>
      <w:r>
        <w:t>Autoresearch framework</w:t>
      </w:r>
    </w:p>
    <w:p>
      <w:r>
        <w:rPr>
          <w:rFonts w:ascii="Times New Roman" w:hAnsi="Times New Roman"/>
          <w:b w:val="0"/>
          <w:i w:val="0"/>
          <w:sz w:val="22"/>
        </w:rPr>
        <w:t>All computational work was performed by Claude Code (Anthropic, claude-opus-4-6 model</w:t>
      </w:r>
      <w:r>
        <w:rPr>
          <w:rFonts w:ascii="Times New Roman" w:hAnsi="Times New Roman"/>
          <w:b w:val="0"/>
          <w:i w:val="0"/>
          <w:sz w:val="22"/>
          <w:vertAlign w:val="superscript"/>
        </w:rPr>
        <w:t>21</w:t>
      </w:r>
      <w:r>
        <w:rPr>
          <w:rFonts w:ascii="Times New Roman" w:hAnsi="Times New Roman"/>
          <w:b w:val="0"/>
          <w:i w:val="0"/>
          <w:sz w:val="22"/>
        </w:rPr>
        <w:t>), an LLM coding agent with terminal access, operating within git-tracked Python projects. The agent followed a strict experiment loop modelled after the autoresearch pattern:</w:t>
      </w:r>
      <w:r>
        <w:rPr>
          <w:rFonts w:ascii="Times New Roman" w:hAnsi="Times New Roman"/>
          <w:b w:val="0"/>
          <w:i w:val="0"/>
          <w:sz w:val="22"/>
          <w:vertAlign w:val="superscript"/>
        </w:rPr>
        <w:t>1</w:t>
      </w:r>
      <w:r>
        <w:rPr>
          <w:rFonts w:ascii="Times New Roman" w:hAnsi="Times New Roman"/>
          <w:b w:val="0"/>
          <w:i w:val="0"/>
          <w:sz w:val="22"/>
        </w:rPr>
        <w:t xml:space="preserve"> (1) hypothesise a single parameter change; (2) modify the experiment configuration file; (3) commit the change with a descriptive message; (4) execute the full docking pipeline; (5) extract ROC AUC from the output; (6) if AUC improved, keep the commit; if AUC was equal or worse, revert and log. The agent operated fully autonomously, receiving only the initial instruction to “maximise ROC AUC.” The experiment configuration was stored in a single Python file (</w:t>
      </w:r>
      <w:r>
        <w:rPr>
          <w:rFonts w:ascii="Times New Roman" w:hAnsi="Times New Roman"/>
          <w:b w:val="0"/>
          <w:i/>
          <w:sz w:val="22"/>
        </w:rPr>
        <w:t>experiment.py</w:t>
      </w:r>
      <w:r>
        <w:rPr>
          <w:rFonts w:ascii="Times New Roman" w:hAnsi="Times New Roman"/>
          <w:b w:val="0"/>
          <w:i w:val="0"/>
          <w:sz w:val="22"/>
        </w:rPr>
        <w:t>) containing a CONFIG dictionary. The agent was instructed to modify only this file and to test exactly one hypothesis per commit.</w:t>
      </w:r>
    </w:p>
    <w:p>
      <w:pPr>
        <w:pStyle w:val="Heading2"/>
      </w:pPr>
      <w:r>
        <w:t>Targets and libraries</w:t>
      </w:r>
    </w:p>
    <w:p>
      <w:r>
        <w:rPr>
          <w:rFonts w:ascii="Times New Roman" w:hAnsi="Times New Roman"/>
          <w:b w:val="0"/>
          <w:i w:val="0"/>
          <w:sz w:val="22"/>
        </w:rPr>
        <w:t>FPR2 (ChEMBL: CHEMBL4227) was used with the receptor structure from PDB entry 7T6S</w:t>
      </w:r>
      <w:r>
        <w:rPr>
          <w:rFonts w:ascii="Times New Roman" w:hAnsi="Times New Roman"/>
          <w:b w:val="0"/>
          <w:i w:val="0"/>
          <w:sz w:val="22"/>
          <w:vertAlign w:val="superscript"/>
        </w:rPr>
        <w:t>8</w:t>
      </w:r>
      <w:r>
        <w:rPr>
          <w:rFonts w:ascii="Times New Roman" w:hAnsi="Times New Roman"/>
          <w:b w:val="0"/>
          <w:i w:val="0"/>
          <w:sz w:val="22"/>
        </w:rPr>
        <w:t xml:space="preserve"> (3.0 Å cryo-EM, chain R). The benchmark comprised 573 actives (pChEMBL ≥ 5 from ChEMBL 34</w:t>
      </w:r>
      <w:r>
        <w:rPr>
          <w:rFonts w:ascii="Times New Roman" w:hAnsi="Times New Roman"/>
          <w:b w:val="0"/>
          <w:i w:val="0"/>
          <w:sz w:val="22"/>
          <w:vertAlign w:val="superscript"/>
        </w:rPr>
        <w:t>18</w:t>
      </w:r>
      <w:r>
        <w:rPr>
          <w:rFonts w:ascii="Times New Roman" w:hAnsi="Times New Roman"/>
          <w:b w:val="0"/>
          <w:i w:val="0"/>
          <w:sz w:val="22"/>
        </w:rPr>
        <w:t>) and approximately 4,600 property-matched decoys. Two ligand libraries were prepared: a “skill” library of 5,223 Meeko-prepared</w:t>
      </w:r>
      <w:r>
        <w:rPr>
          <w:rFonts w:ascii="Times New Roman" w:hAnsi="Times New Roman"/>
          <w:b w:val="0"/>
          <w:i w:val="0"/>
          <w:sz w:val="22"/>
          <w:vertAlign w:val="superscript"/>
        </w:rPr>
        <w:t>14</w:t>
      </w:r>
      <w:r>
        <w:rPr>
          <w:rFonts w:ascii="Times New Roman" w:hAnsi="Times New Roman"/>
          <w:b w:val="0"/>
          <w:i w:val="0"/>
          <w:sz w:val="22"/>
        </w:rPr>
        <w:t xml:space="preserve"> PDBQT files (filtered for PAINS</w:t>
      </w:r>
      <w:r>
        <w:rPr>
          <w:rFonts w:ascii="Times New Roman" w:hAnsi="Times New Roman"/>
          <w:b w:val="0"/>
          <w:i w:val="0"/>
          <w:sz w:val="22"/>
          <w:vertAlign w:val="superscript"/>
        </w:rPr>
        <w:t>16</w:t>
      </w:r>
      <w:r>
        <w:rPr>
          <w:rFonts w:ascii="Times New Roman" w:hAnsi="Times New Roman"/>
          <w:b w:val="0"/>
          <w:i w:val="0"/>
          <w:sz w:val="22"/>
        </w:rPr>
        <w:t xml:space="preserve"> and Brenk</w:t>
      </w:r>
      <w:r>
        <w:rPr>
          <w:rFonts w:ascii="Times New Roman" w:hAnsi="Times New Roman"/>
          <w:b w:val="0"/>
          <w:i w:val="0"/>
          <w:sz w:val="22"/>
          <w:vertAlign w:val="superscript"/>
        </w:rPr>
        <w:t>17</w:t>
      </w:r>
      <w:r>
        <w:rPr>
          <w:rFonts w:ascii="Times New Roman" w:hAnsi="Times New Roman"/>
          <w:b w:val="0"/>
          <w:i w:val="0"/>
          <w:sz w:val="22"/>
        </w:rPr>
        <w:t xml:space="preserve"> substructures) and a “naive” library of 10,752 OpenBabel-prepared</w:t>
      </w:r>
      <w:r>
        <w:rPr>
          <w:rFonts w:ascii="Times New Roman" w:hAnsi="Times New Roman"/>
          <w:b w:val="0"/>
          <w:i w:val="0"/>
          <w:sz w:val="22"/>
          <w:vertAlign w:val="superscript"/>
        </w:rPr>
        <w:t>15</w:t>
      </w:r>
      <w:r>
        <w:rPr>
          <w:rFonts w:ascii="Times New Roman" w:hAnsi="Times New Roman"/>
          <w:b w:val="0"/>
          <w:i w:val="0"/>
          <w:sz w:val="22"/>
        </w:rPr>
        <w:t xml:space="preserve"> PDBQT files.</w:t>
      </w:r>
    </w:p>
    <w:p>
      <w:r>
        <w:rPr>
          <w:rFonts w:ascii="Times New Roman" w:hAnsi="Times New Roman"/>
          <w:b w:val="0"/>
          <w:i w:val="0"/>
          <w:sz w:val="22"/>
        </w:rPr>
        <w:t>CDK2 (ChEMBL: CHEMBL301) was used with the receptor structure from PDB entry 6INL</w:t>
      </w:r>
      <w:r>
        <w:rPr>
          <w:rFonts w:ascii="Times New Roman" w:hAnsi="Times New Roman"/>
          <w:b w:val="0"/>
          <w:i w:val="0"/>
          <w:sz w:val="22"/>
          <w:vertAlign w:val="superscript"/>
        </w:rPr>
        <w:t>9</w:t>
      </w:r>
      <w:r>
        <w:rPr>
          <w:rFonts w:ascii="Times New Roman" w:hAnsi="Times New Roman"/>
          <w:b w:val="0"/>
          <w:i w:val="0"/>
          <w:sz w:val="22"/>
        </w:rPr>
        <w:t xml:space="preserve"> (1.74 Å X-ray, co-crystal with CVT-313). The benchmark was drawn from DUD-E</w:t>
      </w:r>
      <w:r>
        <w:rPr>
          <w:rFonts w:ascii="Times New Roman" w:hAnsi="Times New Roman"/>
          <w:b w:val="0"/>
          <w:i w:val="0"/>
          <w:sz w:val="22"/>
          <w:vertAlign w:val="superscript"/>
        </w:rPr>
        <w:t>19</w:t>
      </w:r>
      <w:r>
        <w:rPr>
          <w:rFonts w:ascii="Times New Roman" w:hAnsi="Times New Roman"/>
          <w:b w:val="0"/>
          <w:i w:val="0"/>
          <w:sz w:val="22"/>
        </w:rPr>
        <w:t xml:space="preserve"> (474 actives, 2,000 subsampled decoys). The skill library contained 1,309 Meeko-prepared PDBQT files (47% removed by PAINS/Brenk filtering), and the naive library contained 2,471 OpenBabel-prepared files. Both targets used two receptor preparations: Meeko mk_prepare_receptor (“skill”) and OpenBabel (“naive”).</w:t>
      </w:r>
    </w:p>
    <w:p>
      <w:pPr>
        <w:pStyle w:val="Heading2"/>
      </w:pPr>
      <w:r>
        <w:t>Docking engine</w:t>
      </w:r>
    </w:p>
    <w:p>
      <w:r>
        <w:rPr>
          <w:rFonts w:ascii="Times New Roman" w:hAnsi="Times New Roman"/>
          <w:b w:val="0"/>
          <w:i w:val="0"/>
          <w:sz w:val="22"/>
        </w:rPr>
        <w:t>All docking was performed with Uni-Dock</w:t>
      </w:r>
      <w:r>
        <w:rPr>
          <w:rFonts w:ascii="Times New Roman" w:hAnsi="Times New Roman"/>
          <w:b w:val="0"/>
          <w:i w:val="0"/>
          <w:sz w:val="22"/>
          <w:vertAlign w:val="superscript"/>
        </w:rPr>
        <w:t>13</w:t>
      </w:r>
      <w:r>
        <w:rPr>
          <w:rFonts w:ascii="Times New Roman" w:hAnsi="Times New Roman"/>
          <w:b w:val="0"/>
          <w:i w:val="0"/>
          <w:sz w:val="22"/>
        </w:rPr>
        <w:t xml:space="preserve"> (GPU-accelerated AutoDock Vina</w:t>
      </w:r>
      <w:r>
        <w:rPr>
          <w:rFonts w:ascii="Times New Roman" w:hAnsi="Times New Roman"/>
          <w:b w:val="0"/>
          <w:i w:val="0"/>
          <w:sz w:val="22"/>
          <w:vertAlign w:val="superscript"/>
        </w:rPr>
        <w:t>11,12</w:t>
      </w:r>
      <w:r>
        <w:rPr>
          <w:rFonts w:ascii="Times New Roman" w:hAnsi="Times New Roman"/>
          <w:b w:val="0"/>
          <w:i w:val="0"/>
          <w:sz w:val="22"/>
        </w:rPr>
        <w:t>) on NVIDIA RTX 4500 Ada GPUs (24 GB VRAM each). FPR2 experiments used a single GPU with batch size 100; CDK2 experiments used two GPUs in parallel with batch size 50. Ligands were docked in batches to mitigate segfaults from malformed PDBQT entries. Two scoring functions were evaluated: Vina</w:t>
      </w:r>
      <w:r>
        <w:rPr>
          <w:rFonts w:ascii="Times New Roman" w:hAnsi="Times New Roman"/>
          <w:b w:val="0"/>
          <w:i w:val="0"/>
          <w:sz w:val="22"/>
          <w:vertAlign w:val="superscript"/>
        </w:rPr>
        <w:t>11</w:t>
      </w:r>
      <w:r>
        <w:rPr>
          <w:rFonts w:ascii="Times New Roman" w:hAnsi="Times New Roman"/>
          <w:b w:val="0"/>
          <w:i w:val="0"/>
          <w:sz w:val="22"/>
        </w:rPr>
        <w:t xml:space="preserve"> and Vinardo.</w:t>
      </w:r>
      <w:r>
        <w:rPr>
          <w:rFonts w:ascii="Times New Roman" w:hAnsi="Times New Roman"/>
          <w:b w:val="0"/>
          <w:i w:val="0"/>
          <w:sz w:val="22"/>
          <w:vertAlign w:val="superscript"/>
        </w:rPr>
        <w:t>10</w:t>
      </w:r>
    </w:p>
    <w:p>
      <w:pPr>
        <w:pStyle w:val="Heading2"/>
      </w:pPr>
      <w:r>
        <w:t>Evaluation</w:t>
      </w:r>
    </w:p>
    <w:p>
      <w:r>
        <w:rPr>
          <w:rFonts w:ascii="Times New Roman" w:hAnsi="Times New Roman"/>
          <w:b w:val="0"/>
          <w:i w:val="0"/>
          <w:sz w:val="22"/>
        </w:rPr>
        <w:t>VS performance was assessed by ROC AUC (primary metric), BEDROC (α = 80.5</w:t>
      </w:r>
      <w:r>
        <w:rPr>
          <w:rFonts w:ascii="Times New Roman" w:hAnsi="Times New Roman"/>
          <w:b w:val="0"/>
          <w:i w:val="0"/>
          <w:sz w:val="22"/>
          <w:vertAlign w:val="superscript"/>
        </w:rPr>
        <w:t>20</w:t>
      </w:r>
      <w:r>
        <w:rPr>
          <w:rFonts w:ascii="Times New Roman" w:hAnsi="Times New Roman"/>
          <w:b w:val="0"/>
          <w:i w:val="0"/>
          <w:sz w:val="22"/>
        </w:rPr>
        <w:t>), and enrichment factor at 1% (EF 1%). Scores were negated (higher = better predicted binder) before evaluation. The conda environment (Python 3.12) included Uni-Dock, Meeko 0.7.1, RDKit,</w:t>
      </w:r>
      <w:r>
        <w:rPr>
          <w:rFonts w:ascii="Times New Roman" w:hAnsi="Times New Roman"/>
          <w:b w:val="0"/>
          <w:i w:val="0"/>
          <w:sz w:val="22"/>
          <w:vertAlign w:val="superscript"/>
        </w:rPr>
        <w:t>22</w:t>
      </w:r>
      <w:r>
        <w:rPr>
          <w:rFonts w:ascii="Times New Roman" w:hAnsi="Times New Roman"/>
          <w:b w:val="0"/>
          <w:i w:val="0"/>
          <w:sz w:val="22"/>
        </w:rPr>
        <w:t xml:space="preserve"> OpenBabel,</w:t>
      </w:r>
      <w:r>
        <w:rPr>
          <w:rFonts w:ascii="Times New Roman" w:hAnsi="Times New Roman"/>
          <w:b w:val="0"/>
          <w:i w:val="0"/>
          <w:sz w:val="22"/>
          <w:vertAlign w:val="superscript"/>
        </w:rPr>
        <w:t>15</w:t>
      </w:r>
      <w:r>
        <w:rPr>
          <w:rFonts w:ascii="Times New Roman" w:hAnsi="Times New Roman"/>
          <w:b w:val="0"/>
          <w:i w:val="0"/>
          <w:sz w:val="22"/>
        </w:rPr>
        <w:t xml:space="preserve"> SciPy, and NumPy.</w:t>
      </w:r>
    </w:p>
    <w:p>
      <w:pPr>
        <w:pStyle w:val="Heading1"/>
      </w:pPr>
      <w:r>
        <w:t>Data availability</w:t>
      </w:r>
    </w:p>
    <w:p>
      <w:r>
        <w:rPr>
          <w:rFonts w:ascii="Times New Roman" w:hAnsi="Times New Roman"/>
          <w:b w:val="0"/>
          <w:i w:val="0"/>
          <w:sz w:val="22"/>
        </w:rPr>
        <w:t>All code, experiment logs, and the agent’s full conversation transcripts are available at https://github.com/oslo-medchem/VS-autoresearch under the MIT licence.</w:t>
      </w:r>
    </w:p>
    <w:p>
      <w:pPr>
        <w:pStyle w:val="Heading1"/>
      </w:pPr>
      <w:r>
        <w:t>Author contributions</w:t>
      </w:r>
    </w:p>
    <w:p>
      <w:r>
        <w:rPr>
          <w:rFonts w:ascii="Times New Roman" w:hAnsi="Times New Roman"/>
          <w:b w:val="0"/>
          <w:i w:val="0"/>
          <w:sz w:val="22"/>
        </w:rPr>
        <w:t>OG: conceptualisation, methodology, supervision, writing (review and editing). The LLM coding agent (Claude Code, Anthropic) autonomously designed and executed all docking experiments under the protocol defined by OG. The manuscript was initially drafted by Claude (Anthropic) and subsequently revised by OG.</w:t>
      </w:r>
    </w:p>
    <w:p>
      <w:pPr>
        <w:pStyle w:val="Heading1"/>
      </w:pPr>
      <w:r>
        <w:t>Conflicts of interest</w:t>
      </w:r>
    </w:p>
    <w:p>
      <w:r>
        <w:rPr>
          <w:rFonts w:ascii="Times New Roman" w:hAnsi="Times New Roman"/>
          <w:b w:val="0"/>
          <w:i w:val="0"/>
          <w:sz w:val="22"/>
        </w:rPr>
        <w:t>There are no conflicts to declare.</w:t>
      </w:r>
    </w:p>
    <w:p>
      <w:pPr>
        <w:pStyle w:val="Heading1"/>
      </w:pPr>
      <w:r>
        <w:t>Acknowledgements</w:t>
      </w:r>
    </w:p>
    <w:p>
      <w:r>
        <w:rPr>
          <w:rFonts w:ascii="Times New Roman" w:hAnsi="Times New Roman"/>
          <w:b w:val="0"/>
          <w:i w:val="0"/>
          <w:sz w:val="22"/>
        </w:rPr>
        <w:t>The author thanks Anthropic for providing access to Claude Code. Computational resources were provided by University of Oslo.</w:t>
      </w:r>
    </w:p>
    <w:p>
      <w:pPr>
        <w:pStyle w:val="Heading1"/>
      </w:pPr>
      <w:r>
        <w:t>References</w:t>
      </w:r>
    </w:p>
    <w:p>
      <w:pPr>
        <w:spacing w:after="40" w:before="0"/>
      </w:pPr>
      <w:r>
        <w:rPr>
          <w:rFonts w:ascii="Times New Roman" w:hAnsi="Times New Roman"/>
          <w:sz w:val="20"/>
        </w:rPr>
        <w:t xml:space="preserve">1 </w:t>
      </w:r>
      <w:r>
        <w:rPr>
          <w:rFonts w:ascii="Times New Roman" w:hAnsi="Times New Roman"/>
          <w:sz w:val="20"/>
        </w:rPr>
        <w:t>A. Karpathy, autoresearch: AI agents running research automatically, GitHub, 2025, https://github.com/karpathy/autoresearch.</w:t>
      </w:r>
    </w:p>
    <w:p>
      <w:pPr>
        <w:spacing w:after="40" w:before="0"/>
      </w:pPr>
      <w:r>
        <w:rPr>
          <w:rFonts w:ascii="Times New Roman" w:hAnsi="Times New Roman"/>
          <w:sz w:val="20"/>
        </w:rPr>
        <w:t xml:space="preserve">2 </w:t>
      </w:r>
      <w:r>
        <w:rPr>
          <w:rFonts w:ascii="Times New Roman" w:hAnsi="Times New Roman"/>
          <w:sz w:val="20"/>
        </w:rPr>
        <w:t xml:space="preserve">D. B. Kitchen, H. Decornez, J. R. Furr and J. Bajorath, </w:t>
      </w:r>
      <w:r>
        <w:rPr>
          <w:rFonts w:ascii="Times New Roman" w:hAnsi="Times New Roman"/>
          <w:i/>
          <w:sz w:val="20"/>
        </w:rPr>
        <w:t>Nat. Rev. Drug Discov.</w:t>
      </w:r>
      <w:r>
        <w:rPr>
          <w:rFonts w:ascii="Times New Roman" w:hAnsi="Times New Roman"/>
          <w:sz w:val="20"/>
        </w:rPr>
        <w:t>, 2004, 3, 935–949.</w:t>
      </w:r>
    </w:p>
    <w:p>
      <w:pPr>
        <w:spacing w:after="40" w:before="0"/>
      </w:pPr>
      <w:r>
        <w:rPr>
          <w:rFonts w:ascii="Times New Roman" w:hAnsi="Times New Roman"/>
          <w:sz w:val="20"/>
        </w:rPr>
        <w:t xml:space="preserve">3 </w:t>
      </w:r>
      <w:r>
        <w:rPr>
          <w:rFonts w:ascii="Times New Roman" w:hAnsi="Times New Roman"/>
          <w:sz w:val="20"/>
        </w:rPr>
        <w:t xml:space="preserve">B. K. Shoichet, </w:t>
      </w:r>
      <w:r>
        <w:rPr>
          <w:rFonts w:ascii="Times New Roman" w:hAnsi="Times New Roman"/>
          <w:i/>
          <w:sz w:val="20"/>
        </w:rPr>
        <w:t>Nature</w:t>
      </w:r>
      <w:r>
        <w:rPr>
          <w:rFonts w:ascii="Times New Roman" w:hAnsi="Times New Roman"/>
          <w:sz w:val="20"/>
        </w:rPr>
        <w:t>, 2004, 432, 862–865.</w:t>
      </w:r>
    </w:p>
    <w:p>
      <w:pPr>
        <w:spacing w:after="40" w:before="0"/>
      </w:pPr>
      <w:r>
        <w:rPr>
          <w:rFonts w:ascii="Times New Roman" w:hAnsi="Times New Roman"/>
          <w:sz w:val="20"/>
        </w:rPr>
        <w:t xml:space="preserve">4 </w:t>
      </w:r>
      <w:r>
        <w:rPr>
          <w:rFonts w:ascii="Times New Roman" w:hAnsi="Times New Roman"/>
          <w:sz w:val="20"/>
        </w:rPr>
        <w:t xml:space="preserve">X. Y. Meng, H. X. Zhang, M. Mezei and M. Cui, </w:t>
      </w:r>
      <w:r>
        <w:rPr>
          <w:rFonts w:ascii="Times New Roman" w:hAnsi="Times New Roman"/>
          <w:i/>
          <w:sz w:val="20"/>
        </w:rPr>
        <w:t>Curr. Comput.-Aided Drug Des.</w:t>
      </w:r>
      <w:r>
        <w:rPr>
          <w:rFonts w:ascii="Times New Roman" w:hAnsi="Times New Roman"/>
          <w:sz w:val="20"/>
        </w:rPr>
        <w:t>, 2011, 7, 146–157.</w:t>
      </w:r>
    </w:p>
    <w:p>
      <w:pPr>
        <w:spacing w:after="40" w:before="0"/>
      </w:pPr>
      <w:r>
        <w:rPr>
          <w:rFonts w:ascii="Times New Roman" w:hAnsi="Times New Roman"/>
          <w:sz w:val="20"/>
        </w:rPr>
        <w:t xml:space="preserve">5 </w:t>
      </w:r>
      <w:r>
        <w:rPr>
          <w:rFonts w:ascii="Times New Roman" w:hAnsi="Times New Roman"/>
          <w:sz w:val="20"/>
        </w:rPr>
        <w:t xml:space="preserve">A. M. Bran, S. Cox, O. Schilter, C. Baldassari and A. D. White, </w:t>
      </w:r>
      <w:r>
        <w:rPr>
          <w:rFonts w:ascii="Times New Roman" w:hAnsi="Times New Roman"/>
          <w:i/>
          <w:sz w:val="20"/>
        </w:rPr>
        <w:t>Nat. Mach. Intell.</w:t>
      </w:r>
      <w:r>
        <w:rPr>
          <w:rFonts w:ascii="Times New Roman" w:hAnsi="Times New Roman"/>
          <w:sz w:val="20"/>
        </w:rPr>
        <w:t>, 2024, 6, 525–535.</w:t>
      </w:r>
    </w:p>
    <w:p>
      <w:pPr>
        <w:spacing w:after="40" w:before="0"/>
      </w:pPr>
      <w:r>
        <w:rPr>
          <w:rFonts w:ascii="Times New Roman" w:hAnsi="Times New Roman"/>
          <w:sz w:val="20"/>
        </w:rPr>
        <w:t xml:space="preserve">6 </w:t>
      </w:r>
      <w:r>
        <w:rPr>
          <w:rFonts w:ascii="Times New Roman" w:hAnsi="Times New Roman"/>
          <w:sz w:val="20"/>
        </w:rPr>
        <w:t xml:space="preserve">D. A. Boiko, R. MacKnight, B. Kline and G. Gomes, </w:t>
      </w:r>
      <w:r>
        <w:rPr>
          <w:rFonts w:ascii="Times New Roman" w:hAnsi="Times New Roman"/>
          <w:i/>
          <w:sz w:val="20"/>
        </w:rPr>
        <w:t>Nature</w:t>
      </w:r>
      <w:r>
        <w:rPr>
          <w:rFonts w:ascii="Times New Roman" w:hAnsi="Times New Roman"/>
          <w:sz w:val="20"/>
        </w:rPr>
        <w:t>, 2023, 624, 570–578.</w:t>
      </w:r>
    </w:p>
    <w:p>
      <w:pPr>
        <w:spacing w:after="40" w:before="0"/>
      </w:pPr>
      <w:r>
        <w:rPr>
          <w:rFonts w:ascii="Times New Roman" w:hAnsi="Times New Roman"/>
          <w:sz w:val="20"/>
        </w:rPr>
        <w:t xml:space="preserve">7 </w:t>
      </w:r>
      <w:r>
        <w:rPr>
          <w:rFonts w:ascii="Times New Roman" w:hAnsi="Times New Roman"/>
          <w:sz w:val="20"/>
        </w:rPr>
        <w:t>C. Lu, C. Lu, R. T. Lange, J. Foerster, J. Clune and D. Ha, arXiv:2408.06292, 2024.</w:t>
      </w:r>
    </w:p>
    <w:p>
      <w:pPr>
        <w:spacing w:after="40" w:before="0"/>
      </w:pPr>
      <w:r>
        <w:rPr>
          <w:rFonts w:ascii="Times New Roman" w:hAnsi="Times New Roman"/>
          <w:sz w:val="20"/>
        </w:rPr>
        <w:t xml:space="preserve">8 </w:t>
      </w:r>
      <w:r>
        <w:rPr>
          <w:rFonts w:ascii="Times New Roman" w:hAnsi="Times New Roman"/>
          <w:sz w:val="20"/>
        </w:rPr>
        <w:t xml:space="preserve">Y. Zhuang, L. Wang, J. Guo, D. Sun, Y. Wang, W. Liu, H. E. Xu and C. Zhang, </w:t>
      </w:r>
      <w:r>
        <w:rPr>
          <w:rFonts w:ascii="Times New Roman" w:hAnsi="Times New Roman"/>
          <w:i/>
          <w:sz w:val="20"/>
        </w:rPr>
        <w:t>Nat. Commun.</w:t>
      </w:r>
      <w:r>
        <w:rPr>
          <w:rFonts w:ascii="Times New Roman" w:hAnsi="Times New Roman"/>
          <w:sz w:val="20"/>
        </w:rPr>
        <w:t>, 2022, 13, 1054.</w:t>
      </w:r>
    </w:p>
    <w:p>
      <w:pPr>
        <w:spacing w:after="40" w:before="0"/>
      </w:pPr>
      <w:r>
        <w:rPr>
          <w:rFonts w:ascii="Times New Roman" w:hAnsi="Times New Roman"/>
          <w:sz w:val="20"/>
        </w:rPr>
        <w:t xml:space="preserve">9 </w:t>
      </w:r>
      <w:r>
        <w:rPr>
          <w:rFonts w:ascii="Times New Roman" w:hAnsi="Times New Roman"/>
          <w:sz w:val="20"/>
        </w:rPr>
        <w:t xml:space="preserve">S. R. Talapati, V. Nataraj, M. Pothuganti, S. Gore, M. Ramachandra, T. Antony, S. S. More and N. R. Krishnamurthy, </w:t>
      </w:r>
      <w:r>
        <w:rPr>
          <w:rFonts w:ascii="Times New Roman" w:hAnsi="Times New Roman"/>
          <w:i/>
          <w:sz w:val="20"/>
        </w:rPr>
        <w:t>Acta Crystallogr. F Struct. Biol. Commun.</w:t>
      </w:r>
      <w:r>
        <w:rPr>
          <w:rFonts w:ascii="Times New Roman" w:hAnsi="Times New Roman"/>
          <w:sz w:val="20"/>
        </w:rPr>
        <w:t>, 2020, 76, 350–356.</w:t>
      </w:r>
    </w:p>
    <w:p>
      <w:pPr>
        <w:spacing w:after="40" w:before="0"/>
      </w:pPr>
      <w:r>
        <w:rPr>
          <w:rFonts w:ascii="Times New Roman" w:hAnsi="Times New Roman"/>
          <w:sz w:val="20"/>
        </w:rPr>
        <w:t xml:space="preserve">10 </w:t>
      </w:r>
      <w:r>
        <w:rPr>
          <w:rFonts w:ascii="Times New Roman" w:hAnsi="Times New Roman"/>
          <w:sz w:val="20"/>
        </w:rPr>
        <w:t xml:space="preserve">R. Quiroga and M. A. Villarreal, </w:t>
      </w:r>
      <w:r>
        <w:rPr>
          <w:rFonts w:ascii="Times New Roman" w:hAnsi="Times New Roman"/>
          <w:i/>
          <w:sz w:val="20"/>
        </w:rPr>
        <w:t>PLoS One</w:t>
      </w:r>
      <w:r>
        <w:rPr>
          <w:rFonts w:ascii="Times New Roman" w:hAnsi="Times New Roman"/>
          <w:sz w:val="20"/>
        </w:rPr>
        <w:t>, 2016, 11, e0155183.</w:t>
      </w:r>
    </w:p>
    <w:p>
      <w:pPr>
        <w:spacing w:after="40" w:before="0"/>
      </w:pPr>
      <w:r>
        <w:rPr>
          <w:rFonts w:ascii="Times New Roman" w:hAnsi="Times New Roman"/>
          <w:sz w:val="20"/>
        </w:rPr>
        <w:t xml:space="preserve">11 </w:t>
      </w:r>
      <w:r>
        <w:rPr>
          <w:rFonts w:ascii="Times New Roman" w:hAnsi="Times New Roman"/>
          <w:sz w:val="20"/>
        </w:rPr>
        <w:t xml:space="preserve">O. Trott and A. J. Olson, </w:t>
      </w:r>
      <w:r>
        <w:rPr>
          <w:rFonts w:ascii="Times New Roman" w:hAnsi="Times New Roman"/>
          <w:i/>
          <w:sz w:val="20"/>
        </w:rPr>
        <w:t>J. Comput. Chem.</w:t>
      </w:r>
      <w:r>
        <w:rPr>
          <w:rFonts w:ascii="Times New Roman" w:hAnsi="Times New Roman"/>
          <w:sz w:val="20"/>
        </w:rPr>
        <w:t>, 2010, 31, 455–461.</w:t>
      </w:r>
    </w:p>
    <w:p>
      <w:pPr>
        <w:spacing w:after="40" w:before="0"/>
      </w:pPr>
      <w:r>
        <w:rPr>
          <w:rFonts w:ascii="Times New Roman" w:hAnsi="Times New Roman"/>
          <w:sz w:val="20"/>
        </w:rPr>
        <w:t xml:space="preserve">12 </w:t>
      </w:r>
      <w:r>
        <w:rPr>
          <w:rFonts w:ascii="Times New Roman" w:hAnsi="Times New Roman"/>
          <w:sz w:val="20"/>
        </w:rPr>
        <w:t xml:space="preserve">J. Eberhardt, D. Santos-Martins, A. F. Tillack and S. Forli, </w:t>
      </w:r>
      <w:r>
        <w:rPr>
          <w:rFonts w:ascii="Times New Roman" w:hAnsi="Times New Roman"/>
          <w:i/>
          <w:sz w:val="20"/>
        </w:rPr>
        <w:t>J. Chem. Inf. Model.</w:t>
      </w:r>
      <w:r>
        <w:rPr>
          <w:rFonts w:ascii="Times New Roman" w:hAnsi="Times New Roman"/>
          <w:sz w:val="20"/>
        </w:rPr>
        <w:t>, 2021, 61, 3891–3898.</w:t>
      </w:r>
    </w:p>
    <w:p>
      <w:pPr>
        <w:spacing w:after="40" w:before="0"/>
      </w:pPr>
      <w:r>
        <w:rPr>
          <w:rFonts w:ascii="Times New Roman" w:hAnsi="Times New Roman"/>
          <w:sz w:val="20"/>
        </w:rPr>
        <w:t xml:space="preserve">13 </w:t>
      </w:r>
      <w:r>
        <w:rPr>
          <w:rFonts w:ascii="Times New Roman" w:hAnsi="Times New Roman"/>
          <w:sz w:val="20"/>
        </w:rPr>
        <w:t xml:space="preserve">Y. Yu, C. Cai, J. Wang, Z. Bo, Z. Zhu and H. Zheng, </w:t>
      </w:r>
      <w:r>
        <w:rPr>
          <w:rFonts w:ascii="Times New Roman" w:hAnsi="Times New Roman"/>
          <w:i/>
          <w:sz w:val="20"/>
        </w:rPr>
        <w:t>J. Chem. Theory Comput.</w:t>
      </w:r>
      <w:r>
        <w:rPr>
          <w:rFonts w:ascii="Times New Roman" w:hAnsi="Times New Roman"/>
          <w:sz w:val="20"/>
        </w:rPr>
        <w:t>, 2023, 19, 3336–3345.</w:t>
      </w:r>
    </w:p>
    <w:p>
      <w:pPr>
        <w:spacing w:after="40" w:before="0"/>
      </w:pPr>
      <w:r>
        <w:rPr>
          <w:rFonts w:ascii="Times New Roman" w:hAnsi="Times New Roman"/>
          <w:sz w:val="20"/>
        </w:rPr>
        <w:t xml:space="preserve">14 </w:t>
      </w:r>
      <w:r>
        <w:rPr>
          <w:rFonts w:ascii="Times New Roman" w:hAnsi="Times New Roman"/>
          <w:sz w:val="20"/>
        </w:rPr>
        <w:t xml:space="preserve">D. Santos-Martins, Y. He, J. Eberhardt, P. Sharma, N. Bruciaferri, M. Holcomb, M. A. Llanos, A. Hansel-Harris, A. P. Barkdull, A. F. Tillack, G. Bianco, M. L. Paulsen, J. Mato, I. Taneja and S. Forli, </w:t>
      </w:r>
      <w:r>
        <w:rPr>
          <w:rFonts w:ascii="Times New Roman" w:hAnsi="Times New Roman"/>
          <w:i/>
          <w:sz w:val="20"/>
        </w:rPr>
        <w:t>J. Chem. Inf. Model.</w:t>
      </w:r>
      <w:r>
        <w:rPr>
          <w:rFonts w:ascii="Times New Roman" w:hAnsi="Times New Roman"/>
          <w:sz w:val="20"/>
        </w:rPr>
        <w:t>, 2025, 65, 13045–13050.</w:t>
      </w:r>
    </w:p>
    <w:p>
      <w:pPr>
        <w:spacing w:after="40" w:before="0"/>
      </w:pPr>
      <w:r>
        <w:rPr>
          <w:rFonts w:ascii="Times New Roman" w:hAnsi="Times New Roman"/>
          <w:sz w:val="20"/>
        </w:rPr>
        <w:t xml:space="preserve">15 </w:t>
      </w:r>
      <w:r>
        <w:rPr>
          <w:rFonts w:ascii="Times New Roman" w:hAnsi="Times New Roman"/>
          <w:sz w:val="20"/>
        </w:rPr>
        <w:t xml:space="preserve">N. M. O’Boyle, M. Banck, C. A. James, C. Morley, T. Vandermeersch and G. R. Hutchison, </w:t>
      </w:r>
      <w:r>
        <w:rPr>
          <w:rFonts w:ascii="Times New Roman" w:hAnsi="Times New Roman"/>
          <w:i/>
          <w:sz w:val="20"/>
        </w:rPr>
        <w:t>J. Cheminform.</w:t>
      </w:r>
      <w:r>
        <w:rPr>
          <w:rFonts w:ascii="Times New Roman" w:hAnsi="Times New Roman"/>
          <w:sz w:val="20"/>
        </w:rPr>
        <w:t>, 2011, 3, 33.</w:t>
      </w:r>
    </w:p>
    <w:p>
      <w:pPr>
        <w:spacing w:after="40" w:before="0"/>
      </w:pPr>
      <w:r>
        <w:rPr>
          <w:rFonts w:ascii="Times New Roman" w:hAnsi="Times New Roman"/>
          <w:sz w:val="20"/>
        </w:rPr>
        <w:t xml:space="preserve">16 </w:t>
      </w:r>
      <w:r>
        <w:rPr>
          <w:rFonts w:ascii="Times New Roman" w:hAnsi="Times New Roman"/>
          <w:sz w:val="20"/>
        </w:rPr>
        <w:t xml:space="preserve">J. B. Baell and G. A. Holloway, </w:t>
      </w:r>
      <w:r>
        <w:rPr>
          <w:rFonts w:ascii="Times New Roman" w:hAnsi="Times New Roman"/>
          <w:i/>
          <w:sz w:val="20"/>
        </w:rPr>
        <w:t>J. Med. Chem.</w:t>
      </w:r>
      <w:r>
        <w:rPr>
          <w:rFonts w:ascii="Times New Roman" w:hAnsi="Times New Roman"/>
          <w:sz w:val="20"/>
        </w:rPr>
        <w:t>, 2010, 53, 2719–2740.</w:t>
      </w:r>
    </w:p>
    <w:p>
      <w:pPr>
        <w:spacing w:after="40" w:before="0"/>
      </w:pPr>
      <w:r>
        <w:rPr>
          <w:rFonts w:ascii="Times New Roman" w:hAnsi="Times New Roman"/>
          <w:sz w:val="20"/>
        </w:rPr>
        <w:t xml:space="preserve">17 </w:t>
      </w:r>
      <w:r>
        <w:rPr>
          <w:rFonts w:ascii="Times New Roman" w:hAnsi="Times New Roman"/>
          <w:sz w:val="20"/>
        </w:rPr>
        <w:t xml:space="preserve">R. Brenk, A. Schipani, D. James, A. Krasowski, I. H. Gilbert, J. Frearson and P. G. Wyatt, </w:t>
      </w:r>
      <w:r>
        <w:rPr>
          <w:rFonts w:ascii="Times New Roman" w:hAnsi="Times New Roman"/>
          <w:i/>
          <w:sz w:val="20"/>
        </w:rPr>
        <w:t>ChemMedChem</w:t>
      </w:r>
      <w:r>
        <w:rPr>
          <w:rFonts w:ascii="Times New Roman" w:hAnsi="Times New Roman"/>
          <w:sz w:val="20"/>
        </w:rPr>
        <w:t>, 2008, 3, 435–444.</w:t>
      </w:r>
    </w:p>
    <w:p>
      <w:pPr>
        <w:spacing w:after="40" w:before="0"/>
      </w:pPr>
      <w:r>
        <w:rPr>
          <w:rFonts w:ascii="Times New Roman" w:hAnsi="Times New Roman"/>
          <w:sz w:val="20"/>
        </w:rPr>
        <w:t xml:space="preserve">18 </w:t>
      </w:r>
      <w:r>
        <w:rPr>
          <w:rFonts w:ascii="Times New Roman" w:hAnsi="Times New Roman"/>
          <w:sz w:val="20"/>
        </w:rPr>
        <w:t xml:space="preserve">B. Zdrazil, E. Felix, F. Hunter, E. J. Manbers, M. Nowotka, A. P. Bento, D. Mendez and G. J. P. van Westen, </w:t>
      </w:r>
      <w:r>
        <w:rPr>
          <w:rFonts w:ascii="Times New Roman" w:hAnsi="Times New Roman"/>
          <w:i/>
          <w:sz w:val="20"/>
        </w:rPr>
        <w:t>Nucleic Acids Res.</w:t>
      </w:r>
      <w:r>
        <w:rPr>
          <w:rFonts w:ascii="Times New Roman" w:hAnsi="Times New Roman"/>
          <w:sz w:val="20"/>
        </w:rPr>
        <w:t>, 2024, 52, D1180–D1192.</w:t>
      </w:r>
    </w:p>
    <w:p>
      <w:pPr>
        <w:spacing w:after="40" w:before="0"/>
      </w:pPr>
      <w:r>
        <w:rPr>
          <w:rFonts w:ascii="Times New Roman" w:hAnsi="Times New Roman"/>
          <w:sz w:val="20"/>
        </w:rPr>
        <w:t xml:space="preserve">19 </w:t>
      </w:r>
      <w:r>
        <w:rPr>
          <w:rFonts w:ascii="Times New Roman" w:hAnsi="Times New Roman"/>
          <w:sz w:val="20"/>
        </w:rPr>
        <w:t xml:space="preserve">M. M. Mysinger, M. Carchia, J. J. Irwin and B. K. Shoichet, </w:t>
      </w:r>
      <w:r>
        <w:rPr>
          <w:rFonts w:ascii="Times New Roman" w:hAnsi="Times New Roman"/>
          <w:i/>
          <w:sz w:val="20"/>
        </w:rPr>
        <w:t>J. Med. Chem.</w:t>
      </w:r>
      <w:r>
        <w:rPr>
          <w:rFonts w:ascii="Times New Roman" w:hAnsi="Times New Roman"/>
          <w:sz w:val="20"/>
        </w:rPr>
        <w:t>, 2012, 55, 6582–6594.</w:t>
      </w:r>
    </w:p>
    <w:p>
      <w:pPr>
        <w:spacing w:after="40" w:before="0"/>
      </w:pPr>
      <w:r>
        <w:rPr>
          <w:rFonts w:ascii="Times New Roman" w:hAnsi="Times New Roman"/>
          <w:sz w:val="20"/>
        </w:rPr>
        <w:t xml:space="preserve">20 </w:t>
      </w:r>
      <w:r>
        <w:rPr>
          <w:rFonts w:ascii="Times New Roman" w:hAnsi="Times New Roman"/>
          <w:sz w:val="20"/>
        </w:rPr>
        <w:t xml:space="preserve">J. F. Truchon and C. I. Bayly, </w:t>
      </w:r>
      <w:r>
        <w:rPr>
          <w:rFonts w:ascii="Times New Roman" w:hAnsi="Times New Roman"/>
          <w:i/>
          <w:sz w:val="20"/>
        </w:rPr>
        <w:t>J. Chem. Inf. Model.</w:t>
      </w:r>
      <w:r>
        <w:rPr>
          <w:rFonts w:ascii="Times New Roman" w:hAnsi="Times New Roman"/>
          <w:sz w:val="20"/>
        </w:rPr>
        <w:t>, 2007, 47, 488–508.</w:t>
      </w:r>
    </w:p>
    <w:p>
      <w:pPr>
        <w:spacing w:after="40" w:before="0"/>
      </w:pPr>
      <w:r>
        <w:rPr>
          <w:rFonts w:ascii="Times New Roman" w:hAnsi="Times New Roman"/>
          <w:sz w:val="20"/>
        </w:rPr>
        <w:t xml:space="preserve">21 </w:t>
      </w:r>
      <w:r>
        <w:rPr>
          <w:rFonts w:ascii="Times New Roman" w:hAnsi="Times New Roman"/>
          <w:sz w:val="20"/>
        </w:rPr>
        <w:t>Anthropic, The Claude 3 model family: Opus, Sonnet, Haiku, Technical report, 2024, https://www-cdn.anthropic.com/de8ba9b01c9ab7cbabf5c33b80b7bbc618857627/Model_Card_Claude_3.pdf.</w:t>
      </w:r>
    </w:p>
    <w:p>
      <w:pPr>
        <w:spacing w:after="40" w:before="0"/>
      </w:pPr>
      <w:r>
        <w:rPr>
          <w:rFonts w:ascii="Times New Roman" w:hAnsi="Times New Roman"/>
          <w:sz w:val="20"/>
        </w:rPr>
        <w:t xml:space="preserve">22 </w:t>
      </w:r>
      <w:r>
        <w:rPr>
          <w:rFonts w:ascii="Times New Roman" w:hAnsi="Times New Roman"/>
          <w:sz w:val="20"/>
        </w:rPr>
        <w:t>G. Landrum, RDKit: open-source cheminformatics, 2024, https://www.rdkit.org/.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