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Electronic Supplementary Information (ESI)</w:t>
      </w:r>
    </w:p>
    <w:p>
      <w:pPr>
        <w:spacing w:after="160"/>
        <w:jc w:val="center"/>
      </w:pPr>
      <w:r>
        <w:rPr>
          <w:rFonts w:ascii="Times New Roman" w:hAnsi="Times New Roman"/>
          <w:b/>
          <w:i w:val="0"/>
          <w:sz w:val="26"/>
        </w:rPr>
        <w:t>Autonomous Optimisation of Structure-Based Virtual Screening Protocols Using an LLM Coding Agent</w:t>
      </w:r>
    </w:p>
    <w:p>
      <w:pPr>
        <w:spacing w:after="80"/>
        <w:jc w:val="center"/>
      </w:pPr>
      <w:r>
        <w:rPr>
          <w:rFonts w:ascii="Times New Roman" w:hAnsi="Times New Roman"/>
          <w:b w:val="0"/>
          <w:i w:val="0"/>
          <w:sz w:val="24"/>
        </w:rPr>
        <w:t>Osman Gani</w:t>
      </w:r>
    </w:p>
    <w:p>
      <w:pPr>
        <w:spacing w:after="360"/>
        <w:jc w:val="center"/>
      </w:pPr>
      <w:r>
        <w:rPr>
          <w:rFonts w:ascii="Times New Roman" w:hAnsi="Times New Roman"/>
          <w:b w:val="0"/>
          <w:i/>
          <w:sz w:val="20"/>
        </w:rPr>
        <w:t>Section for Pharmaceutical Chemistry, Department of Pharmacy, University of Oslo, P.O. Box 1068 Blindern, 0316 Oslo, Norway</w:t>
      </w:r>
    </w:p>
    <w:p>
      <w:pPr>
        <w:pStyle w:val="Heading1"/>
      </w:pPr>
      <w:r>
        <w:t>S1. Agent program files</w:t>
      </w:r>
    </w:p>
    <w:p>
      <w:r>
        <w:rPr>
          <w:rFonts w:ascii="Times New Roman" w:hAnsi="Times New Roman"/>
          <w:b w:val="0"/>
          <w:i w:val="0"/>
          <w:sz w:val="22"/>
        </w:rPr>
        <w:t>The agent operated under structured protocol files (program.md) that defined the experiment loop, research directions organised into three tiers by expected impact, and the baseline configuration. Separate program files were used for each target. The complete program files are available in the repository.</w:t>
      </w:r>
    </w:p>
    <w:p>
      <w:pPr>
        <w:spacing w:after="40"/>
      </w:pPr>
      <w:r>
        <w:rPr>
          <w:rFonts w:ascii="Times New Roman" w:hAnsi="Times New Roman"/>
          <w:b w:val="0"/>
          <w:i w:val="0"/>
          <w:sz w:val="22"/>
        </w:rPr>
        <w:t>Both programs instructed the agent to:</w:t>
      </w:r>
    </w:p>
    <w:p>
      <w:pPr>
        <w:pStyle w:val="ListBullet"/>
      </w:pPr>
      <w:r>
        <w:rPr>
          <w:rFonts w:ascii="Times New Roman" w:hAnsi="Times New Roman"/>
          <w:sz w:val="22"/>
        </w:rPr>
        <w:t>Never modify the infrastructure code (prepare.py), only the experiment configuration (experiment.py)</w:t>
      </w:r>
    </w:p>
    <w:p>
      <w:pPr>
        <w:pStyle w:val="ListBullet"/>
      </w:pPr>
      <w:r>
        <w:rPr>
          <w:rFonts w:ascii="Times New Roman" w:hAnsi="Times New Roman"/>
          <w:sz w:val="22"/>
        </w:rPr>
        <w:t>Test exactly one hypothesis per git commit</w:t>
      </w:r>
    </w:p>
    <w:p>
      <w:pPr>
        <w:pStyle w:val="ListBullet"/>
      </w:pPr>
      <w:r>
        <w:rPr>
          <w:rFonts w:ascii="Times New Roman" w:hAnsi="Times New Roman"/>
          <w:sz w:val="22"/>
        </w:rPr>
        <w:t>Operate fully autonomously without pausing for human input</w:t>
      </w:r>
    </w:p>
    <w:p>
      <w:pPr>
        <w:pStyle w:val="ListBullet"/>
      </w:pPr>
      <w:r>
        <w:rPr>
          <w:rFonts w:ascii="Times New Roman" w:hAnsi="Times New Roman"/>
          <w:sz w:val="22"/>
        </w:rPr>
        <w:t>Follow a strict hypothesise–modify–commit–run–evaluate–decide loop</w:t>
      </w:r>
    </w:p>
    <w:p>
      <w:pPr>
        <w:spacing w:after="40" w:before="120"/>
      </w:pPr>
      <w:r>
        <w:rPr>
          <w:rFonts w:ascii="Times New Roman" w:hAnsi="Times New Roman"/>
          <w:b w:val="0"/>
          <w:i w:val="0"/>
          <w:sz w:val="22"/>
        </w:rPr>
        <w:t>Research directions were organised as:</w:t>
      </w:r>
    </w:p>
    <w:p>
      <w:pPr>
        <w:pStyle w:val="ListBullet"/>
      </w:pPr>
      <w:r>
        <w:rPr>
          <w:rFonts w:ascii="Times New Roman" w:hAnsi="Times New Roman"/>
          <w:b/>
          <w:sz w:val="22"/>
        </w:rPr>
        <w:t>Tier 1 (high impact, fast):</w:t>
      </w:r>
      <w:r>
        <w:rPr>
          <w:rFonts w:ascii="Times New Roman" w:hAnsi="Times New Roman"/>
          <w:sz w:val="22"/>
        </w:rPr>
        <w:t xml:space="preserve"> scoring function, box size, exhaustiveness, library choice, receptor choice</w:t>
      </w:r>
    </w:p>
    <w:p>
      <w:pPr>
        <w:pStyle w:val="ListBullet"/>
      </w:pPr>
      <w:r>
        <w:rPr>
          <w:rFonts w:ascii="Times New Roman" w:hAnsi="Times New Roman"/>
          <w:b/>
          <w:sz w:val="22"/>
        </w:rPr>
        <w:t>Tier 2 (moderate impact, new logic):</w:t>
      </w:r>
      <w:r>
        <w:rPr>
          <w:rFonts w:ascii="Times New Roman" w:hAnsi="Times New Roman"/>
          <w:sz w:val="22"/>
        </w:rPr>
        <w:t xml:space="preserve"> score normalisation, consensus scoring, multi-pose analysis, MW correction</w:t>
      </w:r>
    </w:p>
    <w:p>
      <w:pPr>
        <w:pStyle w:val="ListBullet"/>
      </w:pPr>
      <w:r>
        <w:rPr>
          <w:rFonts w:ascii="Times New Roman" w:hAnsi="Times New Roman"/>
          <w:b/>
          <w:sz w:val="22"/>
        </w:rPr>
        <w:t>Tier 3 (exploratory):</w:t>
      </w:r>
      <w:r>
        <w:rPr>
          <w:rFonts w:ascii="Times New Roman" w:hAnsi="Times New Roman"/>
          <w:sz w:val="22"/>
        </w:rPr>
        <w:t xml:space="preserve"> energy range, num_modes, seed variation</w:t>
      </w:r>
    </w:p>
    <w:p>
      <w:pPr>
        <w:pStyle w:val="Heading1"/>
      </w:pPr>
      <w:r>
        <w:t>S2. FPR2 detailed experiment logs</w:t>
      </w:r>
    </w:p>
    <w:p>
      <w:pPr>
        <w:pStyle w:val="Heading2"/>
      </w:pPr>
      <w:r>
        <w:t>Experiment 0: Baseline</w:t>
      </w:r>
    </w:p>
    <w:p>
      <w:r>
        <w:rPr>
          <w:rFonts w:ascii="Times New Roman" w:hAnsi="Times New Roman"/>
          <w:b/>
          <w:sz w:val="22"/>
        </w:rPr>
        <w:t xml:space="preserve">Configuration: </w:t>
      </w:r>
      <w:r>
        <w:rPr>
          <w:rFonts w:ascii="Times New Roman" w:hAnsi="Times New Roman"/>
          <w:b w:val="0"/>
          <w:sz w:val="22"/>
        </w:rPr>
        <w:t>Vina scoring, skill library (5,223 ligands), skill receptor (Meeko), 25 Å box, exhaustiveness 8, batch size 100.</w:t>
      </w:r>
    </w:p>
    <w:p>
      <w:r>
        <w:rPr>
          <w:rFonts w:ascii="Times New Roman" w:hAnsi="Times New Roman"/>
          <w:b/>
          <w:sz w:val="22"/>
        </w:rPr>
        <w:t xml:space="preserve">Results: </w:t>
      </w:r>
      <w:r>
        <w:rPr>
          <w:rFonts w:ascii="Times New Roman" w:hAnsi="Times New Roman"/>
          <w:b w:val="0"/>
          <w:sz w:val="22"/>
        </w:rPr>
        <w:t>4,100 ligands successfully docked (1,123 lost to segfaults). AUC = 0.736, BEDROC = 0.277, EF 1% = 1.93. Runtime: 21,786 s (6.1 h).</w:t>
      </w:r>
    </w:p>
    <w:p>
      <w:pPr>
        <w:pStyle w:val="Heading2"/>
      </w:pPr>
      <w:r>
        <w:t>Experiment 1: Vinardo scoring (KEPT)</w:t>
      </w:r>
    </w:p>
    <w:p>
      <w:r>
        <w:rPr>
          <w:rFonts w:ascii="Times New Roman" w:hAnsi="Times New Roman"/>
          <w:b/>
          <w:sz w:val="22"/>
        </w:rPr>
        <w:t xml:space="preserve">Hypothesis: </w:t>
      </w:r>
      <w:r>
        <w:rPr>
          <w:rFonts w:ascii="Times New Roman" w:hAnsi="Times New Roman"/>
          <w:b w:val="0"/>
          <w:sz w:val="22"/>
        </w:rPr>
        <w:t>The Vinardo scoring function may discriminate actives from decoys better than the default Vina function for FPR2.</w:t>
      </w:r>
    </w:p>
    <w:p>
      <w:r>
        <w:rPr>
          <w:rFonts w:ascii="Times New Roman" w:hAnsi="Times New Roman"/>
          <w:b/>
          <w:sz w:val="22"/>
        </w:rPr>
        <w:t xml:space="preserve">Results: </w:t>
      </w:r>
      <w:r>
        <w:rPr>
          <w:rFonts w:ascii="Times New Roman" w:hAnsi="Times New Roman"/>
          <w:b w:val="0"/>
          <w:sz w:val="22"/>
        </w:rPr>
        <w:t>AUC = 0.748 (+0.012). BEDROC = 0.238, EF 1% = 1.05. Runtime: 22,284 s (6.2 h). Decision: KEPT.</w:t>
      </w:r>
    </w:p>
    <w:p>
      <w:r>
        <w:rPr>
          <w:rFonts w:ascii="Times New Roman" w:hAnsi="Times New Roman"/>
          <w:b/>
          <w:sz w:val="22"/>
        </w:rPr>
        <w:t xml:space="preserve">Note: </w:t>
      </w:r>
      <w:r>
        <w:rPr>
          <w:rFonts w:ascii="Times New Roman" w:hAnsi="Times New Roman"/>
          <w:b w:val="0"/>
          <w:sz w:val="22"/>
        </w:rPr>
        <w:t>Improvement of +0.012 exceeds the estimated noise floor of 0.004 by threefold.</w:t>
      </w:r>
    </w:p>
    <w:p>
      <w:pPr>
        <w:pStyle w:val="Heading2"/>
      </w:pPr>
      <w:r>
        <w:t>Experiment 2: Box size 20 Å</w:t>
      </w:r>
    </w:p>
    <w:p>
      <w:r>
        <w:rPr>
          <w:rFonts w:ascii="Times New Roman" w:hAnsi="Times New Roman"/>
          <w:b/>
          <w:sz w:val="22"/>
        </w:rPr>
        <w:t xml:space="preserve">Hypothesis: </w:t>
      </w:r>
      <w:r>
        <w:rPr>
          <w:rFonts w:ascii="Times New Roman" w:hAnsi="Times New Roman"/>
          <w:b w:val="0"/>
          <w:sz w:val="22"/>
        </w:rPr>
        <w:t>A tighter docking box (20 vs 25 Å) may focus the search on the orthosteric pocket.</w:t>
      </w:r>
    </w:p>
    <w:p>
      <w:r>
        <w:rPr>
          <w:rFonts w:ascii="Times New Roman" w:hAnsi="Times New Roman"/>
          <w:b/>
          <w:sz w:val="22"/>
        </w:rPr>
        <w:t xml:space="preserve">Results: </w:t>
      </w:r>
      <w:r>
        <w:rPr>
          <w:rFonts w:ascii="Times New Roman" w:hAnsi="Times New Roman"/>
          <w:b w:val="0"/>
          <w:sz w:val="22"/>
        </w:rPr>
        <w:t>AUC = 0.745 (−0.003). BEDROC = 0.221, EF 1% = 0.70. Decision: REVERTED.</w:t>
      </w:r>
    </w:p>
    <w:p>
      <w:pPr>
        <w:pStyle w:val="Heading2"/>
      </w:pPr>
      <w:r>
        <w:t>Experiment 3: Naive library</w:t>
      </w:r>
    </w:p>
    <w:p>
      <w:r>
        <w:rPr>
          <w:rFonts w:ascii="Times New Roman" w:hAnsi="Times New Roman"/>
          <w:b/>
          <w:sz w:val="22"/>
        </w:rPr>
        <w:t xml:space="preserve">Hypothesis: </w:t>
      </w:r>
      <w:r>
        <w:rPr>
          <w:rFonts w:ascii="Times New Roman" w:hAnsi="Times New Roman"/>
          <w:b w:val="0"/>
          <w:sz w:val="22"/>
        </w:rPr>
        <w:t>The naive library (10,752 compounds) covers more chemical space.</w:t>
      </w:r>
    </w:p>
    <w:p>
      <w:r>
        <w:rPr>
          <w:rFonts w:ascii="Times New Roman" w:hAnsi="Times New Roman"/>
          <w:b/>
          <w:sz w:val="22"/>
        </w:rPr>
        <w:t xml:space="preserve">Results: </w:t>
      </w:r>
      <w:r>
        <w:rPr>
          <w:rFonts w:ascii="Times New Roman" w:hAnsi="Times New Roman"/>
          <w:b w:val="0"/>
          <w:sz w:val="22"/>
        </w:rPr>
        <w:t>Total failure. All 108 batches crashed. Only 100 of 10,752 ligands were docked. AUC = NaN. Decision: REVERTED.</w:t>
      </w:r>
    </w:p>
    <w:p>
      <w:r>
        <w:rPr>
          <w:rFonts w:ascii="Times New Roman" w:hAnsi="Times New Roman"/>
          <w:b/>
          <w:sz w:val="22"/>
        </w:rPr>
        <w:t xml:space="preserve">Root cause: </w:t>
      </w:r>
      <w:r>
        <w:rPr>
          <w:rFonts w:ascii="Times New Roman" w:hAnsi="Times New Roman"/>
          <w:b w:val="0"/>
          <w:sz w:val="22"/>
        </w:rPr>
        <w:t>OpenBabel-generated PDBQT files contained zero coordinates, missing atoms, and invalid tags.</w:t>
      </w:r>
    </w:p>
    <w:p>
      <w:pPr>
        <w:pStyle w:val="Heading2"/>
      </w:pPr>
      <w:r>
        <w:t>Experiment 4: Rank score transform</w:t>
      </w:r>
    </w:p>
    <w:p>
      <w:r>
        <w:rPr>
          <w:rFonts w:ascii="Times New Roman" w:hAnsi="Times New Roman"/>
          <w:b/>
          <w:sz w:val="22"/>
        </w:rPr>
        <w:t xml:space="preserve">Hypothesis: </w:t>
      </w:r>
      <w:r>
        <w:rPr>
          <w:rFonts w:ascii="Times New Roman" w:hAnsi="Times New Roman"/>
          <w:b w:val="0"/>
          <w:sz w:val="22"/>
        </w:rPr>
        <w:t>Rank-based normalisation may improve discrimination.</w:t>
      </w:r>
    </w:p>
    <w:p>
      <w:r>
        <w:rPr>
          <w:rFonts w:ascii="Times New Roman" w:hAnsi="Times New Roman"/>
          <w:b/>
          <w:sz w:val="22"/>
        </w:rPr>
        <w:t xml:space="preserve">Results: </w:t>
      </w:r>
      <w:r>
        <w:rPr>
          <w:rFonts w:ascii="Times New Roman" w:hAnsi="Times New Roman"/>
          <w:b w:val="0"/>
          <w:sz w:val="22"/>
        </w:rPr>
        <w:t>AUC = 0.744, identical to untransformed AUC.</w:t>
      </w:r>
    </w:p>
    <w:p>
      <w:r>
        <w:rPr>
          <w:rFonts w:ascii="Times New Roman" w:hAnsi="Times New Roman"/>
          <w:b/>
          <w:sz w:val="22"/>
        </w:rPr>
        <w:t xml:space="preserve">Key insight: </w:t>
      </w:r>
      <w:r>
        <w:rPr>
          <w:rFonts w:ascii="Times New Roman" w:hAnsi="Times New Roman"/>
          <w:b w:val="0"/>
          <w:sz w:val="22"/>
        </w:rPr>
        <w:t>The agent independently realised that monotonic transforms preserve relative ordering and cannot change ranking-based metrics. Skipped z-score and min-max.</w:t>
      </w:r>
    </w:p>
    <w:p>
      <w:pPr>
        <w:pStyle w:val="Heading2"/>
      </w:pPr>
      <w:r>
        <w:t>Experiment 5: Exhaustiveness 16</w:t>
      </w:r>
    </w:p>
    <w:p>
      <w:r>
        <w:rPr>
          <w:rFonts w:ascii="Times New Roman" w:hAnsi="Times New Roman"/>
          <w:b/>
          <w:sz w:val="22"/>
        </w:rPr>
        <w:t xml:space="preserve">Hypothesis: </w:t>
      </w:r>
      <w:r>
        <w:rPr>
          <w:rFonts w:ascii="Times New Roman" w:hAnsi="Times New Roman"/>
          <w:b w:val="0"/>
          <w:sz w:val="22"/>
        </w:rPr>
        <w:t>Doubling exhaustiveness may improve pose sampling.</w:t>
      </w:r>
    </w:p>
    <w:p>
      <w:r>
        <w:rPr>
          <w:rFonts w:ascii="Times New Roman" w:hAnsi="Times New Roman"/>
          <w:b/>
          <w:sz w:val="22"/>
        </w:rPr>
        <w:t xml:space="preserve">Results: </w:t>
      </w:r>
      <w:r>
        <w:rPr>
          <w:rFonts w:ascii="Times New Roman" w:hAnsi="Times New Roman"/>
          <w:b w:val="0"/>
          <w:sz w:val="22"/>
        </w:rPr>
        <w:t>AUC = 0.744 (−0.004). Runtime: 24,673 s (6.9 h, +11% slower). Decision: REVERTED.</w:t>
      </w:r>
    </w:p>
    <w:p>
      <w:pPr>
        <w:pStyle w:val="Heading2"/>
      </w:pPr>
      <w:r>
        <w:t>Experiment 6: Naive receptor</w:t>
      </w:r>
    </w:p>
    <w:p>
      <w:r>
        <w:rPr>
          <w:rFonts w:ascii="Times New Roman" w:hAnsi="Times New Roman"/>
          <w:b/>
          <w:sz w:val="22"/>
        </w:rPr>
        <w:t xml:space="preserve">Hypothesis: </w:t>
      </w:r>
      <w:r>
        <w:rPr>
          <w:rFonts w:ascii="Times New Roman" w:hAnsi="Times New Roman"/>
          <w:b w:val="0"/>
          <w:sz w:val="22"/>
        </w:rPr>
        <w:t>The OpenBabel-prepared receptor may improve scoring.</w:t>
      </w:r>
    </w:p>
    <w:p>
      <w:r>
        <w:rPr>
          <w:rFonts w:ascii="Times New Roman" w:hAnsi="Times New Roman"/>
          <w:b/>
          <w:sz w:val="22"/>
        </w:rPr>
        <w:t xml:space="preserve">Results: </w:t>
      </w:r>
      <w:r>
        <w:rPr>
          <w:rFonts w:ascii="Times New Roman" w:hAnsi="Times New Roman"/>
          <w:b w:val="0"/>
          <w:sz w:val="22"/>
        </w:rPr>
        <w:t>AUC = 0.732 (−0.016). 305 corrupted scores. Decision: REVERTED.</w:t>
      </w:r>
    </w:p>
    <w:p>
      <w:pPr>
        <w:pStyle w:val="Heading2"/>
      </w:pPr>
      <w:r>
        <w:t>Experiment 7: MW correction</w:t>
      </w:r>
    </w:p>
    <w:p>
      <w:r>
        <w:rPr>
          <w:rFonts w:ascii="Times New Roman" w:hAnsi="Times New Roman"/>
          <w:b/>
          <w:sz w:val="22"/>
        </w:rPr>
        <w:t xml:space="preserve">Hypothesis: </w:t>
      </w:r>
      <w:r>
        <w:rPr>
          <w:rFonts w:ascii="Times New Roman" w:hAnsi="Times New Roman"/>
          <w:b w:val="0"/>
          <w:sz w:val="22"/>
        </w:rPr>
        <w:t>Dividing scores by MW^0.33 may correct size bias.</w:t>
      </w:r>
    </w:p>
    <w:p>
      <w:r>
        <w:rPr>
          <w:rFonts w:ascii="Times New Roman" w:hAnsi="Times New Roman"/>
          <w:b/>
          <w:sz w:val="22"/>
        </w:rPr>
        <w:t xml:space="preserve">Results: </w:t>
      </w:r>
      <w:r>
        <w:rPr>
          <w:rFonts w:ascii="Times New Roman" w:hAnsi="Times New Roman"/>
          <w:b w:val="0"/>
          <w:sz w:val="22"/>
        </w:rPr>
        <w:t>AUC = 0.702 (−0.046). Worst result in the campaign. Decision: REVERTED.</w:t>
      </w:r>
    </w:p>
    <w:p>
      <w:pPr>
        <w:pStyle w:val="Heading2"/>
      </w:pPr>
      <w:r>
        <w:t>Experiments 8–9: Multi-pose aggregation</w:t>
      </w:r>
    </w:p>
    <w:p>
      <w:r>
        <w:rPr>
          <w:rFonts w:ascii="Times New Roman" w:hAnsi="Times New Roman"/>
          <w:b/>
          <w:sz w:val="22"/>
        </w:rPr>
        <w:t xml:space="preserve">Hypothesis: </w:t>
      </w:r>
      <w:r>
        <w:rPr>
          <w:rFonts w:ascii="Times New Roman" w:hAnsi="Times New Roman"/>
          <w:sz w:val="22"/>
        </w:rPr>
        <w:t>Using information from multiple docked poses may provide a more robust estimate of binding propensity.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rFonts w:ascii="Times New Roman" w:hAnsi="Times New Roman"/>
                <w:b/>
                <w:sz w:val="18"/>
              </w:rPr>
              <w:t>Method</w:t>
            </w:r>
          </w:p>
        </w:tc>
        <w:tc>
          <w:tcPr>
            <w:tcW w:type="dxa" w:w="3120"/>
            <w:shd w:val="clear" w:color="auto" w:fill="D9E2F3"/>
          </w:tcPr>
          <w:p>
            <w:pPr>
              <w:jc w:val="center"/>
            </w:pPr>
            <w:r/>
            <w:r>
              <w:rPr>
                <w:rFonts w:ascii="Times New Roman" w:hAnsi="Times New Roman"/>
                <w:b/>
                <w:sz w:val="18"/>
              </w:rPr>
              <w:t>AUC</w:t>
            </w:r>
          </w:p>
        </w:tc>
        <w:tc>
          <w:tcPr>
            <w:tcW w:type="dxa" w:w="3120"/>
            <w:shd w:val="clear" w:color="auto" w:fill="D9E2F3"/>
          </w:tcPr>
          <w:p>
            <w:pPr>
              <w:jc w:val="center"/>
            </w:pPr>
            <w:r/>
            <w:r>
              <w:rPr>
                <w:rFonts w:ascii="Times New Roman" w:hAnsi="Times New Roman"/>
                <w:b/>
                <w:sz w:val="18"/>
              </w:rPr>
              <w:t>ΔAUC</w:t>
            </w:r>
          </w:p>
        </w:tc>
      </w:tr>
      <w:tr>
        <w:tc>
          <w:tcPr>
            <w:tcW w:type="dxa" w:w="3120"/>
          </w:tcPr>
          <w:p>
            <w:pPr>
              <w:jc w:val="center"/>
            </w:pPr>
            <w:r/>
            <w:r>
              <w:rPr>
                <w:rFonts w:ascii="Times New Roman" w:hAnsi="Times New Roman"/>
                <w:sz w:val="18"/>
              </w:rPr>
              <w:t>Best (standard)</w:t>
            </w:r>
          </w:p>
        </w:tc>
        <w:tc>
          <w:tcPr>
            <w:tcW w:type="dxa" w:w="3120"/>
          </w:tcPr>
          <w:p>
            <w:pPr>
              <w:jc w:val="center"/>
            </w:pPr>
            <w:r/>
            <w:r>
              <w:rPr>
                <w:rFonts w:ascii="Times New Roman" w:hAnsi="Times New Roman"/>
                <w:sz w:val="18"/>
              </w:rPr>
              <w:t>0.740</w:t>
            </w:r>
          </w:p>
        </w:tc>
        <w:tc>
          <w:tcPr>
            <w:tcW w:type="dxa" w:w="3120"/>
          </w:tcPr>
          <w:p>
            <w:pPr>
              <w:jc w:val="center"/>
            </w:pPr>
            <w:r/>
            <w:r>
              <w:rPr>
                <w:rFonts w:ascii="Times New Roman" w:hAnsi="Times New Roman"/>
                <w:sz w:val="18"/>
              </w:rPr>
              <w:t>reference</w:t>
            </w:r>
          </w:p>
        </w:tc>
      </w:tr>
      <w:tr>
        <w:tc>
          <w:tcPr>
            <w:tcW w:type="dxa" w:w="3120"/>
          </w:tcPr>
          <w:p>
            <w:pPr>
              <w:jc w:val="center"/>
            </w:pPr>
            <w:r/>
            <w:r>
              <w:rPr>
                <w:rFonts w:ascii="Times New Roman" w:hAnsi="Times New Roman"/>
                <w:sz w:val="18"/>
              </w:rPr>
              <w:t>Boltzmann-weighted</w:t>
            </w:r>
          </w:p>
        </w:tc>
        <w:tc>
          <w:tcPr>
            <w:tcW w:type="dxa" w:w="3120"/>
          </w:tcPr>
          <w:p>
            <w:pPr>
              <w:jc w:val="center"/>
            </w:pPr>
            <w:r/>
            <w:r>
              <w:rPr>
                <w:rFonts w:ascii="Times New Roman" w:hAnsi="Times New Roman"/>
                <w:sz w:val="18"/>
              </w:rPr>
              <w:t>0.730</w:t>
            </w:r>
          </w:p>
        </w:tc>
        <w:tc>
          <w:tcPr>
            <w:tcW w:type="dxa" w:w="3120"/>
          </w:tcPr>
          <w:p>
            <w:pPr>
              <w:jc w:val="center"/>
            </w:pPr>
            <w:r/>
            <w:r>
              <w:rPr>
                <w:rFonts w:ascii="Times New Roman" w:hAnsi="Times New Roman"/>
                <w:sz w:val="18"/>
              </w:rPr>
              <w:t>−0.010</w:t>
            </w:r>
          </w:p>
        </w:tc>
      </w:tr>
      <w:tr>
        <w:tc>
          <w:tcPr>
            <w:tcW w:type="dxa" w:w="3120"/>
          </w:tcPr>
          <w:p>
            <w:pPr>
              <w:jc w:val="center"/>
            </w:pPr>
            <w:r/>
            <w:r>
              <w:rPr>
                <w:rFonts w:ascii="Times New Roman" w:hAnsi="Times New Roman"/>
                <w:sz w:val="18"/>
              </w:rPr>
              <w:t>Mean top-3</w:t>
            </w:r>
          </w:p>
        </w:tc>
        <w:tc>
          <w:tcPr>
            <w:tcW w:type="dxa" w:w="3120"/>
          </w:tcPr>
          <w:p>
            <w:pPr>
              <w:jc w:val="center"/>
            </w:pPr>
            <w:r/>
            <w:r>
              <w:rPr>
                <w:rFonts w:ascii="Times New Roman" w:hAnsi="Times New Roman"/>
                <w:sz w:val="18"/>
              </w:rPr>
              <w:t>0.715</w:t>
            </w:r>
          </w:p>
        </w:tc>
        <w:tc>
          <w:tcPr>
            <w:tcW w:type="dxa" w:w="3120"/>
          </w:tcPr>
          <w:p>
            <w:pPr>
              <w:jc w:val="center"/>
            </w:pPr>
            <w:r/>
            <w:r>
              <w:rPr>
                <w:rFonts w:ascii="Times New Roman" w:hAnsi="Times New Roman"/>
                <w:sz w:val="18"/>
              </w:rPr>
              <w:t>−0.025</w:t>
            </w:r>
          </w:p>
        </w:tc>
      </w:tr>
      <w:tr>
        <w:tc>
          <w:tcPr>
            <w:tcW w:type="dxa" w:w="3120"/>
          </w:tcPr>
          <w:p>
            <w:pPr>
              <w:jc w:val="center"/>
            </w:pPr>
            <w:r/>
            <w:r>
              <w:rPr>
                <w:rFonts w:ascii="Times New Roman" w:hAnsi="Times New Roman"/>
                <w:sz w:val="18"/>
              </w:rPr>
              <w:t>Mean all</w:t>
            </w:r>
          </w:p>
        </w:tc>
        <w:tc>
          <w:tcPr>
            <w:tcW w:type="dxa" w:w="3120"/>
          </w:tcPr>
          <w:p>
            <w:pPr>
              <w:jc w:val="center"/>
            </w:pPr>
            <w:r/>
            <w:r>
              <w:rPr>
                <w:rFonts w:ascii="Times New Roman" w:hAnsi="Times New Roman"/>
                <w:sz w:val="18"/>
              </w:rPr>
              <w:t>0.702</w:t>
            </w:r>
          </w:p>
        </w:tc>
        <w:tc>
          <w:tcPr>
            <w:tcW w:type="dxa" w:w="3120"/>
          </w:tcPr>
          <w:p>
            <w:pPr>
              <w:jc w:val="center"/>
            </w:pPr>
            <w:r/>
            <w:r>
              <w:rPr>
                <w:rFonts w:ascii="Times New Roman" w:hAnsi="Times New Roman"/>
                <w:sz w:val="18"/>
              </w:rPr>
              <w:t>−0.038</w:t>
            </w:r>
          </w:p>
        </w:tc>
      </w:tr>
      <w:tr>
        <w:tc>
          <w:tcPr>
            <w:tcW w:type="dxa" w:w="3120"/>
          </w:tcPr>
          <w:p>
            <w:pPr>
              <w:jc w:val="center"/>
            </w:pPr>
            <w:r/>
            <w:r>
              <w:rPr>
                <w:rFonts w:ascii="Times New Roman" w:hAnsi="Times New Roman"/>
                <w:sz w:val="18"/>
              </w:rPr>
              <w:t>Median</w:t>
            </w:r>
          </w:p>
        </w:tc>
        <w:tc>
          <w:tcPr>
            <w:tcW w:type="dxa" w:w="3120"/>
          </w:tcPr>
          <w:p>
            <w:pPr>
              <w:jc w:val="center"/>
            </w:pPr>
            <w:r/>
            <w:r>
              <w:rPr>
                <w:rFonts w:ascii="Times New Roman" w:hAnsi="Times New Roman"/>
                <w:sz w:val="18"/>
              </w:rPr>
              <w:t>0.701</w:t>
            </w:r>
          </w:p>
        </w:tc>
        <w:tc>
          <w:tcPr>
            <w:tcW w:type="dxa" w:w="3120"/>
          </w:tcPr>
          <w:p>
            <w:pPr>
              <w:jc w:val="center"/>
            </w:pPr>
            <w:r/>
            <w:r>
              <w:rPr>
                <w:rFonts w:ascii="Times New Roman" w:hAnsi="Times New Roman"/>
                <w:sz w:val="18"/>
              </w:rPr>
              <w:t>−0.039</w:t>
            </w:r>
          </w:p>
        </w:tc>
      </w:tr>
    </w:tbl>
    <w:p>
      <w:r>
        <w:rPr>
          <w:rFonts w:ascii="Times New Roman" w:hAnsi="Times New Roman"/>
          <w:b w:val="0"/>
          <w:i w:val="0"/>
          <w:sz w:val="22"/>
        </w:rPr>
        <w:br/>
        <w:t>All aggregation methods performed worse than the standard best-pose approach.</w:t>
      </w:r>
    </w:p>
    <w:p/>
    <w:p>
      <w:pPr>
        <w:jc w:val="center"/>
      </w:pPr>
      <w:r>
        <w:drawing>
          <wp:inline xmlns:a="http://schemas.openxmlformats.org/drawingml/2006/main" xmlns:pic="http://schemas.openxmlformats.org/drawingml/2006/picture">
            <wp:extent cx="5029200" cy="2908964"/>
            <wp:docPr id="1" name="Picture 1"/>
            <wp:cNvGraphicFramePr>
              <a:graphicFrameLocks noChangeAspect="1"/>
            </wp:cNvGraphicFramePr>
            <a:graphic>
              <a:graphicData uri="http://schemas.openxmlformats.org/drawingml/2006/picture">
                <pic:pic>
                  <pic:nvPicPr>
                    <pic:cNvPr id="0" name="figure_s1_fpr2_waterfall.png"/>
                    <pic:cNvPicPr/>
                  </pic:nvPicPr>
                  <pic:blipFill>
                    <a:blip r:embed="rId9"/>
                    <a:stretch>
                      <a:fillRect/>
                    </a:stretch>
                  </pic:blipFill>
                  <pic:spPr>
                    <a:xfrm>
                      <a:off x="0" y="0"/>
                      <a:ext cx="5029200" cy="2908964"/>
                    </a:xfrm>
                    <a:prstGeom prst="rect"/>
                  </pic:spPr>
                </pic:pic>
              </a:graphicData>
            </a:graphic>
          </wp:inline>
        </w:drawing>
      </w:r>
    </w:p>
    <w:p>
      <w:pPr>
        <w:spacing w:after="240"/>
      </w:pPr>
      <w:r>
        <w:rPr>
          <w:rFonts w:ascii="Times New Roman" w:hAnsi="Times New Roman"/>
          <w:b/>
          <w:i w:val="0"/>
          <w:sz w:val="22"/>
        </w:rPr>
        <w:t xml:space="preserve">Fig. S1 </w:t>
      </w:r>
      <w:r>
        <w:rPr>
          <w:rFonts w:ascii="Times New Roman" w:hAnsi="Times New Roman"/>
          <w:b w:val="0"/>
          <w:i w:val="0"/>
          <w:sz w:val="22"/>
        </w:rPr>
        <w:t>FPR2: change in AUC relative to baseline for each experiment. Blue: kept; red: reverted; grey: no change or failed.</w:t>
      </w:r>
    </w:p>
    <w:p>
      <w:pPr>
        <w:pStyle w:val="Heading1"/>
      </w:pPr>
      <w:r>
        <w:t>S3. CDK2 detailed experiment logs</w:t>
      </w:r>
    </w:p>
    <w:p>
      <w:pPr>
        <w:pStyle w:val="Heading2"/>
      </w:pPr>
      <w:r>
        <w:t>Experiment 0: Baseline</w:t>
      </w:r>
    </w:p>
    <w:p>
      <w:r>
        <w:rPr>
          <w:rFonts w:ascii="Times New Roman" w:hAnsi="Times New Roman"/>
          <w:sz w:val="22"/>
        </w:rPr>
        <w:t>Configuration: Vina scoring, skill library (1,309 ligands), skill receptor (Meeko), 25 Å box, exhaustiveness 8, dual-GPU.</w:t>
      </w:r>
    </w:p>
    <w:p>
      <w:r>
        <w:rPr>
          <w:rFonts w:ascii="Times New Roman" w:hAnsi="Times New Roman"/>
          <w:sz w:val="22"/>
        </w:rPr>
        <w:t>Results: AUC = 0.677, BEDROC = 0.443, EF 1% = 1.71. Runtime: 1,342 s (22 min).</w:t>
      </w:r>
    </w:p>
    <w:p>
      <w:pPr>
        <w:pStyle w:val="Heading2"/>
      </w:pPr>
      <w:r>
        <w:t>Experiment 1: Vinardo scoring (KEPT)</w:t>
      </w:r>
    </w:p>
    <w:p>
      <w:r>
        <w:rPr>
          <w:rFonts w:ascii="Times New Roman" w:hAnsi="Times New Roman"/>
          <w:sz w:val="22"/>
        </w:rPr>
        <w:t>Hypothesis: Vinardo may improve enrichment for CDK2.</w:t>
      </w:r>
    </w:p>
    <w:p>
      <w:r>
        <w:rPr>
          <w:rFonts w:ascii="Times New Roman" w:hAnsi="Times New Roman"/>
          <w:sz w:val="22"/>
        </w:rPr>
        <w:t>Results: AUC = 0.695 (+0.018). Decision: KEPT.</w:t>
      </w:r>
    </w:p>
    <w:p>
      <w:pPr>
        <w:pStyle w:val="Heading2"/>
      </w:pPr>
      <w:r>
        <w:t>Experiments 2–4: Box size sweep</w:t>
      </w:r>
    </w:p>
    <w:p>
      <w:r>
        <w:rPr>
          <w:rFonts w:ascii="Times New Roman" w:hAnsi="Times New Roman"/>
          <w:sz w:val="22"/>
        </w:rPr>
        <w:t>Tested 20, 18, and 30 Å boxes.</w:t>
      </w:r>
    </w:p>
    <w:p>
      <w:r>
        <w:rPr>
          <w:rFonts w:ascii="Times New Roman" w:hAnsi="Times New Roman"/>
          <w:sz w:val="22"/>
        </w:rPr>
        <w:t>Results: AUC 0.692, 0.694, 0.685. All reverted. 25 Å remained optimal.</w:t>
      </w:r>
    </w:p>
    <w:p>
      <w:pPr>
        <w:pStyle w:val="Heading2"/>
      </w:pPr>
      <w:r>
        <w:t>Experiments 5–6: Exhaustiveness sweep</w:t>
      </w:r>
    </w:p>
    <w:p>
      <w:r>
        <w:rPr>
          <w:rFonts w:ascii="Times New Roman" w:hAnsi="Times New Roman"/>
          <w:sz w:val="22"/>
        </w:rPr>
        <w:t>Tested exh. 16 and 32.</w:t>
      </w:r>
    </w:p>
    <w:p>
      <w:r>
        <w:rPr>
          <w:rFonts w:ascii="Times New Roman" w:hAnsi="Times New Roman"/>
          <w:sz w:val="22"/>
        </w:rPr>
        <w:t>Results: AUC 0.686, 0.693. Both reverted. Exh. 8 optimal.</w:t>
      </w:r>
    </w:p>
    <w:p>
      <w:pPr>
        <w:pStyle w:val="Heading2"/>
      </w:pPr>
      <w:r>
        <w:t>Experiment 7: Naive library with Vinardo (KEPT)</w:t>
      </w:r>
    </w:p>
    <w:p>
      <w:r>
        <w:rPr>
          <w:rFonts w:ascii="Times New Roman" w:hAnsi="Times New Roman"/>
          <w:sz w:val="22"/>
        </w:rPr>
        <w:t>Hypothesis: OpenBabel library covers more chemical space.</w:t>
      </w:r>
    </w:p>
    <w:p>
      <w:r>
        <w:rPr>
          <w:rFonts w:ascii="Times New Roman" w:hAnsi="Times New Roman"/>
          <w:sz w:val="22"/>
        </w:rPr>
        <w:t>Results: AUC = 0.716 (+0.021). Dramatic improvement from larger library (2,471 vs 1,309 ligands). BEDROC jumped from 0.403 to 0.711. Decision: KEPT.</w:t>
      </w:r>
    </w:p>
    <w:p>
      <w:pPr>
        <w:pStyle w:val="Heading2"/>
      </w:pPr>
      <w:r>
        <w:t>Experiment 8: Naive receptor + naive library</w:t>
      </w:r>
    </w:p>
    <w:p>
      <w:r>
        <w:rPr>
          <w:rFonts w:ascii="Times New Roman" w:hAnsi="Times New Roman"/>
          <w:sz w:val="22"/>
        </w:rPr>
        <w:t>Hypothesis: Matching naive prep for both receptor and library.</w:t>
      </w:r>
    </w:p>
    <w:p>
      <w:r>
        <w:rPr>
          <w:rFonts w:ascii="Times New Roman" w:hAnsi="Times New Roman"/>
          <w:sz w:val="22"/>
        </w:rPr>
        <w:t>Results: AUC = 0.706 (−0.010). Skill receptor remains superior. Decision: REVERTED.</w:t>
      </w:r>
    </w:p>
    <w:p>
      <w:pPr>
        <w:pStyle w:val="Heading2"/>
      </w:pPr>
      <w:r>
        <w:t>Experiment 9: Naive library with Vina scoring (KEPT)</w:t>
      </w:r>
    </w:p>
    <w:p>
      <w:r>
        <w:rPr>
          <w:rFonts w:ascii="Times New Roman" w:hAnsi="Times New Roman"/>
          <w:sz w:val="22"/>
        </w:rPr>
        <w:t>Hypothesis: Vina may outperform Vinardo with the naive library.</w:t>
      </w:r>
    </w:p>
    <w:p>
      <w:r>
        <w:rPr>
          <w:rFonts w:ascii="Times New Roman" w:hAnsi="Times New Roman"/>
          <w:sz w:val="22"/>
        </w:rPr>
        <w:t>Results: AUC = 0.735 (+0.019). Vina outperforms Vinardo when using naive library, opposite of FPR2 finding. Decision: KEPT.</w:t>
      </w:r>
    </w:p>
    <w:p>
      <w:pPr>
        <w:pStyle w:val="Heading2"/>
      </w:pPr>
      <w:r>
        <w:t>Experiment 10: Energy range 5 kcal/mol</w:t>
      </w:r>
    </w:p>
    <w:p>
      <w:r>
        <w:rPr>
          <w:rFonts w:ascii="Times New Roman" w:hAnsi="Times New Roman"/>
          <w:sz w:val="22"/>
        </w:rPr>
        <w:t>Tested wider energy range.</w:t>
      </w:r>
    </w:p>
    <w:p>
      <w:r>
        <w:rPr>
          <w:rFonts w:ascii="Times New Roman" w:hAnsi="Times New Roman"/>
          <w:sz w:val="22"/>
        </w:rPr>
        <w:t>Results: AUC = 0.735 (identical). Decision: REVERTED.</w:t>
      </w:r>
    </w:p>
    <w:p>
      <w:pPr>
        <w:pStyle w:val="Heading2"/>
      </w:pPr>
      <w:r>
        <w:t>Experiment 11: Batch size 50 (KEPT)</w:t>
      </w:r>
    </w:p>
    <w:p>
      <w:r>
        <w:rPr>
          <w:rFonts w:ascii="Times New Roman" w:hAnsi="Times New Roman"/>
          <w:sz w:val="22"/>
        </w:rPr>
        <w:t>Hypothesis: Smaller batches reduce ligand loss from segfaults.</w:t>
      </w:r>
    </w:p>
    <w:p>
      <w:r>
        <w:rPr>
          <w:rFonts w:ascii="Times New Roman" w:hAnsi="Times New Roman"/>
          <w:sz w:val="22"/>
        </w:rPr>
        <w:t>Results: AUC = 0.733, but 1,951 ligands scored (vs. ~1,500 with batch 100). Decision: KEPT for better coverage.</w:t>
      </w:r>
    </w:p>
    <w:p>
      <w:pPr>
        <w:pStyle w:val="Heading2"/>
      </w:pPr>
      <w:r>
        <w:t>Experiments 12–15: Additional parameter tests</w:t>
      </w:r>
    </w:p>
    <w:p>
      <w:r>
        <w:rPr>
          <w:rFonts w:ascii="Times New Roman" w:hAnsi="Times New Roman"/>
          <w:sz w:val="22"/>
        </w:rPr>
        <w:t>Tested batch size 20, exh. 4, box 22 Å, num_modes 20.</w:t>
      </w:r>
    </w:p>
    <w:p>
      <w:r>
        <w:rPr>
          <w:rFonts w:ascii="Times New Roman" w:hAnsi="Times New Roman"/>
          <w:sz w:val="22"/>
        </w:rPr>
        <w:t>Results: AUC 0.730, 0.729, 0.729, 0.727. All reverted.</w:t>
      </w:r>
    </w:p>
    <w:p/>
    <w:p>
      <w:pPr>
        <w:jc w:val="center"/>
      </w:pPr>
      <w:r>
        <w:drawing>
          <wp:inline xmlns:a="http://schemas.openxmlformats.org/drawingml/2006/main" xmlns:pic="http://schemas.openxmlformats.org/drawingml/2006/picture">
            <wp:extent cx="5029200" cy="4178757"/>
            <wp:docPr id="2" name="Picture 2"/>
            <wp:cNvGraphicFramePr>
              <a:graphicFrameLocks noChangeAspect="1"/>
            </wp:cNvGraphicFramePr>
            <a:graphic>
              <a:graphicData uri="http://schemas.openxmlformats.org/drawingml/2006/picture">
                <pic:pic>
                  <pic:nvPicPr>
                    <pic:cNvPr id="0" name="figure_s2_cdk2_waterfall.png"/>
                    <pic:cNvPicPr/>
                  </pic:nvPicPr>
                  <pic:blipFill>
                    <a:blip r:embed="rId10"/>
                    <a:stretch>
                      <a:fillRect/>
                    </a:stretch>
                  </pic:blipFill>
                  <pic:spPr>
                    <a:xfrm>
                      <a:off x="0" y="0"/>
                      <a:ext cx="5029200" cy="4178757"/>
                    </a:xfrm>
                    <a:prstGeom prst="rect"/>
                  </pic:spPr>
                </pic:pic>
              </a:graphicData>
            </a:graphic>
          </wp:inline>
        </w:drawing>
      </w:r>
    </w:p>
    <w:p>
      <w:pPr>
        <w:spacing w:after="240"/>
      </w:pPr>
      <w:r>
        <w:rPr>
          <w:rFonts w:ascii="Times New Roman" w:hAnsi="Times New Roman"/>
          <w:b/>
          <w:i w:val="0"/>
          <w:sz w:val="22"/>
        </w:rPr>
        <w:t xml:space="preserve">Fig. S2 </w:t>
      </w:r>
      <w:r>
        <w:rPr>
          <w:rFonts w:ascii="Times New Roman" w:hAnsi="Times New Roman"/>
          <w:b w:val="0"/>
          <w:i w:val="0"/>
          <w:sz w:val="22"/>
        </w:rPr>
        <w:t>CDK2: change in AUC relative to baseline (0.677) for each experiment. Blue: kept; red: reverted.</w:t>
      </w:r>
    </w:p>
    <w:p>
      <w:pPr>
        <w:pStyle w:val="Heading1"/>
      </w:pPr>
      <w:r>
        <w:t>S4. Stochastic variation analysis</w:t>
      </w:r>
    </w:p>
    <w:p>
      <w:r>
        <w:rPr>
          <w:rFonts w:ascii="Times New Roman" w:hAnsi="Times New Roman"/>
          <w:b w:val="0"/>
          <w:i w:val="0"/>
          <w:sz w:val="22"/>
        </w:rPr>
        <w:t>To establish the noise floor for FPR2, the agent observed that two runs of the identical configuration (Vinardo, skill library, skill receptor, 25 Å box, exhaustiveness 8) produced AUC values of 0.744 and 0.748. The difference of 0.004 reflects stochastic variation from Uni-Dock’s GPU-parallel Monte Carlo sampling and batch-dependent segfault patterns. This noise floor of approximately 0.004 AUC was used as the threshold for declaring improvements meaningful.</w:t>
      </w:r>
    </w:p>
    <w:p>
      <w:r>
        <w:rPr>
          <w:rFonts w:ascii="Times New Roman" w:hAnsi="Times New Roman"/>
          <w:b w:val="0"/>
          <w:i w:val="0"/>
          <w:sz w:val="22"/>
        </w:rPr>
        <w:t>For CDK2, a similar noise floor was observed: experiments with identical docking parameters but different batch sizes yielded AUC variations of approximately 0.002–0.005, attributable to the stochastic ligand loss from segfaults.</w:t>
      </w:r>
    </w:p>
    <w:p>
      <w:pPr>
        <w:pStyle w:val="Heading1"/>
      </w:pPr>
      <w:r>
        <w:t>S5. Segfault analysis</w:t>
      </w:r>
    </w:p>
    <w:p>
      <w:r>
        <w:rPr>
          <w:rFonts w:ascii="Times New Roman" w:hAnsi="Times New Roman"/>
          <w:b w:val="0"/>
          <w:i w:val="0"/>
          <w:sz w:val="22"/>
        </w:rPr>
        <w:t>FPR2: Across all runs, batches 30–40 (ligands DEC_05xxx through DEC_07xxx) consistently caused segmentation faults. Inspection revealed structural parsing errors (“Unknown or inappropriate tag found in flex residue or ligand”). These files were Meeko-prepared but contain unusual chemical features (e.g., boron-containing compounds, complex ring systems) that produce PDBQT tags not recognised by Uni-Dock’s parser. Approximately 1,100 ligands were lost per run (79% success rate).</w:t>
      </w:r>
    </w:p>
    <w:p>
      <w:r>
        <w:rPr>
          <w:rFonts w:ascii="Times New Roman" w:hAnsi="Times New Roman"/>
          <w:b w:val="0"/>
          <w:i w:val="0"/>
          <w:sz w:val="22"/>
        </w:rPr>
        <w:t>CDK2: The naive (OpenBabel-prepared) library exhibited a higher segfault rate (exit code −11) on both GPUs, with approximately 20–40% of batches crashing. Reducing batch size from 100 to 50 improved the success rate from ~62% to ~79% of ligands scored. The skill library showed a similar segfault pattern to FPR2 (~20% loss).</w:t>
      </w:r>
    </w:p>
    <w:p>
      <w:pPr>
        <w:pStyle w:val="Heading1"/>
      </w:pPr>
      <w:r>
        <w:t>S6. Git commit histories</w:t>
      </w:r>
    </w:p>
    <w:p>
      <w:pPr>
        <w:spacing w:after="40"/>
      </w:pPr>
      <w:r>
        <w:rPr>
          <w:rFonts w:ascii="Times New Roman" w:hAnsi="Times New Roman"/>
          <w:b/>
          <w:i w:val="0"/>
          <w:sz w:val="22"/>
        </w:rPr>
        <w:t>FPR2 campaign:</w:t>
      </w:r>
    </w:p>
    <w:p>
      <w:r>
        <w:rPr>
          <w:rFonts w:ascii="Courier New" w:hAnsi="Courier New"/>
          <w:sz w:val="16"/>
        </w:rPr>
        <w:t>56f1239 revert: multi-pose scoring (all methods worse than best-pose)</w:t>
        <w:br/>
        <w:t>df1a699 experiment: multi-pose scoring sweep (free, reuse cached results)</w:t>
        <w:br/>
        <w:t>950c05d revert: MW correction (AUC 0.7022, much worse than 0.7480)</w:t>
        <w:br/>
        <w:t>b06bfea experiment: add MW correction (score / MW^0.33)</w:t>
        <w:br/>
        <w:t>9e9b718 revert: naive receptor (AUC 0.7320, worse than 0.7480)</w:t>
        <w:br/>
        <w:t>5115af9 experiment: switch to naive receptor (OpenBabel-prepared)</w:t>
        <w:br/>
        <w:t>03f9cc7 revert exh16: AUC 0.7441 &lt; 0.7480</w:t>
        <w:br/>
        <w:t>d3539e7 experiment: increase exhaustiveness from 8 to 16</w:t>
        <w:br/>
        <w:t>2e4b9b0 revert rank transform: monotonic transforms don't affect AUC</w:t>
        <w:br/>
        <w:t>31fc684 experiment: test rank score transform</w:t>
        <w:br/>
        <w:t>03c3d1e experiment: add reuse_results option for fast transform testing</w:t>
        <w:br/>
        <w:t>31860ec revert naive library: total failure, 100/10751 docked, AUC=nan</w:t>
        <w:br/>
        <w:t>31a6426 experiment: switch to naive library (10752 OpenBabel ligands)</w:t>
        <w:br/>
        <w:t>b848ee5 revert box 20A: AUC 0.7447 &lt; 0.7480</w:t>
        <w:br/>
        <w:t>e32c6b0 experiment: reduce box size from 25A to 20A</w:t>
        <w:br/>
        <w:t>ff7fd1b experiment: switch scoring function from vina to vinardo</w:t>
        <w:br/>
        <w:t>2659a74 Initial VS autoresearch scaffold</w:t>
      </w:r>
    </w:p>
    <w:p>
      <w:pPr>
        <w:spacing w:after="40"/>
      </w:pPr>
      <w:r>
        <w:rPr>
          <w:rFonts w:ascii="Times New Roman" w:hAnsi="Times New Roman"/>
          <w:b/>
          <w:i w:val="0"/>
          <w:sz w:val="22"/>
        </w:rPr>
        <w:br/>
        <w:t>CDK2 campaign:</w:t>
      </w:r>
    </w:p>
    <w:p>
      <w:r>
        <w:rPr>
          <w:rFonts w:ascii="Courier New" w:hAnsi="Courier New"/>
          <w:sz w:val="16"/>
        </w:rPr>
        <w:t>REVERTED num_modes 20 (naive/vina/25A/exh8)</w:t>
        <w:br/>
        <w:t>REVERTED box 22A (naive/vina/exh8/batch50)</w:t>
        <w:br/>
        <w:t>REVERTED exh4 (naive/vina/25A/batch50)</w:t>
        <w:br/>
        <w:t>REVERTED batch_size 20 (naive/vina/25A)</w:t>
        <w:br/>
        <w:t>2fa780e experiment: batch_size 50 (naive/vina/25A/exh8)</w:t>
        <w:br/>
        <w:t>REVERTED energy_range 5 (naive/vina/25A/exh8)</w:t>
        <w:br/>
        <w:t>ff17182 experiment: naive library + vina scoring (25A/exh8)</w:t>
        <w:br/>
        <w:t>REVERTED naive receptor+library (vinardo/25A/exh8)</w:t>
        <w:br/>
        <w:t>fd1cc8f experiment: naive library (vinardo/25A/exh8)</w:t>
        <w:br/>
        <w:t>REVERTED exh32 (vinardo/25A)</w:t>
        <w:br/>
        <w:t>REVERTED exh16 (vinardo/25A)</w:t>
        <w:br/>
        <w:t>REVERTED box 30A (vinardo)</w:t>
        <w:br/>
        <w:t>REVERTED box 18A (vinardo)</w:t>
        <w:br/>
        <w:t>REVERTED box 20A (vinardo)</w:t>
        <w:br/>
        <w:t>2098b88 experiment: vinardo scoring</w:t>
        <w:br/>
        <w:t>baseline skill/skill/25A/exh8/vina/none</w:t>
      </w:r>
    </w:p>
    <w:p>
      <w:pPr>
        <w:pStyle w:val="Heading1"/>
      </w:pPr>
      <w:r>
        <w:t>S7. Final optimised configurations</w:t>
      </w:r>
    </w:p>
    <w:p>
      <w:pPr>
        <w:spacing w:after="40"/>
      </w:pPr>
      <w:r>
        <w:rPr>
          <w:rFonts w:ascii="Times New Roman" w:hAnsi="Times New Roman"/>
          <w:b/>
          <w:i w:val="0"/>
          <w:sz w:val="22"/>
        </w:rPr>
        <w:t>FPR2 final configuration:</w:t>
      </w:r>
    </w:p>
    <w:p>
      <w:r>
        <w:rPr>
          <w:rFonts w:ascii="Courier New" w:hAnsi="Courier New"/>
          <w:sz w:val="18"/>
        </w:rPr>
        <w:t>CONFIG = {</w:t>
        <w:br/>
        <w:t xml:space="preserve">    "library": "skill",         # Meeko-prepared, 5,223 ligands</w:t>
        <w:br/>
        <w:t xml:space="preserve">    "receptor": "skill",        # Meeko mk_prepare_receptor</w:t>
        <w:br/>
        <w:t xml:space="preserve">    "box_size": 25,             # Angstrom</w:t>
        <w:br/>
        <w:t xml:space="preserve">    "exhaustiveness": 8,        # GPU-parallel Monte Carlo</w:t>
        <w:br/>
        <w:t xml:space="preserve">    "num_modes": 10,</w:t>
        <w:br/>
        <w:t xml:space="preserve">    "energy_range": 3,          # kcal/mol above best</w:t>
        <w:br/>
        <w:t xml:space="preserve">    "scoring": "vinardo",       # Only change from baseline</w:t>
        <w:br/>
        <w:t xml:space="preserve">    "score_transform": "none",</w:t>
        <w:br/>
        <w:t xml:space="preserve">    "batch_size": 100,</w:t>
        <w:br/>
        <w:t>}</w:t>
      </w:r>
    </w:p>
    <w:p>
      <w:pPr>
        <w:spacing w:after="40" w:before="240"/>
      </w:pPr>
      <w:r>
        <w:rPr>
          <w:rFonts w:ascii="Times New Roman" w:hAnsi="Times New Roman"/>
          <w:b/>
          <w:i w:val="0"/>
          <w:sz w:val="22"/>
        </w:rPr>
        <w:br/>
        <w:t>CDK2 final configuration:</w:t>
      </w:r>
    </w:p>
    <w:p>
      <w:r>
        <w:rPr>
          <w:rFonts w:ascii="Courier New" w:hAnsi="Courier New"/>
          <w:sz w:val="18"/>
        </w:rPr>
        <w:t>CONFIG = {</w:t>
        <w:br/>
        <w:t xml:space="preserve">    "library": "naive",         # OpenBabel-prepared, 2,471 ligands</w:t>
        <w:br/>
        <w:t xml:space="preserve">    "receptor": "skill",        # Meeko mk_prepare_receptor</w:t>
        <w:br/>
        <w:t xml:space="preserve">    "box_size": 25,             # Angstrom</w:t>
        <w:br/>
        <w:t xml:space="preserve">    "exhaustiveness": 8,        # GPU-parallel Monte Carlo</w:t>
        <w:br/>
        <w:t xml:space="preserve">    "num_modes": 10,</w:t>
        <w:br/>
        <w:t xml:space="preserve">    "energy_range": 3,          # kcal/mol above best</w:t>
        <w:br/>
        <w:t xml:space="preserve">    "scoring": "vina",          # Vina (not Vinardo)</w:t>
        <w:br/>
        <w:t xml:space="preserve">    "score_transform": "none",</w:t>
        <w:br/>
        <w:t xml:space="preserve">    "batch_size": 50,           # Smaller batches for naive library</w:t>
        <w:br/>
        <w:t xml:space="preserve">    "gpu_device": "0,1",        # Dual GPU</w:t>
        <w:br/>
        <w:t>}</w:t>
      </w:r>
    </w:p>
    <w:p>
      <w:r>
        <w:rPr>
          <w:rFonts w:ascii="Times New Roman" w:hAnsi="Times New Roman"/>
          <w:b w:val="0"/>
          <w:i w:val="0"/>
          <w:sz w:val="22"/>
        </w:rPr>
        <w:br/>
        <w:t>Key differences: FPR2 uses Vinardo scoring with the skill (Meeko+PAINS-filtered) library, while CDK2 uses Vina scoring with the naive (OpenBabel) library. Both targets use the Meeko-prepared receptor.</w:t>
      </w:r>
    </w:p>
    <w:p/>
    <w:p>
      <w:pPr>
        <w:jc w:val="center"/>
      </w:pPr>
      <w:r>
        <w:drawing>
          <wp:inline xmlns:a="http://schemas.openxmlformats.org/drawingml/2006/main" xmlns:pic="http://schemas.openxmlformats.org/drawingml/2006/picture">
            <wp:extent cx="5486400" cy="2833428"/>
            <wp:docPr id="3" name="Picture 3"/>
            <wp:cNvGraphicFramePr>
              <a:graphicFrameLocks noChangeAspect="1"/>
            </wp:cNvGraphicFramePr>
            <a:graphic>
              <a:graphicData uri="http://schemas.openxmlformats.org/drawingml/2006/picture">
                <pic:pic>
                  <pic:nvPicPr>
                    <pic:cNvPr id="0" name="figure_s3_gpu_hours.png"/>
                    <pic:cNvPicPr/>
                  </pic:nvPicPr>
                  <pic:blipFill>
                    <a:blip r:embed="rId11"/>
                    <a:stretch>
                      <a:fillRect/>
                    </a:stretch>
                  </pic:blipFill>
                  <pic:spPr>
                    <a:xfrm>
                      <a:off x="0" y="0"/>
                      <a:ext cx="5486400" cy="2833428"/>
                    </a:xfrm>
                    <a:prstGeom prst="rect"/>
                  </pic:spPr>
                </pic:pic>
              </a:graphicData>
            </a:graphic>
          </wp:inline>
        </w:drawing>
      </w:r>
    </w:p>
    <w:p>
      <w:pPr>
        <w:spacing w:after="240"/>
      </w:pPr>
      <w:r>
        <w:rPr>
          <w:rFonts w:ascii="Times New Roman" w:hAnsi="Times New Roman"/>
          <w:b/>
          <w:i w:val="0"/>
          <w:sz w:val="22"/>
        </w:rPr>
        <w:t xml:space="preserve">Fig. S3 </w:t>
      </w:r>
      <w:r>
        <w:rPr>
          <w:rFonts w:ascii="Times New Roman" w:hAnsi="Times New Roman"/>
          <w:b w:val="0"/>
          <w:i w:val="0"/>
          <w:sz w:val="22"/>
        </w:rPr>
        <w:t>Cumulative GPU-hours for FPR2 (A, single GPU, ∼38 h total) and CDK2 (B, dual GPU, ∼6 h total). The CDK2 campaign was substantially faster due to the smaller library and dual-GPU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