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4FB84" w14:textId="77777777" w:rsidR="0065655A" w:rsidRDefault="00AF19EF">
      <w:pPr>
        <w:jc w:val="center"/>
      </w:pPr>
      <w:r>
        <w:rPr>
          <w:b/>
        </w:rPr>
        <w:t>Application Note</w:t>
      </w:r>
    </w:p>
    <w:p w14:paraId="34E94552" w14:textId="1BAB4C87" w:rsidR="000C3304" w:rsidRPr="00382D21" w:rsidRDefault="002E3F65">
      <w:pPr>
        <w:jc w:val="center"/>
        <w:rPr>
          <w:b/>
          <w:bCs/>
          <w:sz w:val="28"/>
          <w:szCs w:val="28"/>
        </w:rPr>
      </w:pPr>
      <w:r w:rsidRPr="002E3F65">
        <w:rPr>
          <w:b/>
          <w:bCs/>
          <w:sz w:val="28"/>
          <w:szCs w:val="28"/>
        </w:rPr>
        <w:t xml:space="preserve">Skill-guided </w:t>
      </w:r>
      <w:proofErr w:type="gramStart"/>
      <w:r w:rsidRPr="002E3F65">
        <w:rPr>
          <w:b/>
          <w:bCs/>
          <w:sz w:val="28"/>
          <w:szCs w:val="28"/>
        </w:rPr>
        <w:t>agentic</w:t>
      </w:r>
      <w:proofErr w:type="gramEnd"/>
      <w:r w:rsidRPr="002E3F65">
        <w:rPr>
          <w:b/>
          <w:bCs/>
          <w:sz w:val="28"/>
          <w:szCs w:val="28"/>
        </w:rPr>
        <w:t xml:space="preserve"> AI autonomously drives GPU-accelerated virtual screening</w:t>
      </w:r>
    </w:p>
    <w:p w14:paraId="3D8A2665" w14:textId="4BDE943A" w:rsidR="0065655A" w:rsidRDefault="00AF19EF">
      <w:pPr>
        <w:jc w:val="center"/>
      </w:pPr>
      <w:r>
        <w:t>Osman Gani</w:t>
      </w:r>
    </w:p>
    <w:p w14:paraId="77EFC67B" w14:textId="77777777" w:rsidR="0065655A" w:rsidRDefault="00AF19EF">
      <w:pPr>
        <w:jc w:val="center"/>
      </w:pPr>
      <w:r>
        <w:rPr>
          <w:sz w:val="22"/>
        </w:rPr>
        <w:t>Department of Pharmacy, University of Oslo, 0316 Oslo, Norway</w:t>
      </w:r>
    </w:p>
    <w:p w14:paraId="16894867" w14:textId="56A7A053" w:rsidR="00A26181" w:rsidRDefault="00AF19EF">
      <w:pPr>
        <w:jc w:val="center"/>
      </w:pPr>
      <w:r>
        <w:rPr>
          <w:sz w:val="22"/>
        </w:rPr>
        <w:t xml:space="preserve">Corresponding author: </w:t>
      </w:r>
      <w:hyperlink r:id="rId6" w:history="1">
        <w:r w:rsidR="00A26181" w:rsidRPr="00AA6658">
          <w:rPr>
            <w:rStyle w:val="Hyperlink"/>
            <w:sz w:val="22"/>
          </w:rPr>
          <w:t>osman.gani@farmasi.uio.no</w:t>
        </w:r>
      </w:hyperlink>
    </w:p>
    <w:p w14:paraId="0A3EA390" w14:textId="77777777" w:rsidR="0065655A" w:rsidRDefault="00AF19EF">
      <w:pPr>
        <w:spacing w:before="240" w:after="120"/>
      </w:pPr>
      <w:r>
        <w:rPr>
          <w:b/>
          <w:sz w:val="28"/>
        </w:rPr>
        <w:t>Abstract</w:t>
      </w:r>
    </w:p>
    <w:p w14:paraId="2015854F" w14:textId="1D122ED2" w:rsidR="0065655A" w:rsidRDefault="00AF19EF">
      <w:r>
        <w:rPr>
          <w:b/>
        </w:rPr>
        <w:t xml:space="preserve">Motivation: </w:t>
      </w:r>
      <w:r>
        <w:t xml:space="preserve">Large language model (LLM)-based coding agents can autonomously generate complete computational drug discovery pipelines, yet the quantitative impact of domain knowledge injection on virtual screening (VS) outcomes remains unexplored. Here we present the first controlled benchmark </w:t>
      </w:r>
      <w:r w:rsidR="00E1628D">
        <w:t xml:space="preserve">that </w:t>
      </w:r>
      <w:r>
        <w:t>evaluat</w:t>
      </w:r>
      <w:r w:rsidR="00E1628D">
        <w:t>es</w:t>
      </w:r>
      <w:r>
        <w:t xml:space="preserve"> whether a structured skill file</w:t>
      </w:r>
      <w:r w:rsidR="006932FB">
        <w:t xml:space="preserve"> (</w:t>
      </w:r>
      <w:r>
        <w:t>a concise, machine-readable document encoding expert procedural knowledge</w:t>
      </w:r>
      <w:r w:rsidR="006932FB">
        <w:t xml:space="preserve">) </w:t>
      </w:r>
      <w:r>
        <w:t>measurably improves the discriminatory power of an autonomously generated VS pipeline.</w:t>
      </w:r>
    </w:p>
    <w:p w14:paraId="74A7F1CD" w14:textId="5029D3E4" w:rsidR="0065655A" w:rsidRDefault="00AF19EF">
      <w:r>
        <w:rPr>
          <w:b/>
        </w:rPr>
        <w:t xml:space="preserve">Results: </w:t>
      </w:r>
      <w:r>
        <w:t xml:space="preserve">Claude Code (Claude Opus 4.6), augmented with a 212-line virtual screening skill file, autonomously wrote 18 Python and shell scripts (∼3,100 lines of code) </w:t>
      </w:r>
      <w:r w:rsidR="00A30BAB">
        <w:t xml:space="preserve">that </w:t>
      </w:r>
      <w:r>
        <w:t>implement</w:t>
      </w:r>
      <w:r w:rsidR="00A30BAB">
        <w:t>ed</w:t>
      </w:r>
      <w:r>
        <w:t xml:space="preserve"> a complete GPU-accelerated VS benchmark against the </w:t>
      </w:r>
      <w:r w:rsidR="00A2783E">
        <w:t xml:space="preserve">example receptor </w:t>
      </w:r>
      <w:r w:rsidR="00AF3A8A">
        <w:t>(</w:t>
      </w:r>
      <w:r>
        <w:t xml:space="preserve">formyl peptide receptor </w:t>
      </w:r>
      <w:proofErr w:type="gramStart"/>
      <w:r>
        <w:t xml:space="preserve">2 </w:t>
      </w:r>
      <w:r w:rsidR="00AF3A8A">
        <w:t xml:space="preserve"> or</w:t>
      </w:r>
      <w:proofErr w:type="gramEnd"/>
      <w:r w:rsidR="00AF3A8A">
        <w:t xml:space="preserve"> </w:t>
      </w:r>
      <w:r>
        <w:t>FPR2)</w:t>
      </w:r>
      <w:r w:rsidR="00A30BAB">
        <w:t xml:space="preserve">. </w:t>
      </w:r>
      <w:r w:rsidR="006D6E9B">
        <w:t xml:space="preserve">The ligands were </w:t>
      </w:r>
      <w:proofErr w:type="gramStart"/>
      <w:r w:rsidR="006D6E9B">
        <w:t>retrieved from</w:t>
      </w:r>
      <w:proofErr w:type="gramEnd"/>
      <w:r w:rsidR="006D6E9B">
        <w:t xml:space="preserve"> </w:t>
      </w:r>
      <w:proofErr w:type="spellStart"/>
      <w:r>
        <w:t>from</w:t>
      </w:r>
      <w:proofErr w:type="spellEnd"/>
      <w:r>
        <w:t xml:space="preserve"> </w:t>
      </w:r>
      <w:proofErr w:type="spellStart"/>
      <w:r>
        <w:t>ChEMBL</w:t>
      </w:r>
      <w:proofErr w:type="spellEnd"/>
      <w:r w:rsidR="00DE1DF9">
        <w:t xml:space="preserve">, Uni-dock was used docking </w:t>
      </w:r>
      <w:r>
        <w:t>on dual NVIDIA RTX 4500 Ada GPUs to bootstrap statistical evaluation</w:t>
      </w:r>
      <w:r w:rsidR="00C03FC8">
        <w:t xml:space="preserve"> </w:t>
      </w:r>
      <w:r>
        <w:t>without any human code editing. The skill-guided protocol achieved an ROC AUC of 0.710 compared with 0.658 for the naive baseline (ΔAUC = +0.048, DeLong p = 0.004). All code and pre-computed scores are provided for independent reproduction.</w:t>
      </w:r>
    </w:p>
    <w:p w14:paraId="69F437F6" w14:textId="77777777" w:rsidR="0065655A" w:rsidRDefault="00AF19EF">
      <w:r>
        <w:rPr>
          <w:b/>
        </w:rPr>
        <w:t xml:space="preserve">Availability and implementation: </w:t>
      </w:r>
      <w:r>
        <w:t xml:space="preserve">All code and data are available at https://github.com/oslo-medchem/vs-benchmark-agentic-ai under the MIT </w:t>
      </w:r>
      <w:proofErr w:type="spellStart"/>
      <w:r>
        <w:t>licence</w:t>
      </w:r>
      <w:proofErr w:type="spellEnd"/>
      <w:r>
        <w:t>. The skill file is included in the repository.</w:t>
      </w:r>
    </w:p>
    <w:p w14:paraId="5913C72F" w14:textId="2C637B07" w:rsidR="0065655A" w:rsidRDefault="00AF19EF">
      <w:r>
        <w:rPr>
          <w:b/>
        </w:rPr>
        <w:lastRenderedPageBreak/>
        <w:t xml:space="preserve">Contact: </w:t>
      </w:r>
      <w:hyperlink r:id="rId7" w:history="1">
        <w:r w:rsidR="00236AF8" w:rsidRPr="00AA6658">
          <w:rPr>
            <w:rStyle w:val="Hyperlink"/>
            <w:sz w:val="22"/>
          </w:rPr>
          <w:t>osman.gani@farmasi.uio.no</w:t>
        </w:r>
      </w:hyperlink>
    </w:p>
    <w:p w14:paraId="66CD48B6" w14:textId="77777777" w:rsidR="0065655A" w:rsidRDefault="00AF19EF">
      <w:r>
        <w:rPr>
          <w:b/>
        </w:rPr>
        <w:t xml:space="preserve">Supplementary information: </w:t>
      </w:r>
      <w:r>
        <w:t xml:space="preserve">Supplementary data are available at </w:t>
      </w:r>
      <w:r>
        <w:rPr>
          <w:i/>
        </w:rPr>
        <w:t>Bioinformatics</w:t>
      </w:r>
      <w:r>
        <w:t xml:space="preserve"> online.</w:t>
      </w:r>
    </w:p>
    <w:p w14:paraId="6C6B6ADF" w14:textId="77777777" w:rsidR="0065655A" w:rsidRDefault="00AF19EF">
      <w:pPr>
        <w:spacing w:before="240" w:after="120"/>
      </w:pPr>
      <w:r>
        <w:rPr>
          <w:b/>
          <w:sz w:val="28"/>
        </w:rPr>
        <w:t>1 Introduction</w:t>
      </w:r>
    </w:p>
    <w:p w14:paraId="6FEFD768" w14:textId="79D0E0B8" w:rsidR="0065655A" w:rsidRDefault="00AF19EF">
      <w:r>
        <w:t xml:space="preserve">Virtual screening (VS) constitutes a cornerstone of early-stage drug discovery, enabling the rapid computational </w:t>
      </w:r>
      <w:proofErr w:type="spellStart"/>
      <w:r>
        <w:t>prioritisation</w:t>
      </w:r>
      <w:proofErr w:type="spellEnd"/>
      <w:r>
        <w:t xml:space="preserve"> of candidate molecules from large chemical libraries for subsequent experimental validation (Schneider et al., 2020). The advent of GPU-accelerated docking engines such as Uni-Dock (Yu et al., 2023), which achieves throughputs exceeding 1,000 ligands per minute on commodity hardware, has rendered </w:t>
      </w:r>
      <w:proofErr w:type="spellStart"/>
      <w:r>
        <w:t>ultralarge</w:t>
      </w:r>
      <w:proofErr w:type="spellEnd"/>
      <w:r>
        <w:t>-scale VS campaigns technically accessible. However, the design and execution of a rigorous VS pipeline</w:t>
      </w:r>
      <w:r w:rsidR="007E5216">
        <w:t xml:space="preserve"> that </w:t>
      </w:r>
      <w:proofErr w:type="gramStart"/>
      <w:r>
        <w:t>encompass</w:t>
      </w:r>
      <w:proofErr w:type="gramEnd"/>
      <w:r>
        <w:t xml:space="preserve"> receptor preparation, ligand conformer generation, substructure filtering, docking </w:t>
      </w:r>
      <w:proofErr w:type="spellStart"/>
      <w:r>
        <w:t>parameterisation</w:t>
      </w:r>
      <w:proofErr w:type="spellEnd"/>
      <w:r>
        <w:t>, and multi-metric statistical evaluation</w:t>
      </w:r>
      <w:r w:rsidR="00CF4F82">
        <w:t xml:space="preserve"> </w:t>
      </w:r>
      <w:r>
        <w:t>ha</w:t>
      </w:r>
      <w:r w:rsidR="00CF4F82">
        <w:t>ve</w:t>
      </w:r>
      <w:r>
        <w:t xml:space="preserve"> traditionally demanded expertise spanning structural biology, cheminformatics, and biostatistics.</w:t>
      </w:r>
    </w:p>
    <w:p w14:paraId="5F27AE49" w14:textId="43B6DAB2" w:rsidR="0065655A" w:rsidRDefault="00AF19EF">
      <w:r>
        <w:t>LLM-based coding agents, most prominently Claude Code (Anthropic, 2024) and comparable systems (Boiko et al., 2023; Bran et al., 2024), represent a qualitative shift in this landscape. Such agents can interpret natural-language instructions and autonomously generate executable code without human intervention at the code level. Recent reviews have catalogued their expanding capabilities across chemical research domains (Ramos et al., 2025). Nevertheless, a general-purpose coding agent lacking domain-specific guidance will typically produce syntactically valid but methodologically naïve pipelines</w:t>
      </w:r>
      <w:r w:rsidR="0004241A">
        <w:t>. F</w:t>
      </w:r>
      <w:r>
        <w:t xml:space="preserve">or </w:t>
      </w:r>
      <w:r w:rsidR="00E27FC5">
        <w:t>example,</w:t>
      </w:r>
      <w:r>
        <w:t xml:space="preserve"> </w:t>
      </w:r>
      <w:proofErr w:type="spellStart"/>
      <w:r>
        <w:t>OpenBabel</w:t>
      </w:r>
      <w:proofErr w:type="spellEnd"/>
      <w:r>
        <w:t xml:space="preserve"> gen3d for conformer generation, default </w:t>
      </w:r>
      <w:r w:rsidR="00E27FC5">
        <w:t xml:space="preserve">grid box size for </w:t>
      </w:r>
      <w:r>
        <w:t>docking, and no structural filtering</w:t>
      </w:r>
      <w:r w:rsidR="005559F2">
        <w:t xml:space="preserve"> are </w:t>
      </w:r>
      <w:r>
        <w:t>known to be suboptimal for structure-based VS (Huang et al., 2006; Truchon and Bayly, 2007).</w:t>
      </w:r>
    </w:p>
    <w:p w14:paraId="105609F4" w14:textId="5364AA59" w:rsidR="0065655A" w:rsidRDefault="00AF19EF">
      <w:r>
        <w:t>Structured skill files</w:t>
      </w:r>
      <w:r w:rsidR="001941FF">
        <w:t xml:space="preserve"> are </w:t>
      </w:r>
      <w:r>
        <w:t xml:space="preserve">concise, machine-readable documents that </w:t>
      </w:r>
      <w:r w:rsidR="00430947">
        <w:t>incorporate e</w:t>
      </w:r>
      <w:r>
        <w:t>xpert procedural knowledge</w:t>
      </w:r>
      <w:r w:rsidR="00430947">
        <w:t xml:space="preserve"> into the pipeline</w:t>
      </w:r>
      <w:r w:rsidR="003D2312">
        <w:t xml:space="preserve">. These files </w:t>
      </w:r>
      <w:r>
        <w:t xml:space="preserve">offer a lightweight mechanism for </w:t>
      </w:r>
      <w:r>
        <w:lastRenderedPageBreak/>
        <w:t>injecting domain expertise into LLM agents without model fine-tuning or retrieval-augmented generation (Anthropic, 2024). A skill file is loaded into the agent’s context window at the outset of a session, whereafter the agent follows the encoded conventions. The quantitative impact of such knowledge injection on downstream VS performance has not, to our knowledge, been evaluated in a controlled setting.</w:t>
      </w:r>
    </w:p>
    <w:p w14:paraId="4FC88A8A" w14:textId="76927696" w:rsidR="0065655A" w:rsidRDefault="00AF19EF">
      <w:r>
        <w:t>Here we present a controlled benchmark in which Claude Code</w:t>
      </w:r>
      <w:r w:rsidR="001815C5">
        <w:t xml:space="preserve">, </w:t>
      </w:r>
      <w:r>
        <w:t>operating with and without a dedicated virtual-screening-pipeline skill file (212 lines)</w:t>
      </w:r>
      <w:r w:rsidR="001815C5">
        <w:t xml:space="preserve">, </w:t>
      </w:r>
      <w:r>
        <w:t>autonomously generated a complete GPU-accelerated VS pipeline targeting FPR2 (CHEMBL4227, PDB 7T6S; Liao et al., 2022; Liu et al., 2022). The agent produced 18 scripts comprising ∼3,100 lines of code without human code editing. We report the first quantitative evidence that structured skill files measurably improve global VS discrimination.</w:t>
      </w:r>
    </w:p>
    <w:p w14:paraId="5B77B31D" w14:textId="77777777" w:rsidR="0065655A" w:rsidRDefault="00AF19EF">
      <w:pPr>
        <w:spacing w:before="240" w:after="120"/>
      </w:pPr>
      <w:r>
        <w:rPr>
          <w:b/>
          <w:sz w:val="28"/>
        </w:rPr>
        <w:t>2 Materials and Methods</w:t>
      </w:r>
    </w:p>
    <w:p w14:paraId="1A1F375B" w14:textId="77777777" w:rsidR="0065655A" w:rsidRDefault="00AF19EF">
      <w:pPr>
        <w:spacing w:before="240" w:after="120"/>
      </w:pPr>
      <w:r>
        <w:rPr>
          <w:b/>
        </w:rPr>
        <w:t>2.1 Agentic pipeline generation</w:t>
      </w:r>
    </w:p>
    <w:p w14:paraId="3A9B4D0A" w14:textId="7F7088CA" w:rsidR="0065655A" w:rsidRDefault="00AF19EF">
      <w:r>
        <w:t xml:space="preserve">All computational protocols were designed and executed by Claude Code powered by Claude Opus 4.6 (Anthropic, 2024). Two parallel pipelines were generated in response to identical natural-language instructions: one by the base agent (naive) and one by the agent augmented with the virtual-screening-pipeline skill file (skill-guided). The skill file (212 lines) encodes expert conventions for receptor and ligand preparation, substructure filtering, </w:t>
      </w:r>
      <w:r w:rsidR="00296D1F">
        <w:t xml:space="preserve">grid </w:t>
      </w:r>
      <w:r>
        <w:t>box siz</w:t>
      </w:r>
      <w:r w:rsidR="00266C2E">
        <w:t>e determination</w:t>
      </w:r>
      <w:r>
        <w:t>, and exhaustiveness settings</w:t>
      </w:r>
      <w:r w:rsidR="00266C2E">
        <w:t xml:space="preserve">. This file </w:t>
      </w:r>
      <w:r>
        <w:t xml:space="preserve">is </w:t>
      </w:r>
      <w:r w:rsidR="00266C2E">
        <w:t>human readable</w:t>
      </w:r>
      <w:r>
        <w:t>, editable, and requires no model fine-tuning.</w:t>
      </w:r>
    </w:p>
    <w:p w14:paraId="72E74E33" w14:textId="77777777" w:rsidR="0065655A" w:rsidRDefault="00AF19EF">
      <w:r>
        <w:t xml:space="preserve">The agent autonomously produced 15 Python scripts (2,947 lines) and 3 shell scripts (156 lines), implementing a six-stage pipeline: (1) active curation from </w:t>
      </w:r>
      <w:proofErr w:type="spellStart"/>
      <w:r>
        <w:t>ChEMBL</w:t>
      </w:r>
      <w:proofErr w:type="spellEnd"/>
      <w:r>
        <w:t xml:space="preserve">, (2) property-matched decoy generation, (3) combined library preparation with two independent ligand/receptor preparation protocols, (4) GPU docking with Uni-Dock, (5) statistical </w:t>
      </w:r>
      <w:r>
        <w:lastRenderedPageBreak/>
        <w:t>evaluation with bootstrap confidence intervals, and (6) publication-ready figure generation. No human code editing was performed.</w:t>
      </w:r>
    </w:p>
    <w:p w14:paraId="2EAFE500" w14:textId="77777777" w:rsidR="0065655A" w:rsidRDefault="00AF19EF">
      <w:r>
        <w:t>Docking was executed on two NVIDIA RTX 4500 Ada GPUs (24 GB VRAM each, CUDA 12.9) using Uni-Dock v1.1.3 (Yu et al., 2023) in batch mode.</w:t>
      </w:r>
    </w:p>
    <w:p w14:paraId="2CF10F30" w14:textId="77777777" w:rsidR="0065655A" w:rsidRDefault="00AF19EF">
      <w:pPr>
        <w:spacing w:before="240" w:after="120"/>
      </w:pPr>
      <w:r>
        <w:rPr>
          <w:b/>
        </w:rPr>
        <w:t>2.2 Dataset</w:t>
      </w:r>
    </w:p>
    <w:p w14:paraId="36E06447" w14:textId="77777777" w:rsidR="0065655A" w:rsidRDefault="00AF19EF">
      <w:r>
        <w:t>FPR2 bioactivities (</w:t>
      </w:r>
      <w:proofErr w:type="spellStart"/>
      <w:r>
        <w:t>pChEMBL</w:t>
      </w:r>
      <w:proofErr w:type="spellEnd"/>
      <w:r>
        <w:t xml:space="preserve"> ≥ 5) were retrieved from </w:t>
      </w:r>
      <w:proofErr w:type="spellStart"/>
      <w:r>
        <w:t>ChEMBL</w:t>
      </w:r>
      <w:proofErr w:type="spellEnd"/>
      <w:r>
        <w:t xml:space="preserve"> v33 (</w:t>
      </w:r>
      <w:proofErr w:type="spellStart"/>
      <w:r>
        <w:t>Zdrazil</w:t>
      </w:r>
      <w:proofErr w:type="spellEnd"/>
      <w:r>
        <w:t xml:space="preserve"> et al., 2024) via the REST API (n = 382 after deduplication and salt stripping). Butina clustering (Butina, 1999; Tanimoto distance threshold 0.4, ECFP4 fingerprints) with selection of the highest-</w:t>
      </w:r>
      <w:proofErr w:type="spellStart"/>
      <w:r>
        <w:t>pChEMBL</w:t>
      </w:r>
      <w:proofErr w:type="spellEnd"/>
      <w:r>
        <w:t xml:space="preserve"> representative per cluster yielded 100 structurally diverse actives. Property-matched decoys (n = 4,780) were assembled from a pre-downloaded </w:t>
      </w:r>
      <w:proofErr w:type="spellStart"/>
      <w:r>
        <w:t>ChEMBL</w:t>
      </w:r>
      <w:proofErr w:type="spellEnd"/>
      <w:r>
        <w:t xml:space="preserve"> compound pool using matching windows of MW ±25 Da, </w:t>
      </w:r>
      <w:proofErr w:type="spellStart"/>
      <w:r>
        <w:t>cLogP</w:t>
      </w:r>
      <w:proofErr w:type="spellEnd"/>
      <w:r>
        <w:t xml:space="preserve"> ±1.5, HBD ±1, HBA ±2, rotatable bonds ±2, and a maximum Tanimoto similarity of 0.35 to any active (ECFP4). The combined library comprised 4,880 compounds (</w:t>
      </w:r>
      <w:proofErr w:type="spellStart"/>
      <w:r>
        <w:t>active:decoy</w:t>
      </w:r>
      <w:proofErr w:type="spellEnd"/>
      <w:r>
        <w:t xml:space="preserve"> ratio ≈ 1:48).</w:t>
      </w:r>
    </w:p>
    <w:p w14:paraId="5973C857" w14:textId="77777777" w:rsidR="0065655A" w:rsidRDefault="00AF19EF">
      <w:pPr>
        <w:spacing w:before="240" w:after="120"/>
      </w:pPr>
      <w:r>
        <w:rPr>
          <w:b/>
        </w:rPr>
        <w:t>2.3 Protocol comparison</w:t>
      </w:r>
    </w:p>
    <w:tbl>
      <w:tblPr>
        <w:tblStyle w:val="TableGrid"/>
        <w:tblW w:w="0" w:type="auto"/>
        <w:tblLook w:val="04A0" w:firstRow="1" w:lastRow="0" w:firstColumn="1" w:lastColumn="0" w:noHBand="0" w:noVBand="1"/>
      </w:tblPr>
      <w:tblGrid>
        <w:gridCol w:w="3009"/>
        <w:gridCol w:w="3009"/>
        <w:gridCol w:w="3009"/>
      </w:tblGrid>
      <w:tr w:rsidR="0065655A" w14:paraId="40925033" w14:textId="77777777">
        <w:tc>
          <w:tcPr>
            <w:tcW w:w="3009" w:type="dxa"/>
          </w:tcPr>
          <w:p w14:paraId="49D9958F" w14:textId="77777777" w:rsidR="0065655A" w:rsidRDefault="00AF19EF">
            <w:r>
              <w:rPr>
                <w:b/>
                <w:sz w:val="20"/>
              </w:rPr>
              <w:t>Parameter</w:t>
            </w:r>
          </w:p>
        </w:tc>
        <w:tc>
          <w:tcPr>
            <w:tcW w:w="3009" w:type="dxa"/>
          </w:tcPr>
          <w:p w14:paraId="3B4B74A1" w14:textId="77777777" w:rsidR="0065655A" w:rsidRDefault="00AF19EF">
            <w:r>
              <w:rPr>
                <w:b/>
                <w:sz w:val="20"/>
              </w:rPr>
              <w:t>Naive</w:t>
            </w:r>
          </w:p>
        </w:tc>
        <w:tc>
          <w:tcPr>
            <w:tcW w:w="3009" w:type="dxa"/>
          </w:tcPr>
          <w:p w14:paraId="58C60A9F" w14:textId="77777777" w:rsidR="0065655A" w:rsidRDefault="00AF19EF">
            <w:r>
              <w:rPr>
                <w:b/>
                <w:sz w:val="20"/>
              </w:rPr>
              <w:t>Skill-guided</w:t>
            </w:r>
          </w:p>
        </w:tc>
      </w:tr>
      <w:tr w:rsidR="0065655A" w14:paraId="1B14FC61" w14:textId="77777777">
        <w:tc>
          <w:tcPr>
            <w:tcW w:w="3009" w:type="dxa"/>
          </w:tcPr>
          <w:p w14:paraId="481B9795" w14:textId="77777777" w:rsidR="0065655A" w:rsidRDefault="00AF19EF">
            <w:r>
              <w:rPr>
                <w:sz w:val="20"/>
              </w:rPr>
              <w:t>Ligand 3D generation</w:t>
            </w:r>
          </w:p>
        </w:tc>
        <w:tc>
          <w:tcPr>
            <w:tcW w:w="3009" w:type="dxa"/>
          </w:tcPr>
          <w:p w14:paraId="65930DE9" w14:textId="77777777" w:rsidR="0065655A" w:rsidRDefault="00AF19EF">
            <w:proofErr w:type="spellStart"/>
            <w:r>
              <w:rPr>
                <w:sz w:val="20"/>
              </w:rPr>
              <w:t>OpenBabel</w:t>
            </w:r>
            <w:proofErr w:type="spellEnd"/>
            <w:r>
              <w:rPr>
                <w:sz w:val="20"/>
              </w:rPr>
              <w:t xml:space="preserve"> gen3d</w:t>
            </w:r>
          </w:p>
        </w:tc>
        <w:tc>
          <w:tcPr>
            <w:tcW w:w="3009" w:type="dxa"/>
          </w:tcPr>
          <w:p w14:paraId="55899B3B" w14:textId="77777777" w:rsidR="0065655A" w:rsidRDefault="00AF19EF">
            <w:r>
              <w:rPr>
                <w:sz w:val="20"/>
              </w:rPr>
              <w:t>RDKit ETKDGv3</w:t>
            </w:r>
          </w:p>
        </w:tc>
      </w:tr>
      <w:tr w:rsidR="0065655A" w14:paraId="12A9F2A9" w14:textId="77777777">
        <w:tc>
          <w:tcPr>
            <w:tcW w:w="3009" w:type="dxa"/>
          </w:tcPr>
          <w:p w14:paraId="0F22D5D4" w14:textId="77777777" w:rsidR="0065655A" w:rsidRDefault="00AF19EF">
            <w:r>
              <w:rPr>
                <w:sz w:val="20"/>
              </w:rPr>
              <w:t>PDBQT preparation</w:t>
            </w:r>
          </w:p>
        </w:tc>
        <w:tc>
          <w:tcPr>
            <w:tcW w:w="3009" w:type="dxa"/>
          </w:tcPr>
          <w:p w14:paraId="4671EF85" w14:textId="77777777" w:rsidR="0065655A" w:rsidRDefault="00AF19EF">
            <w:proofErr w:type="spellStart"/>
            <w:r>
              <w:rPr>
                <w:sz w:val="20"/>
              </w:rPr>
              <w:t>OpenBabel</w:t>
            </w:r>
            <w:proofErr w:type="spellEnd"/>
          </w:p>
        </w:tc>
        <w:tc>
          <w:tcPr>
            <w:tcW w:w="3009" w:type="dxa"/>
          </w:tcPr>
          <w:p w14:paraId="1BFEA26D" w14:textId="77777777" w:rsidR="0065655A" w:rsidRDefault="00AF19EF">
            <w:r>
              <w:rPr>
                <w:sz w:val="20"/>
              </w:rPr>
              <w:t>Meeko 0.7.1</w:t>
            </w:r>
          </w:p>
        </w:tc>
      </w:tr>
      <w:tr w:rsidR="0065655A" w14:paraId="4DF252F6" w14:textId="77777777">
        <w:tc>
          <w:tcPr>
            <w:tcW w:w="3009" w:type="dxa"/>
          </w:tcPr>
          <w:p w14:paraId="1CCF06AD" w14:textId="77777777" w:rsidR="0065655A" w:rsidRDefault="00AF19EF">
            <w:r>
              <w:rPr>
                <w:sz w:val="20"/>
              </w:rPr>
              <w:t>Structural filters</w:t>
            </w:r>
          </w:p>
        </w:tc>
        <w:tc>
          <w:tcPr>
            <w:tcW w:w="3009" w:type="dxa"/>
          </w:tcPr>
          <w:p w14:paraId="4D3FE70D" w14:textId="77777777" w:rsidR="0065655A" w:rsidRDefault="00AF19EF">
            <w:r>
              <w:rPr>
                <w:sz w:val="20"/>
              </w:rPr>
              <w:t>None</w:t>
            </w:r>
          </w:p>
        </w:tc>
        <w:tc>
          <w:tcPr>
            <w:tcW w:w="3009" w:type="dxa"/>
          </w:tcPr>
          <w:p w14:paraId="278FAD26" w14:textId="77777777" w:rsidR="0065655A" w:rsidRDefault="00AF19EF">
            <w:r>
              <w:rPr>
                <w:sz w:val="20"/>
              </w:rPr>
              <w:t>PAINS A/B/C + Brenk</w:t>
            </w:r>
          </w:p>
        </w:tc>
      </w:tr>
      <w:tr w:rsidR="0065655A" w14:paraId="0C905153" w14:textId="77777777">
        <w:tc>
          <w:tcPr>
            <w:tcW w:w="3009" w:type="dxa"/>
          </w:tcPr>
          <w:p w14:paraId="64657E22" w14:textId="77777777" w:rsidR="0065655A" w:rsidRDefault="00AF19EF">
            <w:r>
              <w:rPr>
                <w:sz w:val="20"/>
              </w:rPr>
              <w:t>Receptor preparation</w:t>
            </w:r>
          </w:p>
        </w:tc>
        <w:tc>
          <w:tcPr>
            <w:tcW w:w="3009" w:type="dxa"/>
          </w:tcPr>
          <w:p w14:paraId="24A4C53B" w14:textId="77777777" w:rsidR="0065655A" w:rsidRDefault="00AF19EF">
            <w:proofErr w:type="spellStart"/>
            <w:r>
              <w:rPr>
                <w:sz w:val="20"/>
              </w:rPr>
              <w:t>OpenBabel</w:t>
            </w:r>
            <w:proofErr w:type="spellEnd"/>
          </w:p>
        </w:tc>
        <w:tc>
          <w:tcPr>
            <w:tcW w:w="3009" w:type="dxa"/>
          </w:tcPr>
          <w:p w14:paraId="602F2AF8" w14:textId="77777777" w:rsidR="0065655A" w:rsidRDefault="00AF19EF">
            <w:r>
              <w:rPr>
                <w:sz w:val="20"/>
              </w:rPr>
              <w:t>Meeko mk_prepare_receptor.py</w:t>
            </w:r>
          </w:p>
        </w:tc>
      </w:tr>
      <w:tr w:rsidR="0065655A" w14:paraId="7B206FE7" w14:textId="77777777">
        <w:tc>
          <w:tcPr>
            <w:tcW w:w="3009" w:type="dxa"/>
          </w:tcPr>
          <w:p w14:paraId="178C9FD7" w14:textId="77777777" w:rsidR="0065655A" w:rsidRDefault="00AF19EF">
            <w:r>
              <w:rPr>
                <w:sz w:val="20"/>
              </w:rPr>
              <w:t>Box size (Å)</w:t>
            </w:r>
          </w:p>
        </w:tc>
        <w:tc>
          <w:tcPr>
            <w:tcW w:w="3009" w:type="dxa"/>
          </w:tcPr>
          <w:p w14:paraId="08DCC7E9" w14:textId="77777777" w:rsidR="0065655A" w:rsidRDefault="00AF19EF">
            <w:r>
              <w:rPr>
                <w:sz w:val="20"/>
              </w:rPr>
              <w:t>20</w:t>
            </w:r>
          </w:p>
        </w:tc>
        <w:tc>
          <w:tcPr>
            <w:tcW w:w="3009" w:type="dxa"/>
          </w:tcPr>
          <w:p w14:paraId="18EDF017" w14:textId="77777777" w:rsidR="0065655A" w:rsidRDefault="00AF19EF">
            <w:r>
              <w:rPr>
                <w:sz w:val="20"/>
              </w:rPr>
              <w:t>25</w:t>
            </w:r>
          </w:p>
        </w:tc>
      </w:tr>
      <w:tr w:rsidR="0065655A" w14:paraId="2494ACF0" w14:textId="77777777">
        <w:tc>
          <w:tcPr>
            <w:tcW w:w="3009" w:type="dxa"/>
          </w:tcPr>
          <w:p w14:paraId="2671F10C" w14:textId="77777777" w:rsidR="0065655A" w:rsidRDefault="00AF19EF">
            <w:r>
              <w:rPr>
                <w:sz w:val="20"/>
              </w:rPr>
              <w:t>Exhaustiveness</w:t>
            </w:r>
          </w:p>
        </w:tc>
        <w:tc>
          <w:tcPr>
            <w:tcW w:w="3009" w:type="dxa"/>
          </w:tcPr>
          <w:p w14:paraId="7C392436" w14:textId="77777777" w:rsidR="0065655A" w:rsidRDefault="00AF19EF">
            <w:r>
              <w:rPr>
                <w:sz w:val="20"/>
              </w:rPr>
              <w:t>8</w:t>
            </w:r>
          </w:p>
        </w:tc>
        <w:tc>
          <w:tcPr>
            <w:tcW w:w="3009" w:type="dxa"/>
          </w:tcPr>
          <w:p w14:paraId="372F1711" w14:textId="77777777" w:rsidR="0065655A" w:rsidRDefault="00AF19EF">
            <w:r>
              <w:rPr>
                <w:sz w:val="20"/>
              </w:rPr>
              <w:t>32</w:t>
            </w:r>
          </w:p>
        </w:tc>
      </w:tr>
    </w:tbl>
    <w:p w14:paraId="76BB2AC8" w14:textId="77777777" w:rsidR="0065655A" w:rsidRDefault="0065655A"/>
    <w:p w14:paraId="05653252" w14:textId="77777777" w:rsidR="0065655A" w:rsidRDefault="00AF19EF">
      <w:r>
        <w:rPr>
          <w:b/>
        </w:rPr>
        <w:t xml:space="preserve">Table 1. </w:t>
      </w:r>
      <w:r>
        <w:t xml:space="preserve">Protocol comparison between naive and skill-guided pipelines. Both protocols used the same docking box </w:t>
      </w:r>
      <w:proofErr w:type="spellStart"/>
      <w:r>
        <w:t>centre</w:t>
      </w:r>
      <w:proofErr w:type="spellEnd"/>
      <w:r>
        <w:t>, derived from the centroid of the co-</w:t>
      </w:r>
      <w:proofErr w:type="spellStart"/>
      <w:r>
        <w:t>crystallised</w:t>
      </w:r>
      <w:proofErr w:type="spellEnd"/>
      <w:r>
        <w:t xml:space="preserve"> FUI ligand in PDB 7T6S chain R.</w:t>
      </w:r>
    </w:p>
    <w:p w14:paraId="16482A6A" w14:textId="77777777" w:rsidR="0065655A" w:rsidRDefault="00AF19EF">
      <w:pPr>
        <w:spacing w:before="240" w:after="120"/>
      </w:pPr>
      <w:r>
        <w:rPr>
          <w:b/>
        </w:rPr>
        <w:lastRenderedPageBreak/>
        <w:t>2.4 Evaluation metrics and statistical analysis</w:t>
      </w:r>
    </w:p>
    <w:p w14:paraId="698FE7F1" w14:textId="77777777" w:rsidR="0065655A" w:rsidRDefault="00AF19EF">
      <w:r>
        <w:t>All metrics treat more-negative docking scores as higher rank. Primary metrics are ROC AUC, BEDROC(α=20) (Truchon and Bayly, 2007), EF at 1%, 5%, and 10% (Huang et al., 2006). Bootstrap 95% confidence intervals (</w:t>
      </w:r>
      <w:proofErr w:type="spellStart"/>
      <w:r>
        <w:t>BCa</w:t>
      </w:r>
      <w:proofErr w:type="spellEnd"/>
      <w:r>
        <w:t>, n = 10,000) were computed for all metrics. AUC comparison employed DeLong’s non-parametric test (DeLong et al., 1988); metric differences were assessed by permutation tests (n = 10,000). Within-protocol active vs. decoy score distributions were compared by the Mann–Whitney U test. All p-values were corrected by the Benjamini–Hochberg procedure (Benjamini and Hochberg, 1995).</w:t>
      </w:r>
    </w:p>
    <w:p w14:paraId="50C1F4AC" w14:textId="77777777" w:rsidR="0065655A" w:rsidRDefault="00AF19EF">
      <w:pPr>
        <w:spacing w:before="240" w:after="120"/>
      </w:pPr>
      <w:r>
        <w:rPr>
          <w:b/>
          <w:sz w:val="28"/>
        </w:rPr>
        <w:t>3 Results</w:t>
      </w:r>
    </w:p>
    <w:p w14:paraId="3BD44872" w14:textId="77777777" w:rsidR="0065655A" w:rsidRDefault="00AF19EF">
      <w:pPr>
        <w:spacing w:before="240" w:after="120"/>
      </w:pPr>
      <w:r>
        <w:rPr>
          <w:b/>
        </w:rPr>
        <w:t>3.1 Autonomous pipeline generation</w:t>
      </w:r>
    </w:p>
    <w:p w14:paraId="59EC0EB6" w14:textId="60B725AE" w:rsidR="0065655A" w:rsidRDefault="00AF19EF">
      <w:r>
        <w:t xml:space="preserve">Claude Code autonomously generated 18 scripts (∼3,100 lines) implementing the complete VS pipeline from </w:t>
      </w:r>
      <w:proofErr w:type="spellStart"/>
      <w:r>
        <w:t>ChEMBL</w:t>
      </w:r>
      <w:proofErr w:type="spellEnd"/>
      <w:r>
        <w:t xml:space="preserve"> API query through GPU docking to statistical figures. When guided by the skill file, the agent incorporated ETKDGv3 conformer generation, Meeko-based PDBQT preparation, and PAINS/Brenk substructure filtering</w:t>
      </w:r>
      <w:r w:rsidR="00267739">
        <w:t xml:space="preserve"> (</w:t>
      </w:r>
      <w:r>
        <w:t>none of which appeared in the naive pipeline</w:t>
      </w:r>
      <w:r w:rsidR="00267739">
        <w:t>)</w:t>
      </w:r>
      <w:r>
        <w:t>.</w:t>
      </w:r>
    </w:p>
    <w:p w14:paraId="4FFD3907" w14:textId="77777777" w:rsidR="0065655A" w:rsidRDefault="00AF19EF">
      <w:pPr>
        <w:spacing w:before="240" w:after="120"/>
      </w:pPr>
      <w:r>
        <w:rPr>
          <w:b/>
        </w:rPr>
        <w:t>3.2 Library composition</w:t>
      </w:r>
    </w:p>
    <w:p w14:paraId="4081A460" w14:textId="7DFDC846" w:rsidR="0065655A" w:rsidRDefault="00AF19EF">
      <w:r>
        <w:t xml:space="preserve">The naive library comprised 4,632 valid ligands (89 actives, 4,543 decoys after PDBQT validation). The skill-guided library comprised 4,082 ligands (93 actives, 3,989 decoys); 762 compounds (15.6% of the original library) were removed by PAINS/Brenk filtering. A greater proportion of actives survived filtration (93%) than decoys </w:t>
      </w:r>
      <w:proofErr w:type="gramStart"/>
      <w:r>
        <w:t>(</w:t>
      </w:r>
      <w:r w:rsidR="008F454F">
        <w:t xml:space="preserve"> ~</w:t>
      </w:r>
      <w:proofErr w:type="gramEnd"/>
      <w:r w:rsidR="005F23D3">
        <w:t xml:space="preserve"> </w:t>
      </w:r>
      <w:r>
        <w:t>84%), consistent with the expectation that confirmed bioactive compounds are less likely to contain pan-assay interference substructures.</w:t>
      </w:r>
    </w:p>
    <w:p w14:paraId="488BC0C1" w14:textId="77777777" w:rsidR="0065655A" w:rsidRDefault="00AF19EF">
      <w:pPr>
        <w:spacing w:before="240" w:after="120"/>
      </w:pPr>
      <w:r>
        <w:rPr>
          <w:b/>
        </w:rPr>
        <w:t>3.3 Global discrimination</w:t>
      </w:r>
    </w:p>
    <w:p w14:paraId="346E89B3" w14:textId="77777777" w:rsidR="0065655A" w:rsidRDefault="00AF19EF">
      <w:r>
        <w:lastRenderedPageBreak/>
        <w:t xml:space="preserve">ROC AUC increased from 0.658 (95% CI [0.591, 0.713]) for the naive protocol to 0.710 (95% CI [0.650, 0.748]) for the skill-guided protocol (Figure 1A). DeLong’s test confirmed a statistically significant improvement (ΔAUC = +0.048, z = 2.90, p = 0.004, </w:t>
      </w:r>
      <w:proofErr w:type="spellStart"/>
      <w:r>
        <w:t>p_BH</w:t>
      </w:r>
      <w:proofErr w:type="spellEnd"/>
      <w:r>
        <w:t xml:space="preserve"> = 0.009). Mann–Whitney U tests demonstrated significant active–decoy separation for both protocols (p &lt; 10⁻¹⁰; rank-biserial r = 0.44 naive, 0.40 skill).</w:t>
      </w:r>
    </w:p>
    <w:p w14:paraId="0FA56CD9" w14:textId="77777777" w:rsidR="0065655A" w:rsidRDefault="00AF19EF">
      <w:pPr>
        <w:spacing w:before="240" w:after="120"/>
      </w:pPr>
      <w:r>
        <w:rPr>
          <w:b/>
        </w:rPr>
        <w:t>3.4 Early enrichment and the PAINS filtering artefact</w:t>
      </w:r>
    </w:p>
    <w:p w14:paraId="584D8BFC" w14:textId="5B79097C" w:rsidR="0065655A" w:rsidRDefault="00AF19EF">
      <w:r>
        <w:t>BEDROC(α=20) was 0.109 (skill) vs. 0.135 (naive), and EF at 1% was 0.00 vs. 2.99. Neither difference reached significance after Benjamini–Hochberg correction (</w:t>
      </w:r>
      <w:proofErr w:type="spellStart"/>
      <w:r>
        <w:t>p_BH</w:t>
      </w:r>
      <w:proofErr w:type="spellEnd"/>
      <w:r>
        <w:t xml:space="preserve"> = 0.31 and 0.12, respectively). These decrements are attributable to seven actives that were removed by PAINS/Brenk filtering but retained in the ground-truth label set; these compounds were assigned worst-rank docking scores in the skill evaluation, thereby collapsing early enrichment metrics. This constitutes a benchmark design artefact</w:t>
      </w:r>
      <w:r w:rsidR="002E7F75">
        <w:t xml:space="preserve"> that </w:t>
      </w:r>
      <w:r w:rsidR="003C6608">
        <w:t xml:space="preserve">is </w:t>
      </w:r>
      <w:r>
        <w:t xml:space="preserve">not a failure of the skill-guided docking protocol </w:t>
      </w:r>
      <w:proofErr w:type="gramStart"/>
      <w:r>
        <w:t>itself</w:t>
      </w:r>
      <w:r w:rsidR="003C6608">
        <w:t xml:space="preserve">, </w:t>
      </w:r>
      <w:r>
        <w:t>and</w:t>
      </w:r>
      <w:proofErr w:type="gramEnd"/>
      <w:r>
        <w:t xml:space="preserve"> highlights that future AI-driven VS benchmarks should assign labels after filtering or account for filtered compounds explicitly.</w:t>
      </w:r>
    </w:p>
    <w:p w14:paraId="32002381" w14:textId="77777777" w:rsidR="0065655A" w:rsidRDefault="00AF19EF">
      <w:r>
        <w:br w:type="page"/>
      </w:r>
    </w:p>
    <w:p w14:paraId="4A5EE75A" w14:textId="77777777" w:rsidR="0065655A" w:rsidRDefault="00AF19EF">
      <w:pPr>
        <w:jc w:val="center"/>
      </w:pPr>
      <w:r>
        <w:rPr>
          <w:noProof/>
        </w:rPr>
        <w:lastRenderedPageBreak/>
        <w:drawing>
          <wp:inline distT="0" distB="0" distL="0" distR="0" wp14:anchorId="77BE7441" wp14:editId="607ED53A">
            <wp:extent cx="5943600" cy="23760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in.png"/>
                    <pic:cNvPicPr/>
                  </pic:nvPicPr>
                  <pic:blipFill>
                    <a:blip r:embed="rId8"/>
                    <a:stretch>
                      <a:fillRect/>
                    </a:stretch>
                  </pic:blipFill>
                  <pic:spPr>
                    <a:xfrm>
                      <a:off x="0" y="0"/>
                      <a:ext cx="5943600" cy="2376011"/>
                    </a:xfrm>
                    <a:prstGeom prst="rect">
                      <a:avLst/>
                    </a:prstGeom>
                  </pic:spPr>
                </pic:pic>
              </a:graphicData>
            </a:graphic>
          </wp:inline>
        </w:drawing>
      </w:r>
    </w:p>
    <w:p w14:paraId="35DE3938" w14:textId="77777777" w:rsidR="0065655A" w:rsidRDefault="00AF19EF">
      <w:r>
        <w:rPr>
          <w:b/>
        </w:rPr>
        <w:t xml:space="preserve">Figure 1. Virtual screening performance comparison. </w:t>
      </w:r>
      <w:r>
        <w:t>(A) ROC curves for naive (blue) and skill-guided (red) protocols with 95% bootstrap confidence bands and AUC values [95% CI]. (B) Bootstrap distributions of ROC AUC (n = 2,000); violin plots with embedded box plots and observed point estimates (diamonds). DeLong’s test: ΔAUC = +0.048, p = 0.004. Dashed line indicates random classifier (AUC = 0.5). (C) Box plots of docking score distributions for actives and decoys by protocol; lower (more negative) scores indicate stronger predicted binding. Mann–Whitney U significance: ***p &lt; 0.001.</w:t>
      </w:r>
    </w:p>
    <w:p w14:paraId="2945E4CC" w14:textId="77777777" w:rsidR="0065655A" w:rsidRDefault="00AF19EF">
      <w:r>
        <w:br w:type="page"/>
      </w:r>
    </w:p>
    <w:p w14:paraId="79673C93" w14:textId="77777777" w:rsidR="0065655A" w:rsidRDefault="00AF19EF">
      <w:pPr>
        <w:spacing w:before="240" w:after="120"/>
      </w:pPr>
      <w:r>
        <w:rPr>
          <w:b/>
          <w:sz w:val="28"/>
        </w:rPr>
        <w:lastRenderedPageBreak/>
        <w:t>4 Discussion</w:t>
      </w:r>
    </w:p>
    <w:p w14:paraId="088BC4C6" w14:textId="5821C64B" w:rsidR="0065655A" w:rsidRDefault="00AF19EF">
      <w:r>
        <w:t>The central finding of this work is twofold: an LLM-based coding agent can autonomously generate a complete, GPU-accelerated, statistically rigorous VS pipeline without any human code editing, and a structured skill file of modest length (212 lines) measurably improves global discrimination (ROC AUC +0.048, DeLong p = 0.004). This represents a paradigm shift in accessibility. A VS campaign of the scope described here</w:t>
      </w:r>
      <w:r w:rsidR="004F4C90">
        <w:t xml:space="preserve"> with </w:t>
      </w:r>
      <w:r>
        <w:t xml:space="preserve">∼5,000 compounds docked </w:t>
      </w:r>
      <w:r w:rsidR="00D70E56">
        <w:t xml:space="preserve">by </w:t>
      </w:r>
      <w:r>
        <w:t xml:space="preserve">GPU </w:t>
      </w:r>
      <w:r w:rsidR="00D70E56">
        <w:t xml:space="preserve">computing </w:t>
      </w:r>
      <w:r>
        <w:t>with full statistical evaluation require proficiency in Linux system administration, CUDA driver management, molecular file format conventions, cheminformatics toolkits, and biostatistics. An agentic AI system collapses these prerequisites into a single natural-language interface, rendering large-scale VS accessible to medicinal chemists and pharmacologists who may lack formal training in computational methods.</w:t>
      </w:r>
    </w:p>
    <w:p w14:paraId="75088CA9" w14:textId="0532E6A6" w:rsidR="0065655A" w:rsidRDefault="00AF19EF">
      <w:r>
        <w:t xml:space="preserve">The skill file mechanism merits particular attention. Unlike model fine-tuning, which risks catastrophic forgetting, or retrieval-augmented generation, a skill file is a plain-text document that can be authored, version-controlled, and peer-reviewed by domain experts (Anthropic, 2024). It is </w:t>
      </w:r>
      <w:proofErr w:type="gramStart"/>
      <w:r>
        <w:t>model-agnostic</w:t>
      </w:r>
      <w:proofErr w:type="gramEnd"/>
      <w:r>
        <w:t xml:space="preserve"> in principle: the same file could guide any sufficiently capable coding agent.</w:t>
      </w:r>
    </w:p>
    <w:p w14:paraId="64091A17" w14:textId="0513FD7B" w:rsidR="0065655A" w:rsidRDefault="00AF19EF">
      <w:r>
        <w:t xml:space="preserve">Several limitations should be acknowledged. This benchmark targets a single receptor; </w:t>
      </w:r>
      <w:proofErr w:type="spellStart"/>
      <w:r>
        <w:t>generalisation</w:t>
      </w:r>
      <w:proofErr w:type="spellEnd"/>
      <w:r>
        <w:t xml:space="preserve"> requires multi-target validation. The active set (n = 100) limits statistical power. Only Vina scoring was evaluated; consensus scoring could further improve enrichment. The decline in BEDROC and EF at 1% is a benchmark design artefact</w:t>
      </w:r>
      <w:r w:rsidR="0019048B">
        <w:t xml:space="preserve"> where </w:t>
      </w:r>
      <w:r>
        <w:t xml:space="preserve">seven actives removed by PAINS/Brenk filtering were assigned worst-rank </w:t>
      </w:r>
      <w:proofErr w:type="gramStart"/>
      <w:r>
        <w:t>scores</w:t>
      </w:r>
      <w:r w:rsidR="0019048B">
        <w:t xml:space="preserve">, </w:t>
      </w:r>
      <w:r>
        <w:t>and</w:t>
      </w:r>
      <w:proofErr w:type="gramEnd"/>
      <w:r>
        <w:t xml:space="preserve"> highlights that future AI-driven VS benchmarks should assign labels after filtering or account for filtered compounds explicitly.</w:t>
      </w:r>
    </w:p>
    <w:p w14:paraId="4C3AD75F" w14:textId="77777777" w:rsidR="0065655A" w:rsidRDefault="00AF19EF">
      <w:pPr>
        <w:spacing w:before="240" w:after="120"/>
      </w:pPr>
      <w:r>
        <w:rPr>
          <w:b/>
          <w:sz w:val="28"/>
        </w:rPr>
        <w:lastRenderedPageBreak/>
        <w:t>5 Conclusion</w:t>
      </w:r>
    </w:p>
    <w:p w14:paraId="08652A63" w14:textId="77777777" w:rsidR="0065655A" w:rsidRDefault="00AF19EF">
      <w:r>
        <w:t xml:space="preserve">A 212-line structured skill file raises the global discrimination of an LLM coding agent’s VS pipeline by a statistically significant margin (ROC AUC +0.048, DeLong p = 0.004). The agent autonomously generated 18 scripts (∼3,100 lines) implementing a complete GPU-accelerated pipeline without human code editing. Agentic AI guided by interpretable skill files could </w:t>
      </w:r>
      <w:proofErr w:type="spellStart"/>
      <w:r>
        <w:t>democratise</w:t>
      </w:r>
      <w:proofErr w:type="spellEnd"/>
      <w:r>
        <w:t xml:space="preserve"> rigorous large-scale virtual screening. A multi-target validation study is underway.</w:t>
      </w:r>
    </w:p>
    <w:p w14:paraId="2C17C765" w14:textId="77777777" w:rsidR="0065655A" w:rsidRDefault="00AF19EF">
      <w:pPr>
        <w:spacing w:before="240" w:after="120"/>
      </w:pPr>
      <w:r>
        <w:rPr>
          <w:b/>
          <w:sz w:val="28"/>
        </w:rPr>
        <w:t>Acknowledgements</w:t>
      </w:r>
    </w:p>
    <w:p w14:paraId="274946B5" w14:textId="77777777" w:rsidR="0065655A" w:rsidRDefault="00AF19EF">
      <w:r>
        <w:t xml:space="preserve">All computational protocols were designed and executed with Claude Code (Claude Opus 4.6, Anthropic). Docking calculations were performed on NVIDIA RTX 4500 Ada GPUs. We thank the </w:t>
      </w:r>
      <w:proofErr w:type="spellStart"/>
      <w:r>
        <w:t>ChEMBL</w:t>
      </w:r>
      <w:proofErr w:type="spellEnd"/>
      <w:r>
        <w:t xml:space="preserve"> team for curated bioactivity data and the Uni-Dock developers for GPU-accelerated docking.</w:t>
      </w:r>
    </w:p>
    <w:p w14:paraId="412A5F80" w14:textId="77777777" w:rsidR="0065655A" w:rsidRDefault="00AF19EF">
      <w:pPr>
        <w:spacing w:before="240" w:after="120"/>
      </w:pPr>
      <w:r>
        <w:rPr>
          <w:b/>
          <w:sz w:val="28"/>
        </w:rPr>
        <w:t>Funding</w:t>
      </w:r>
    </w:p>
    <w:p w14:paraId="119E91DC" w14:textId="47A5BA51" w:rsidR="0065655A" w:rsidRDefault="008710D6">
      <w:r>
        <w:t>University of Oslo</w:t>
      </w:r>
      <w:r w:rsidR="00EC5C16">
        <w:t xml:space="preserve">, </w:t>
      </w:r>
      <w:proofErr w:type="spellStart"/>
      <w:r w:rsidR="00EC5C16">
        <w:t>UiO</w:t>
      </w:r>
      <w:proofErr w:type="spellEnd"/>
      <w:r w:rsidR="00EC5C16">
        <w:t xml:space="preserve"> Growth House, </w:t>
      </w:r>
      <w:proofErr w:type="spellStart"/>
      <w:r w:rsidR="00EC5C16">
        <w:t>UiO</w:t>
      </w:r>
      <w:proofErr w:type="spellEnd"/>
      <w:r w:rsidR="00EC5C16">
        <w:t>: Life Science</w:t>
      </w:r>
    </w:p>
    <w:p w14:paraId="0B4E6F08" w14:textId="77777777" w:rsidR="0065655A" w:rsidRDefault="00AF19EF">
      <w:pPr>
        <w:spacing w:before="240" w:after="120"/>
      </w:pPr>
      <w:r>
        <w:rPr>
          <w:b/>
          <w:sz w:val="28"/>
        </w:rPr>
        <w:t>Conflict of Interest</w:t>
      </w:r>
    </w:p>
    <w:p w14:paraId="5B062BAB" w14:textId="77777777" w:rsidR="0065655A" w:rsidRDefault="00AF19EF">
      <w:r>
        <w:t>None declared.</w:t>
      </w:r>
    </w:p>
    <w:p w14:paraId="16C62DF1" w14:textId="77777777" w:rsidR="0065655A" w:rsidRDefault="00AF19EF">
      <w:pPr>
        <w:spacing w:before="240" w:after="120"/>
      </w:pPr>
      <w:r>
        <w:rPr>
          <w:b/>
          <w:sz w:val="28"/>
        </w:rPr>
        <w:t>Data Availability</w:t>
      </w:r>
    </w:p>
    <w:p w14:paraId="4BDD42D4" w14:textId="77777777" w:rsidR="0065655A" w:rsidRDefault="00AF19EF">
      <w:r>
        <w:t xml:space="preserve">All code, data, and pre-computed docking scores are available at https://github.com/oslo-medchem/vs-benchmark-agentic-ai under the MIT </w:t>
      </w:r>
      <w:proofErr w:type="spellStart"/>
      <w:r>
        <w:t>licence</w:t>
      </w:r>
      <w:proofErr w:type="spellEnd"/>
      <w:r>
        <w:t xml:space="preserve">. The </w:t>
      </w:r>
      <w:proofErr w:type="spellStart"/>
      <w:r>
        <w:t>conda</w:t>
      </w:r>
      <w:proofErr w:type="spellEnd"/>
      <w:r>
        <w:t xml:space="preserve"> environment specification (</w:t>
      </w:r>
      <w:proofErr w:type="spellStart"/>
      <w:r>
        <w:t>environment.yml</w:t>
      </w:r>
      <w:proofErr w:type="spellEnd"/>
      <w:r>
        <w:t>) and detailed reproduction instructions (REPRODUCTION.md) are included in the repository.</w:t>
      </w:r>
    </w:p>
    <w:p w14:paraId="02599569" w14:textId="77777777" w:rsidR="0065655A" w:rsidRDefault="00AF19EF">
      <w:pPr>
        <w:spacing w:before="240" w:after="120"/>
      </w:pPr>
      <w:r>
        <w:rPr>
          <w:b/>
          <w:sz w:val="28"/>
        </w:rPr>
        <w:lastRenderedPageBreak/>
        <w:t>References</w:t>
      </w:r>
    </w:p>
    <w:p w14:paraId="41C5A12E" w14:textId="77777777" w:rsidR="0065655A" w:rsidRDefault="00AF19EF">
      <w:pPr>
        <w:ind w:left="567" w:hanging="567"/>
      </w:pPr>
      <w:r>
        <w:rPr>
          <w:sz w:val="20"/>
        </w:rPr>
        <w:t>Anthropic (2024) Claude Code: an agentic coding tool. Anthropic PBC, San Francisco, CA. https://claude.ai/code</w:t>
      </w:r>
    </w:p>
    <w:p w14:paraId="55C538DB" w14:textId="77777777" w:rsidR="0065655A" w:rsidRDefault="00AF19EF">
      <w:pPr>
        <w:ind w:left="567" w:hanging="567"/>
      </w:pPr>
      <w:proofErr w:type="spellStart"/>
      <w:proofErr w:type="gramStart"/>
      <w:r>
        <w:rPr>
          <w:sz w:val="20"/>
        </w:rPr>
        <w:t>Baell,J.B</w:t>
      </w:r>
      <w:proofErr w:type="spellEnd"/>
      <w:r>
        <w:rPr>
          <w:sz w:val="20"/>
        </w:rPr>
        <w:t>.</w:t>
      </w:r>
      <w:proofErr w:type="gramEnd"/>
      <w:r>
        <w:rPr>
          <w:sz w:val="20"/>
        </w:rPr>
        <w:t xml:space="preserve"> and </w:t>
      </w:r>
      <w:proofErr w:type="spellStart"/>
      <w:proofErr w:type="gramStart"/>
      <w:r>
        <w:rPr>
          <w:sz w:val="20"/>
        </w:rPr>
        <w:t>Holloway,G.A</w:t>
      </w:r>
      <w:proofErr w:type="spellEnd"/>
      <w:r>
        <w:rPr>
          <w:sz w:val="20"/>
        </w:rPr>
        <w:t>.</w:t>
      </w:r>
      <w:proofErr w:type="gramEnd"/>
      <w:r>
        <w:rPr>
          <w:sz w:val="20"/>
        </w:rPr>
        <w:t xml:space="preserve"> (2010) New substructure filters for removal of pan assay interference compounds (PAINS) from screening libraries and for their exclusion in bioassays. J. Med. Chem., 53, 2719–2740.</w:t>
      </w:r>
    </w:p>
    <w:p w14:paraId="0A22FD8F" w14:textId="77777777" w:rsidR="0065655A" w:rsidRPr="00A26181" w:rsidRDefault="00AF19EF">
      <w:pPr>
        <w:ind w:left="567" w:hanging="567"/>
        <w:rPr>
          <w:lang w:val="da-DK"/>
        </w:rPr>
      </w:pPr>
      <w:proofErr w:type="spellStart"/>
      <w:proofErr w:type="gramStart"/>
      <w:r>
        <w:rPr>
          <w:sz w:val="20"/>
        </w:rPr>
        <w:t>Benjamini,Y</w:t>
      </w:r>
      <w:proofErr w:type="spellEnd"/>
      <w:r>
        <w:rPr>
          <w:sz w:val="20"/>
        </w:rPr>
        <w:t>.</w:t>
      </w:r>
      <w:proofErr w:type="gramEnd"/>
      <w:r>
        <w:rPr>
          <w:sz w:val="20"/>
        </w:rPr>
        <w:t xml:space="preserve"> and </w:t>
      </w:r>
      <w:proofErr w:type="spellStart"/>
      <w:proofErr w:type="gramStart"/>
      <w:r>
        <w:rPr>
          <w:sz w:val="20"/>
        </w:rPr>
        <w:t>Hochberg,Y</w:t>
      </w:r>
      <w:proofErr w:type="spellEnd"/>
      <w:r>
        <w:rPr>
          <w:sz w:val="20"/>
        </w:rPr>
        <w:t>.</w:t>
      </w:r>
      <w:proofErr w:type="gramEnd"/>
      <w:r>
        <w:rPr>
          <w:sz w:val="20"/>
        </w:rPr>
        <w:t xml:space="preserve"> (1995) Controlling the false discovery rate: a practical and powerful approach to multiple testing. </w:t>
      </w:r>
      <w:r w:rsidRPr="00A26181">
        <w:rPr>
          <w:sz w:val="20"/>
          <w:lang w:val="da-DK"/>
        </w:rPr>
        <w:t>J. R. Stat. Soc. B, 57, 289–300.</w:t>
      </w:r>
    </w:p>
    <w:p w14:paraId="7B65FBD0" w14:textId="77777777" w:rsidR="0065655A" w:rsidRDefault="00AF19EF">
      <w:pPr>
        <w:ind w:left="567" w:hanging="567"/>
      </w:pPr>
      <w:r w:rsidRPr="00A26181">
        <w:rPr>
          <w:sz w:val="20"/>
          <w:lang w:val="da-DK"/>
        </w:rPr>
        <w:t xml:space="preserve">Boiko,D.A. et al. </w:t>
      </w:r>
      <w:r>
        <w:rPr>
          <w:sz w:val="20"/>
        </w:rPr>
        <w:t>(2023) Autonomous chemical research with large language models. Nature, 624, 570–578.</w:t>
      </w:r>
    </w:p>
    <w:p w14:paraId="127A427E" w14:textId="77777777" w:rsidR="0065655A" w:rsidRDefault="00AF19EF">
      <w:pPr>
        <w:ind w:left="567" w:hanging="567"/>
      </w:pPr>
      <w:proofErr w:type="spellStart"/>
      <w:proofErr w:type="gramStart"/>
      <w:r>
        <w:rPr>
          <w:sz w:val="20"/>
        </w:rPr>
        <w:t>Bran,A.M</w:t>
      </w:r>
      <w:proofErr w:type="spellEnd"/>
      <w:r>
        <w:rPr>
          <w:sz w:val="20"/>
        </w:rPr>
        <w:t>.</w:t>
      </w:r>
      <w:proofErr w:type="gramEnd"/>
      <w:r>
        <w:rPr>
          <w:sz w:val="20"/>
        </w:rPr>
        <w:t xml:space="preserve"> et al. (2024) </w:t>
      </w:r>
      <w:proofErr w:type="spellStart"/>
      <w:r>
        <w:rPr>
          <w:sz w:val="20"/>
        </w:rPr>
        <w:t>ChemCrow</w:t>
      </w:r>
      <w:proofErr w:type="spellEnd"/>
      <w:r>
        <w:rPr>
          <w:sz w:val="20"/>
        </w:rPr>
        <w:t xml:space="preserve">: augmenting large-language models with chemistry tools. Nat. Mach. </w:t>
      </w:r>
      <w:proofErr w:type="spellStart"/>
      <w:r>
        <w:rPr>
          <w:sz w:val="20"/>
        </w:rPr>
        <w:t>Intell</w:t>
      </w:r>
      <w:proofErr w:type="spellEnd"/>
      <w:r>
        <w:rPr>
          <w:sz w:val="20"/>
        </w:rPr>
        <w:t>., 6, 525–535.</w:t>
      </w:r>
    </w:p>
    <w:p w14:paraId="77558CD9" w14:textId="77777777" w:rsidR="0065655A" w:rsidRDefault="00AF19EF">
      <w:pPr>
        <w:ind w:left="567" w:hanging="567"/>
      </w:pPr>
      <w:proofErr w:type="spellStart"/>
      <w:proofErr w:type="gramStart"/>
      <w:r>
        <w:rPr>
          <w:sz w:val="20"/>
        </w:rPr>
        <w:t>Brenk,R</w:t>
      </w:r>
      <w:proofErr w:type="spellEnd"/>
      <w:r>
        <w:rPr>
          <w:sz w:val="20"/>
        </w:rPr>
        <w:t>.</w:t>
      </w:r>
      <w:proofErr w:type="gramEnd"/>
      <w:r>
        <w:rPr>
          <w:sz w:val="20"/>
        </w:rPr>
        <w:t xml:space="preserve"> et al. (2008) Lessons learnt from assembling screening libraries for drug discovery for neglected diseases. </w:t>
      </w:r>
      <w:proofErr w:type="spellStart"/>
      <w:r>
        <w:rPr>
          <w:sz w:val="20"/>
        </w:rPr>
        <w:t>ChemMedChem</w:t>
      </w:r>
      <w:proofErr w:type="spellEnd"/>
      <w:r>
        <w:rPr>
          <w:sz w:val="20"/>
        </w:rPr>
        <w:t>, 3, 435–444.</w:t>
      </w:r>
    </w:p>
    <w:p w14:paraId="28096010" w14:textId="77777777" w:rsidR="0065655A" w:rsidRDefault="00AF19EF">
      <w:pPr>
        <w:ind w:left="567" w:hanging="567"/>
      </w:pPr>
      <w:proofErr w:type="spellStart"/>
      <w:proofErr w:type="gramStart"/>
      <w:r>
        <w:rPr>
          <w:sz w:val="20"/>
        </w:rPr>
        <w:t>Butina,D</w:t>
      </w:r>
      <w:proofErr w:type="spellEnd"/>
      <w:r>
        <w:rPr>
          <w:sz w:val="20"/>
        </w:rPr>
        <w:t>.</w:t>
      </w:r>
      <w:proofErr w:type="gramEnd"/>
      <w:r>
        <w:rPr>
          <w:sz w:val="20"/>
        </w:rPr>
        <w:t xml:space="preserve"> (1999) Unsupervised data base clustering based on Daylight’s fingerprint and Tanimoto similarity. J. Chem. Inf. </w:t>
      </w:r>
      <w:proofErr w:type="spellStart"/>
      <w:r>
        <w:rPr>
          <w:sz w:val="20"/>
        </w:rPr>
        <w:t>Comput</w:t>
      </w:r>
      <w:proofErr w:type="spellEnd"/>
      <w:r>
        <w:rPr>
          <w:sz w:val="20"/>
        </w:rPr>
        <w:t>. Sci., 39, 747–750.</w:t>
      </w:r>
    </w:p>
    <w:p w14:paraId="0AB709C7" w14:textId="77777777" w:rsidR="0065655A" w:rsidRPr="00A26181" w:rsidRDefault="00AF19EF">
      <w:pPr>
        <w:ind w:left="567" w:hanging="567"/>
        <w:rPr>
          <w:lang w:val="da-DK"/>
        </w:rPr>
      </w:pPr>
      <w:proofErr w:type="spellStart"/>
      <w:proofErr w:type="gramStart"/>
      <w:r>
        <w:rPr>
          <w:sz w:val="20"/>
        </w:rPr>
        <w:t>DeLong,E.R</w:t>
      </w:r>
      <w:proofErr w:type="spellEnd"/>
      <w:r>
        <w:rPr>
          <w:sz w:val="20"/>
        </w:rPr>
        <w:t>.</w:t>
      </w:r>
      <w:proofErr w:type="gramEnd"/>
      <w:r>
        <w:rPr>
          <w:sz w:val="20"/>
        </w:rPr>
        <w:t xml:space="preserve"> et al. (1988) Comparing the areas under two or more correlated receiver operating characteristic curves: a nonparametric approach. </w:t>
      </w:r>
      <w:r w:rsidRPr="00A26181">
        <w:rPr>
          <w:sz w:val="20"/>
          <w:lang w:val="da-DK"/>
        </w:rPr>
        <w:t>Biometrics, 44, 837–845.</w:t>
      </w:r>
    </w:p>
    <w:p w14:paraId="2AFEC11B" w14:textId="77777777" w:rsidR="0065655A" w:rsidRPr="00A26181" w:rsidRDefault="00AF19EF">
      <w:pPr>
        <w:ind w:left="567" w:hanging="567"/>
        <w:rPr>
          <w:lang w:val="da-DK"/>
        </w:rPr>
      </w:pPr>
      <w:r w:rsidRPr="00A26181">
        <w:rPr>
          <w:sz w:val="20"/>
          <w:lang w:val="da-DK"/>
        </w:rPr>
        <w:t>Huang,N. et al. (2006) Benchmarking sets for molecular docking. J. Med. Chem., 49, 6789–6801.</w:t>
      </w:r>
    </w:p>
    <w:p w14:paraId="0A42E9ED" w14:textId="77777777" w:rsidR="0065655A" w:rsidRDefault="00AF19EF">
      <w:pPr>
        <w:ind w:left="567" w:hanging="567"/>
      </w:pPr>
      <w:r w:rsidRPr="00A26181">
        <w:rPr>
          <w:sz w:val="20"/>
          <w:lang w:val="da-DK"/>
        </w:rPr>
        <w:t xml:space="preserve">Liao,C. et al. </w:t>
      </w:r>
      <w:r>
        <w:rPr>
          <w:sz w:val="20"/>
        </w:rPr>
        <w:t>(2022) Structural basis of formyl peptide receptor 2 activation and signaling. Nat. Commun., 13, 1463.</w:t>
      </w:r>
    </w:p>
    <w:p w14:paraId="4414D6A7" w14:textId="77777777" w:rsidR="0065655A" w:rsidRDefault="00AF19EF">
      <w:pPr>
        <w:ind w:left="567" w:hanging="567"/>
      </w:pPr>
      <w:proofErr w:type="spellStart"/>
      <w:proofErr w:type="gramStart"/>
      <w:r>
        <w:rPr>
          <w:sz w:val="20"/>
        </w:rPr>
        <w:t>Liu,C</w:t>
      </w:r>
      <w:proofErr w:type="spellEnd"/>
      <w:r>
        <w:rPr>
          <w:sz w:val="20"/>
        </w:rPr>
        <w:t>.</w:t>
      </w:r>
      <w:proofErr w:type="gramEnd"/>
      <w:r>
        <w:rPr>
          <w:sz w:val="20"/>
        </w:rPr>
        <w:t xml:space="preserve"> et al. (2022) Molecular basis of the recognition of </w:t>
      </w:r>
      <w:proofErr w:type="spellStart"/>
      <w:r>
        <w:rPr>
          <w:sz w:val="20"/>
        </w:rPr>
        <w:t>formalyl</w:t>
      </w:r>
      <w:proofErr w:type="spellEnd"/>
      <w:r>
        <w:rPr>
          <w:sz w:val="20"/>
        </w:rPr>
        <w:t xml:space="preserve"> peptide by FPR2 and blocking by the small molecule inhibitor. Nat. Commun., 13, 1476.</w:t>
      </w:r>
    </w:p>
    <w:p w14:paraId="6E7BAF4A" w14:textId="77777777" w:rsidR="0065655A" w:rsidRDefault="00AF19EF">
      <w:pPr>
        <w:ind w:left="567" w:hanging="567"/>
      </w:pPr>
      <w:proofErr w:type="spellStart"/>
      <w:proofErr w:type="gramStart"/>
      <w:r>
        <w:rPr>
          <w:sz w:val="20"/>
        </w:rPr>
        <w:t>Ramos,M.C</w:t>
      </w:r>
      <w:proofErr w:type="spellEnd"/>
      <w:r>
        <w:rPr>
          <w:sz w:val="20"/>
        </w:rPr>
        <w:t>.</w:t>
      </w:r>
      <w:proofErr w:type="gramEnd"/>
      <w:r>
        <w:rPr>
          <w:sz w:val="20"/>
        </w:rPr>
        <w:t xml:space="preserve"> et al. (2025) A review of large language models and autonomous agents in chemistry. Chem. Sci., 16, 2514–2572.</w:t>
      </w:r>
    </w:p>
    <w:p w14:paraId="1A0095EF" w14:textId="77777777" w:rsidR="0065655A" w:rsidRDefault="00AF19EF">
      <w:pPr>
        <w:ind w:left="567" w:hanging="567"/>
      </w:pPr>
      <w:proofErr w:type="spellStart"/>
      <w:proofErr w:type="gramStart"/>
      <w:r>
        <w:rPr>
          <w:sz w:val="20"/>
        </w:rPr>
        <w:t>Schneider,P</w:t>
      </w:r>
      <w:proofErr w:type="spellEnd"/>
      <w:r>
        <w:rPr>
          <w:sz w:val="20"/>
        </w:rPr>
        <w:t>.</w:t>
      </w:r>
      <w:proofErr w:type="gramEnd"/>
      <w:r>
        <w:rPr>
          <w:sz w:val="20"/>
        </w:rPr>
        <w:t xml:space="preserve"> et al. (2020) Rethinking drug design in the artificial intelligence era. Nat. Rev. Drug </w:t>
      </w:r>
      <w:proofErr w:type="spellStart"/>
      <w:r>
        <w:rPr>
          <w:sz w:val="20"/>
        </w:rPr>
        <w:t>Discov</w:t>
      </w:r>
      <w:proofErr w:type="spellEnd"/>
      <w:r>
        <w:rPr>
          <w:sz w:val="20"/>
        </w:rPr>
        <w:t>., 19, 353–364.</w:t>
      </w:r>
    </w:p>
    <w:p w14:paraId="2384A29B" w14:textId="77777777" w:rsidR="0065655A" w:rsidRDefault="00AF19EF">
      <w:pPr>
        <w:ind w:left="567" w:hanging="567"/>
      </w:pPr>
      <w:proofErr w:type="spellStart"/>
      <w:proofErr w:type="gramStart"/>
      <w:r>
        <w:rPr>
          <w:sz w:val="20"/>
        </w:rPr>
        <w:t>Truchon,J</w:t>
      </w:r>
      <w:proofErr w:type="spellEnd"/>
      <w:r>
        <w:rPr>
          <w:sz w:val="20"/>
        </w:rPr>
        <w:t>.</w:t>
      </w:r>
      <w:proofErr w:type="gramEnd"/>
      <w:r>
        <w:rPr>
          <w:sz w:val="20"/>
        </w:rPr>
        <w:t xml:space="preserve">-F. and </w:t>
      </w:r>
      <w:proofErr w:type="spellStart"/>
      <w:proofErr w:type="gramStart"/>
      <w:r>
        <w:rPr>
          <w:sz w:val="20"/>
        </w:rPr>
        <w:t>Bayly,C.I</w:t>
      </w:r>
      <w:proofErr w:type="spellEnd"/>
      <w:r>
        <w:rPr>
          <w:sz w:val="20"/>
        </w:rPr>
        <w:t>.</w:t>
      </w:r>
      <w:proofErr w:type="gramEnd"/>
      <w:r>
        <w:rPr>
          <w:sz w:val="20"/>
        </w:rPr>
        <w:t xml:space="preserve"> (2007) Evaluating virtual screening methods: good and bad metrics for the “early recognition” problem. J. Chem. Inf. Model., 47, 488–508.</w:t>
      </w:r>
    </w:p>
    <w:p w14:paraId="325ED14D" w14:textId="77777777" w:rsidR="0065655A" w:rsidRDefault="00AF19EF">
      <w:pPr>
        <w:ind w:left="567" w:hanging="567"/>
      </w:pPr>
      <w:proofErr w:type="spellStart"/>
      <w:proofErr w:type="gramStart"/>
      <w:r>
        <w:rPr>
          <w:sz w:val="20"/>
        </w:rPr>
        <w:t>Wang,S</w:t>
      </w:r>
      <w:proofErr w:type="spellEnd"/>
      <w:r>
        <w:rPr>
          <w:sz w:val="20"/>
        </w:rPr>
        <w:t>.</w:t>
      </w:r>
      <w:proofErr w:type="gramEnd"/>
      <w:r>
        <w:rPr>
          <w:sz w:val="20"/>
        </w:rPr>
        <w:t xml:space="preserve"> et al. (2020) Improving conformer generation for small rings and macrocycles based on distance geometry and experimental torsional angle preferences. J. Chem. Inf. Model., 60, 2044–2058.</w:t>
      </w:r>
    </w:p>
    <w:p w14:paraId="7A904B44" w14:textId="77777777" w:rsidR="0065655A" w:rsidRDefault="00AF19EF">
      <w:pPr>
        <w:ind w:left="567" w:hanging="567"/>
      </w:pPr>
      <w:proofErr w:type="spellStart"/>
      <w:proofErr w:type="gramStart"/>
      <w:r>
        <w:rPr>
          <w:sz w:val="20"/>
        </w:rPr>
        <w:lastRenderedPageBreak/>
        <w:t>Yu,Y</w:t>
      </w:r>
      <w:proofErr w:type="spellEnd"/>
      <w:r>
        <w:rPr>
          <w:sz w:val="20"/>
        </w:rPr>
        <w:t>.</w:t>
      </w:r>
      <w:proofErr w:type="gramEnd"/>
      <w:r>
        <w:rPr>
          <w:sz w:val="20"/>
        </w:rPr>
        <w:t xml:space="preserve"> et al. (2023) Uni-Dock: GPU-accelerated docking enables </w:t>
      </w:r>
      <w:proofErr w:type="spellStart"/>
      <w:r>
        <w:rPr>
          <w:sz w:val="20"/>
        </w:rPr>
        <w:t>ultralarge</w:t>
      </w:r>
      <w:proofErr w:type="spellEnd"/>
      <w:r>
        <w:rPr>
          <w:sz w:val="20"/>
        </w:rPr>
        <w:t xml:space="preserve"> virtual screening. J. Chem. Theory </w:t>
      </w:r>
      <w:proofErr w:type="spellStart"/>
      <w:r>
        <w:rPr>
          <w:sz w:val="20"/>
        </w:rPr>
        <w:t>Comput</w:t>
      </w:r>
      <w:proofErr w:type="spellEnd"/>
      <w:r>
        <w:rPr>
          <w:sz w:val="20"/>
        </w:rPr>
        <w:t>., 19, 3336–3345.</w:t>
      </w:r>
    </w:p>
    <w:p w14:paraId="0CA456CF" w14:textId="77777777" w:rsidR="0065655A" w:rsidRDefault="00AF19EF">
      <w:pPr>
        <w:ind w:left="567" w:hanging="567"/>
      </w:pPr>
      <w:proofErr w:type="spellStart"/>
      <w:proofErr w:type="gramStart"/>
      <w:r>
        <w:rPr>
          <w:sz w:val="20"/>
        </w:rPr>
        <w:t>Zdrazil,B</w:t>
      </w:r>
      <w:proofErr w:type="spellEnd"/>
      <w:r>
        <w:rPr>
          <w:sz w:val="20"/>
        </w:rPr>
        <w:t>.</w:t>
      </w:r>
      <w:proofErr w:type="gramEnd"/>
      <w:r>
        <w:rPr>
          <w:sz w:val="20"/>
        </w:rPr>
        <w:t xml:space="preserve"> et al. (2024) The </w:t>
      </w:r>
      <w:proofErr w:type="spellStart"/>
      <w:r>
        <w:rPr>
          <w:sz w:val="20"/>
        </w:rPr>
        <w:t>ChEMBL</w:t>
      </w:r>
      <w:proofErr w:type="spellEnd"/>
      <w:r>
        <w:rPr>
          <w:sz w:val="20"/>
        </w:rPr>
        <w:t xml:space="preserve"> Database in 2023: a drug discovery platform spanning multiple bioactivity data types and time periods. Nucleic Acids Res., 52, D1180–D1192.</w:t>
      </w:r>
    </w:p>
    <w:sectPr w:rsidR="0065655A"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1788548">
    <w:abstractNumId w:val="8"/>
  </w:num>
  <w:num w:numId="2" w16cid:durableId="332953295">
    <w:abstractNumId w:val="6"/>
  </w:num>
  <w:num w:numId="3" w16cid:durableId="509297608">
    <w:abstractNumId w:val="5"/>
  </w:num>
  <w:num w:numId="4" w16cid:durableId="1498497783">
    <w:abstractNumId w:val="4"/>
  </w:num>
  <w:num w:numId="5" w16cid:durableId="1018696989">
    <w:abstractNumId w:val="7"/>
  </w:num>
  <w:num w:numId="6" w16cid:durableId="1572109078">
    <w:abstractNumId w:val="3"/>
  </w:num>
  <w:num w:numId="7" w16cid:durableId="1849051839">
    <w:abstractNumId w:val="2"/>
  </w:num>
  <w:num w:numId="8" w16cid:durableId="81150352">
    <w:abstractNumId w:val="1"/>
  </w:num>
  <w:num w:numId="9" w16cid:durableId="476800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6A9"/>
    <w:rsid w:val="0004241A"/>
    <w:rsid w:val="0006063C"/>
    <w:rsid w:val="000C3304"/>
    <w:rsid w:val="0015074B"/>
    <w:rsid w:val="001815C5"/>
    <w:rsid w:val="0019048B"/>
    <w:rsid w:val="001941FF"/>
    <w:rsid w:val="00236AF8"/>
    <w:rsid w:val="00266C2E"/>
    <w:rsid w:val="00267739"/>
    <w:rsid w:val="0029639D"/>
    <w:rsid w:val="00296D1F"/>
    <w:rsid w:val="002E3F65"/>
    <w:rsid w:val="002E7F75"/>
    <w:rsid w:val="00326F90"/>
    <w:rsid w:val="00372DC4"/>
    <w:rsid w:val="00382D21"/>
    <w:rsid w:val="003C6608"/>
    <w:rsid w:val="003D2312"/>
    <w:rsid w:val="00430947"/>
    <w:rsid w:val="004F4C90"/>
    <w:rsid w:val="005559F2"/>
    <w:rsid w:val="005F23D3"/>
    <w:rsid w:val="0065655A"/>
    <w:rsid w:val="006932FB"/>
    <w:rsid w:val="006D6E9B"/>
    <w:rsid w:val="007709E3"/>
    <w:rsid w:val="00786F5C"/>
    <w:rsid w:val="007E5216"/>
    <w:rsid w:val="008710D6"/>
    <w:rsid w:val="008A6D61"/>
    <w:rsid w:val="008F454F"/>
    <w:rsid w:val="00A26181"/>
    <w:rsid w:val="00A2783E"/>
    <w:rsid w:val="00A30BAB"/>
    <w:rsid w:val="00A33CF0"/>
    <w:rsid w:val="00A37C31"/>
    <w:rsid w:val="00A547E8"/>
    <w:rsid w:val="00AA1D8D"/>
    <w:rsid w:val="00AF19EF"/>
    <w:rsid w:val="00AF3A8A"/>
    <w:rsid w:val="00B4080B"/>
    <w:rsid w:val="00B47730"/>
    <w:rsid w:val="00B96802"/>
    <w:rsid w:val="00C03FC8"/>
    <w:rsid w:val="00C24F8C"/>
    <w:rsid w:val="00CB0664"/>
    <w:rsid w:val="00CE3E05"/>
    <w:rsid w:val="00CF4F82"/>
    <w:rsid w:val="00D36A80"/>
    <w:rsid w:val="00D46C62"/>
    <w:rsid w:val="00D70E56"/>
    <w:rsid w:val="00DE1DF9"/>
    <w:rsid w:val="00E1628D"/>
    <w:rsid w:val="00E27FC5"/>
    <w:rsid w:val="00E32857"/>
    <w:rsid w:val="00E844D8"/>
    <w:rsid w:val="00EC5C16"/>
    <w:rsid w:val="00ED21A7"/>
    <w:rsid w:val="00F23E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54A120C-9DEE-42BD-91CD-D893E0208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26181"/>
    <w:rPr>
      <w:color w:val="0000FF" w:themeColor="hyperlink"/>
      <w:u w:val="single"/>
    </w:rPr>
  </w:style>
  <w:style w:type="character" w:styleId="UnresolvedMention">
    <w:name w:val="Unresolved Mention"/>
    <w:basedOn w:val="DefaultParagraphFont"/>
    <w:uiPriority w:val="99"/>
    <w:semiHidden/>
    <w:unhideWhenUsed/>
    <w:rsid w:val="00A261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mailto:osman.gani@farmasi.uio.n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osman.gani@farmasi.uio.no"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11</Pages>
  <Words>2501</Words>
  <Characters>13260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Osman Gani</cp:lastModifiedBy>
  <cp:revision>6</cp:revision>
  <dcterms:created xsi:type="dcterms:W3CDTF">2026-03-11T12:52:00Z</dcterms:created>
  <dcterms:modified xsi:type="dcterms:W3CDTF">2026-03-11T14:43:00Z</dcterms:modified>
  <cp:category/>
</cp:coreProperties>
</file>