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70" w:rsidRPr="0071775A" w:rsidRDefault="00FD4621" w:rsidP="006E2B70">
      <w:pPr>
        <w:rPr>
          <w:rFonts w:eastAsia="Times New Roman"/>
          <w:b/>
          <w:u w:val="single"/>
        </w:rPr>
      </w:pPr>
      <w:r w:rsidRPr="00FD4621">
        <w:rPr>
          <w:rFonts w:eastAsia="Times New Roman"/>
          <w:b/>
          <w:i/>
          <w:u w:val="single"/>
        </w:rPr>
        <w:t>PTEN</w:t>
      </w:r>
      <w:r w:rsidR="006E2B70" w:rsidRPr="0071775A">
        <w:rPr>
          <w:rFonts w:eastAsia="Times New Roman"/>
          <w:b/>
          <w:u w:val="single"/>
        </w:rPr>
        <w:t>-</w:t>
      </w:r>
      <w:r w:rsidR="009B675D">
        <w:rPr>
          <w:rFonts w:eastAsia="Times New Roman"/>
          <w:b/>
          <w:u w:val="single"/>
        </w:rPr>
        <w:t>R130*</w:t>
      </w:r>
      <w:r w:rsidR="006E2B70" w:rsidRPr="0071775A">
        <w:rPr>
          <w:rFonts w:eastAsia="Times New Roman"/>
          <w:b/>
          <w:u w:val="single"/>
        </w:rPr>
        <w:t>-</w:t>
      </w:r>
      <w:r w:rsidR="006E2B70">
        <w:rPr>
          <w:rFonts w:eastAsia="Times New Roman"/>
          <w:b/>
          <w:u w:val="single"/>
        </w:rPr>
        <w:t>HNSC</w:t>
      </w:r>
    </w:p>
    <w:p w:rsidR="0071775A" w:rsidRDefault="0071775A" w:rsidP="0071775A">
      <w:pPr>
        <w:rPr>
          <w:rFonts w:eastAsia="Times New Roman"/>
          <w:b/>
          <w:i/>
        </w:rPr>
      </w:pPr>
    </w:p>
    <w:p w:rsidR="00FD4621" w:rsidRPr="001C1903" w:rsidRDefault="0071775A" w:rsidP="00FD4621">
      <w:pPr>
        <w:rPr>
          <w:color w:val="000000" w:themeColor="text1"/>
        </w:rPr>
      </w:pPr>
      <w:r w:rsidRPr="00312EFB">
        <w:rPr>
          <w:rFonts w:eastAsia="Times New Roman"/>
          <w:b/>
          <w:i/>
        </w:rPr>
        <w:t>Gene Function</w:t>
      </w:r>
      <w:r w:rsidR="003A527C">
        <w:rPr>
          <w:rFonts w:eastAsia="Times New Roman"/>
          <w:b/>
          <w:i/>
        </w:rPr>
        <w:t xml:space="preserve"> and clinical relevance</w:t>
      </w:r>
      <w:r w:rsidRPr="00312EFB">
        <w:rPr>
          <w:rFonts w:eastAsia="Times New Roman"/>
          <w:b/>
        </w:rPr>
        <w:t>:</w:t>
      </w:r>
      <w:r>
        <w:rPr>
          <w:rFonts w:ascii="Tahoma" w:eastAsia="Times New Roman" w:hAnsi="Tahoma" w:cs="Tahoma"/>
          <w:b/>
          <w:sz w:val="18"/>
          <w:szCs w:val="18"/>
        </w:rPr>
        <w:t xml:space="preserve"> </w:t>
      </w:r>
      <w:r w:rsidR="00FD4621" w:rsidRPr="001C1903">
        <w:rPr>
          <w:bCs/>
          <w:iCs/>
          <w:color w:val="000000" w:themeColor="text1"/>
        </w:rPr>
        <w:t xml:space="preserve">The </w:t>
      </w:r>
      <w:r w:rsidR="00FD4621" w:rsidRPr="001C1903">
        <w:rPr>
          <w:bCs/>
          <w:i/>
          <w:iCs/>
          <w:color w:val="000000" w:themeColor="text1"/>
        </w:rPr>
        <w:t>PTEN</w:t>
      </w:r>
      <w:r w:rsidR="00FD4621" w:rsidRPr="001C1903">
        <w:rPr>
          <w:color w:val="000000" w:themeColor="text1"/>
        </w:rPr>
        <w:t xml:space="preserve"> gene encodes for the tumor suppressor protein, PTEN, which is a dual protein and lipid phosphatase. As a lipid phosphatase, it converts PIP3 to PIP2 and as a protein phosphatase; it dephosphorylates tyrosine, serine and threonine-phosphorylated proteins. The lipid phosphatase activity is critical for its function as a tumor suppressor protein as it inhibits the PI3K-AKT-mTOR signaling pathway. Somatic inactivating mutations and deletions in the </w:t>
      </w:r>
      <w:r w:rsidR="00FD4621" w:rsidRPr="001C1903">
        <w:rPr>
          <w:i/>
          <w:color w:val="000000" w:themeColor="text1"/>
        </w:rPr>
        <w:t>PTEN</w:t>
      </w:r>
      <w:r w:rsidR="00FD4621" w:rsidRPr="001C1903">
        <w:rPr>
          <w:color w:val="000000" w:themeColor="text1"/>
        </w:rPr>
        <w:t xml:space="preserve"> gene are associated with multiple cancers including uterine (21%), prostate (19-22%), glioblastoma (32%), lung (2-4%) and breast (9-10%) cancers (TCGA, provisional</w:t>
      </w:r>
      <w:r w:rsidR="00FD4621" w:rsidRPr="001C1903">
        <w:rPr>
          <w:rFonts w:eastAsia="Times New Roman"/>
          <w:color w:val="000000" w:themeColor="text1"/>
        </w:rPr>
        <w:t>, PMID:28481359</w:t>
      </w:r>
      <w:r w:rsidR="00FD4621" w:rsidRPr="001C1903">
        <w:rPr>
          <w:color w:val="000000" w:themeColor="text1"/>
        </w:rPr>
        <w:t>)</w:t>
      </w:r>
    </w:p>
    <w:p w:rsidR="0071775A" w:rsidRDefault="0071775A" w:rsidP="0071775A"/>
    <w:p w:rsidR="003F7987" w:rsidRPr="00BC0BB6" w:rsidRDefault="0071775A" w:rsidP="00FD4621">
      <w:pPr>
        <w:rPr>
          <w:color w:val="000000"/>
        </w:rPr>
      </w:pPr>
      <w:r w:rsidRPr="00FD57DB">
        <w:rPr>
          <w:b/>
          <w:i/>
        </w:rPr>
        <w:t>Alteration and Frequency</w:t>
      </w:r>
      <w:r>
        <w:t xml:space="preserve">: </w:t>
      </w:r>
      <w:r w:rsidR="00FD4621" w:rsidRPr="005A3816">
        <w:rPr>
          <w:color w:val="000000"/>
        </w:rPr>
        <w:t xml:space="preserve">The </w:t>
      </w:r>
      <w:r w:rsidR="00FD4621" w:rsidRPr="005A3816">
        <w:rPr>
          <w:rFonts w:eastAsia="Times New Roman"/>
          <w:color w:val="000000"/>
          <w:bdr w:val="none" w:sz="0" w:space="0" w:color="auto" w:frame="1"/>
        </w:rPr>
        <w:t>p.</w:t>
      </w:r>
      <w:r w:rsidR="009B675D">
        <w:rPr>
          <w:rFonts w:eastAsia="Times New Roman"/>
          <w:color w:val="000000"/>
          <w:bdr w:val="none" w:sz="0" w:space="0" w:color="auto" w:frame="1"/>
        </w:rPr>
        <w:t>Arg130*</w:t>
      </w:r>
      <w:r w:rsidR="00FD4621">
        <w:rPr>
          <w:rFonts w:eastAsia="Times New Roman"/>
          <w:color w:val="000000"/>
          <w:bdr w:val="none" w:sz="0" w:space="0" w:color="auto" w:frame="1"/>
        </w:rPr>
        <w:t xml:space="preserve"> (p.</w:t>
      </w:r>
      <w:r w:rsidR="009B675D">
        <w:rPr>
          <w:rFonts w:eastAsia="Times New Roman"/>
          <w:color w:val="000000"/>
          <w:bdr w:val="none" w:sz="0" w:space="0" w:color="auto" w:frame="1"/>
        </w:rPr>
        <w:t>R130*</w:t>
      </w:r>
      <w:r w:rsidR="00FD4621" w:rsidRPr="005A3816">
        <w:rPr>
          <w:rFonts w:eastAsia="Times New Roman"/>
          <w:color w:val="000000"/>
          <w:bdr w:val="none" w:sz="0" w:space="0" w:color="auto" w:frame="1"/>
        </w:rPr>
        <w:t>)</w:t>
      </w:r>
      <w:r w:rsidR="00FD4621" w:rsidRPr="005A3816">
        <w:rPr>
          <w:color w:val="000000"/>
        </w:rPr>
        <w:t xml:space="preserve"> </w:t>
      </w:r>
      <w:r w:rsidR="00FD4621">
        <w:rPr>
          <w:color w:val="000000"/>
        </w:rPr>
        <w:t>alteration</w:t>
      </w:r>
      <w:r w:rsidR="00FD4621" w:rsidRPr="005A3816">
        <w:rPr>
          <w:color w:val="000000"/>
        </w:rPr>
        <w:t xml:space="preserve"> in </w:t>
      </w:r>
      <w:r w:rsidR="00FD4621">
        <w:rPr>
          <w:i/>
          <w:color w:val="000000"/>
        </w:rPr>
        <w:t>PTEN</w:t>
      </w:r>
      <w:r w:rsidR="00FD4621">
        <w:rPr>
          <w:color w:val="000000"/>
        </w:rPr>
        <w:t xml:space="preserve"> </w:t>
      </w:r>
      <w:r w:rsidR="00BC0BB6" w:rsidRPr="00BC0BB6">
        <w:rPr>
          <w:color w:val="000000"/>
        </w:rPr>
        <w:t xml:space="preserve">results in a </w:t>
      </w:r>
      <w:r w:rsidR="00BC0BB6">
        <w:rPr>
          <w:color w:val="000000"/>
        </w:rPr>
        <w:t>premature truncation of the PTEN</w:t>
      </w:r>
      <w:r w:rsidR="00BC0BB6" w:rsidRPr="00BC0BB6">
        <w:rPr>
          <w:color w:val="000000"/>
        </w:rPr>
        <w:t xml:space="preserve"> protein at amino acid 130 of 403</w:t>
      </w:r>
      <w:r w:rsidR="00BC0BB6">
        <w:rPr>
          <w:color w:val="000000"/>
        </w:rPr>
        <w:t>,</w:t>
      </w:r>
      <w:r w:rsidR="00BC0BB6" w:rsidRPr="00BC0BB6">
        <w:rPr>
          <w:color w:val="000000"/>
        </w:rPr>
        <w:t xml:space="preserve"> within the phosphatase tensin-type domain</w:t>
      </w:r>
      <w:r w:rsidR="00BC0BB6">
        <w:rPr>
          <w:color w:val="000000"/>
        </w:rPr>
        <w:t xml:space="preserve">. The R130* results in loss of function of PTEN </w:t>
      </w:r>
      <w:r w:rsidR="00773024">
        <w:rPr>
          <w:color w:val="000000"/>
        </w:rPr>
        <w:t xml:space="preserve">constitutes about 7% of </w:t>
      </w:r>
      <w:r w:rsidR="00773024" w:rsidRPr="00207F1C">
        <w:rPr>
          <w:i/>
          <w:color w:val="000000"/>
        </w:rPr>
        <w:t>PTEN</w:t>
      </w:r>
      <w:r w:rsidR="00773024">
        <w:rPr>
          <w:color w:val="000000"/>
        </w:rPr>
        <w:t xml:space="preserve"> altered head and </w:t>
      </w:r>
      <w:r w:rsidR="00FD4621">
        <w:rPr>
          <w:color w:val="000000"/>
        </w:rPr>
        <w:t>neck cancers (</w:t>
      </w:r>
      <w:r w:rsidR="00FD4621" w:rsidRPr="00C90D3E">
        <w:rPr>
          <w:rFonts w:eastAsia="Times New Roman"/>
          <w:color w:val="000000"/>
        </w:rPr>
        <w:t>PMID:28481359</w:t>
      </w:r>
      <w:r w:rsidR="00FD4621">
        <w:rPr>
          <w:rFonts w:eastAsia="Times New Roman"/>
          <w:color w:val="000000"/>
        </w:rPr>
        <w:t xml:space="preserve">, </w:t>
      </w:r>
      <w:r w:rsidR="00FD4621" w:rsidRPr="005A3816">
        <w:rPr>
          <w:color w:val="000000"/>
        </w:rPr>
        <w:t>TCGA, provisional</w:t>
      </w:r>
      <w:r w:rsidR="00FD4621" w:rsidRPr="005A3816">
        <w:rPr>
          <w:rFonts w:eastAsia="Times New Roman"/>
          <w:color w:val="000000"/>
        </w:rPr>
        <w:t>).</w:t>
      </w:r>
      <w:r w:rsidR="00FD4621" w:rsidRPr="00870C6D">
        <w:rPr>
          <w:rFonts w:eastAsia="Times New Roman"/>
          <w:i/>
          <w:color w:val="000000"/>
        </w:rPr>
        <w:t xml:space="preserve"> </w:t>
      </w:r>
      <w:r w:rsidR="00F6639F">
        <w:rPr>
          <w:rFonts w:eastAsia="Times New Roman"/>
          <w:i/>
          <w:color w:val="000000"/>
        </w:rPr>
        <w:t xml:space="preserve">PTEN </w:t>
      </w:r>
      <w:r w:rsidR="00F6639F" w:rsidRPr="00F6639F">
        <w:rPr>
          <w:rFonts w:eastAsia="Times New Roman"/>
          <w:color w:val="000000"/>
        </w:rPr>
        <w:t>alterations are common in HPV-negative head and neck cancers</w:t>
      </w:r>
      <w:r w:rsidR="00F6639F">
        <w:rPr>
          <w:rFonts w:eastAsia="Times New Roman"/>
          <w:color w:val="000000"/>
        </w:rPr>
        <w:t xml:space="preserve"> (PMID:</w:t>
      </w:r>
      <w:r w:rsidR="00FD665B">
        <w:rPr>
          <w:rFonts w:eastAsia="Times New Roman"/>
          <w:color w:val="000000"/>
        </w:rPr>
        <w:t>25631445).</w:t>
      </w:r>
    </w:p>
    <w:p w:rsidR="00BC0BB6" w:rsidRPr="00F74C84" w:rsidRDefault="00BC0BB6" w:rsidP="00FD4621">
      <w:pPr>
        <w:rPr>
          <w:color w:val="000000"/>
        </w:rPr>
      </w:pPr>
    </w:p>
    <w:p w:rsidR="00655EDA" w:rsidRDefault="00655EDA" w:rsidP="0071775A">
      <w:r w:rsidRPr="00655EDA">
        <w:rPr>
          <w:b/>
          <w:i/>
        </w:rPr>
        <w:t>Prognostic Implications</w:t>
      </w:r>
      <w:r>
        <w:t xml:space="preserve">: </w:t>
      </w:r>
      <w:r w:rsidR="00542907">
        <w:t>Loss of Heterozygosity(</w:t>
      </w:r>
      <w:r w:rsidR="00425AB0" w:rsidRPr="00425AB0">
        <w:t>LOH</w:t>
      </w:r>
      <w:r w:rsidR="00542907">
        <w:t>)</w:t>
      </w:r>
      <w:r w:rsidR="00425AB0" w:rsidRPr="00425AB0">
        <w:t xml:space="preserve"> on chromosome 10</w:t>
      </w:r>
      <w:r w:rsidR="00542907">
        <w:t>,</w:t>
      </w:r>
      <w:r w:rsidR="00425AB0" w:rsidRPr="00425AB0">
        <w:t xml:space="preserve"> in the </w:t>
      </w:r>
      <w:r w:rsidR="00425AB0" w:rsidRPr="00542907">
        <w:rPr>
          <w:i/>
        </w:rPr>
        <w:t>PTEN</w:t>
      </w:r>
      <w:r w:rsidR="00425AB0" w:rsidRPr="00425AB0">
        <w:t xml:space="preserve"> locus and loss</w:t>
      </w:r>
      <w:r w:rsidR="00542907">
        <w:t xml:space="preserve"> of PTEN expression correlate with</w:t>
      </w:r>
      <w:r w:rsidR="00425AB0" w:rsidRPr="00425AB0">
        <w:t xml:space="preserve"> invasive and poorly differentiated car</w:t>
      </w:r>
      <w:r w:rsidR="00542907">
        <w:t xml:space="preserve">cinomas, lymph node metastases and poor prognosis of head and neck squamous cell carcinomas (PMID: </w:t>
      </w:r>
      <w:r w:rsidR="007657C1" w:rsidRPr="007657C1">
        <w:t>22413021</w:t>
      </w:r>
      <w:r w:rsidR="007657C1">
        <w:t>).</w:t>
      </w:r>
    </w:p>
    <w:p w:rsidR="00655EDA" w:rsidRDefault="00655EDA" w:rsidP="0071775A"/>
    <w:p w:rsidR="00983AF3" w:rsidRPr="00F74C84" w:rsidRDefault="0071775A" w:rsidP="00983AF3">
      <w:pPr>
        <w:rPr>
          <w:color w:val="000000"/>
        </w:rPr>
      </w:pPr>
      <w:r w:rsidRPr="003C4F12">
        <w:rPr>
          <w:b/>
          <w:i/>
        </w:rPr>
        <w:t xml:space="preserve">Therapeutic </w:t>
      </w:r>
      <w:r w:rsidR="00655EDA">
        <w:rPr>
          <w:b/>
          <w:i/>
        </w:rPr>
        <w:t>Implications</w:t>
      </w:r>
      <w:r>
        <w:t xml:space="preserve">: </w:t>
      </w:r>
      <w:r w:rsidRPr="00F74C84">
        <w:rPr>
          <w:bCs/>
          <w:color w:val="000000"/>
        </w:rPr>
        <w:t>There are no FDA approved</w:t>
      </w:r>
      <w:r w:rsidR="007E4891" w:rsidRPr="00F74C84">
        <w:rPr>
          <w:bCs/>
          <w:color w:val="000000"/>
        </w:rPr>
        <w:t xml:space="preserve"> or NCCN </w:t>
      </w:r>
      <w:r w:rsidR="004E13FA" w:rsidRPr="00F74C84">
        <w:rPr>
          <w:bCs/>
          <w:color w:val="000000"/>
        </w:rPr>
        <w:t>compendium recommended therapies</w:t>
      </w:r>
      <w:r w:rsidRPr="00F74C84">
        <w:rPr>
          <w:bCs/>
          <w:color w:val="000000"/>
        </w:rPr>
        <w:t xml:space="preserve"> selectively targeting </w:t>
      </w:r>
      <w:r w:rsidR="00F54AE1">
        <w:rPr>
          <w:i/>
        </w:rPr>
        <w:t xml:space="preserve">PTEN </w:t>
      </w:r>
      <w:r w:rsidR="00C84F47">
        <w:t>R130*</w:t>
      </w:r>
      <w:r w:rsidR="009357C8" w:rsidRPr="00F54AE1">
        <w:t xml:space="preserve"> </w:t>
      </w:r>
      <w:r w:rsidR="00F54AE1">
        <w:t>alteration</w:t>
      </w:r>
      <w:r w:rsidR="009357C8" w:rsidRPr="00A05106">
        <w:t xml:space="preserve"> </w:t>
      </w:r>
      <w:r w:rsidR="009203C5" w:rsidRPr="00F74C84">
        <w:rPr>
          <w:bCs/>
          <w:color w:val="000000"/>
        </w:rPr>
        <w:t xml:space="preserve">in </w:t>
      </w:r>
      <w:r w:rsidR="00007505" w:rsidRPr="00F74C84">
        <w:rPr>
          <w:bCs/>
          <w:color w:val="000000"/>
        </w:rPr>
        <w:t>head and neck squamous cell carcinomas.</w:t>
      </w:r>
      <w:r w:rsidRPr="00F74C84">
        <w:rPr>
          <w:color w:val="000000"/>
        </w:rPr>
        <w:t xml:space="preserve"> </w:t>
      </w:r>
    </w:p>
    <w:p w:rsidR="000E75A3" w:rsidRDefault="000E75A3" w:rsidP="00983AF3">
      <w:pPr>
        <w:rPr>
          <w:color w:val="000000"/>
        </w:rPr>
      </w:pPr>
    </w:p>
    <w:p w:rsidR="004D68B5" w:rsidRDefault="00C70016" w:rsidP="00341E39">
      <w:pPr>
        <w:rPr>
          <w:color w:val="000000"/>
        </w:rPr>
      </w:pPr>
      <w:r>
        <w:rPr>
          <w:color w:val="000000"/>
        </w:rPr>
        <w:t>In a phase II study</w:t>
      </w:r>
      <w:r w:rsidRPr="00C70016">
        <w:rPr>
          <w:color w:val="000000"/>
        </w:rPr>
        <w:t>, a</w:t>
      </w:r>
      <w:r>
        <w:rPr>
          <w:color w:val="000000"/>
        </w:rPr>
        <w:t xml:space="preserve"> </w:t>
      </w:r>
      <w:r w:rsidRPr="00C70016">
        <w:rPr>
          <w:color w:val="000000"/>
        </w:rPr>
        <w:t>head and neck squamous cell carcinoma patient with harboring</w:t>
      </w:r>
      <w:r>
        <w:rPr>
          <w:color w:val="000000"/>
        </w:rPr>
        <w:t xml:space="preserve"> a</w:t>
      </w:r>
      <w:r w:rsidRPr="00C70016">
        <w:rPr>
          <w:color w:val="000000"/>
        </w:rPr>
        <w:t xml:space="preserve"> </w:t>
      </w:r>
      <w:r w:rsidRPr="00C70016">
        <w:rPr>
          <w:i/>
          <w:color w:val="000000"/>
        </w:rPr>
        <w:t>PTEN</w:t>
      </w:r>
      <w:r w:rsidRPr="00C70016">
        <w:rPr>
          <w:color w:val="000000"/>
        </w:rPr>
        <w:t xml:space="preserve"> R130Q</w:t>
      </w:r>
      <w:r>
        <w:rPr>
          <w:color w:val="000000"/>
        </w:rPr>
        <w:t xml:space="preserve"> mutation exhibited </w:t>
      </w:r>
      <w:r w:rsidRPr="00C70016">
        <w:rPr>
          <w:color w:val="000000"/>
        </w:rPr>
        <w:t xml:space="preserve">a partial response </w:t>
      </w:r>
      <w:r>
        <w:rPr>
          <w:color w:val="000000"/>
        </w:rPr>
        <w:t xml:space="preserve">on treatment </w:t>
      </w:r>
      <w:r w:rsidRPr="00C70016">
        <w:rPr>
          <w:color w:val="000000"/>
        </w:rPr>
        <w:t xml:space="preserve">with the combination of </w:t>
      </w:r>
      <w:r>
        <w:rPr>
          <w:color w:val="000000"/>
        </w:rPr>
        <w:t xml:space="preserve">the mTOR inhibitor, </w:t>
      </w:r>
      <w:r w:rsidRPr="00C70016">
        <w:rPr>
          <w:b/>
          <w:color w:val="000000"/>
        </w:rPr>
        <w:t>Temsirolimus</w:t>
      </w:r>
      <w:r w:rsidR="002374DD" w:rsidRPr="002374DD">
        <w:rPr>
          <w:color w:val="000000"/>
        </w:rPr>
        <w:t>,</w:t>
      </w:r>
      <w:r w:rsidR="002374DD">
        <w:rPr>
          <w:color w:val="000000"/>
        </w:rPr>
        <w:t xml:space="preserve"> </w:t>
      </w:r>
      <w:r w:rsidRPr="00C70016">
        <w:rPr>
          <w:b/>
          <w:color w:val="000000"/>
        </w:rPr>
        <w:t>Carboplatin</w:t>
      </w:r>
      <w:r>
        <w:rPr>
          <w:color w:val="000000"/>
        </w:rPr>
        <w:t xml:space="preserve"> and </w:t>
      </w:r>
      <w:r w:rsidRPr="00C70016">
        <w:rPr>
          <w:b/>
          <w:color w:val="000000"/>
        </w:rPr>
        <w:t>Paclitaxel</w:t>
      </w:r>
      <w:r w:rsidRPr="00C70016">
        <w:rPr>
          <w:color w:val="000000"/>
        </w:rPr>
        <w:t xml:space="preserve"> (PMID: 28961834).</w:t>
      </w:r>
    </w:p>
    <w:p w:rsidR="00780D84" w:rsidRDefault="00780D84" w:rsidP="00341E39">
      <w:pPr>
        <w:rPr>
          <w:color w:val="000000"/>
        </w:rPr>
      </w:pPr>
    </w:p>
    <w:p w:rsidR="00731BF7" w:rsidRDefault="00780D84" w:rsidP="00341E39">
      <w:pPr>
        <w:rPr>
          <w:color w:val="000000"/>
        </w:rPr>
      </w:pPr>
      <w:r w:rsidRPr="00780D84">
        <w:rPr>
          <w:color w:val="000000"/>
        </w:rPr>
        <w:t>In</w:t>
      </w:r>
      <w:r>
        <w:rPr>
          <w:color w:val="000000"/>
        </w:rPr>
        <w:t xml:space="preserve"> a preclinical study, </w:t>
      </w:r>
      <w:r w:rsidRPr="009F7CEC">
        <w:rPr>
          <w:i/>
          <w:color w:val="000000"/>
        </w:rPr>
        <w:t>PTEN</w:t>
      </w:r>
      <w:r>
        <w:rPr>
          <w:color w:val="000000"/>
        </w:rPr>
        <w:t xml:space="preserve"> mutant head and neck squamous cell ca</w:t>
      </w:r>
      <w:r w:rsidR="009F7CEC">
        <w:rPr>
          <w:color w:val="000000"/>
        </w:rPr>
        <w:t>rcinoma cell lines were less sensitive or resist</w:t>
      </w:r>
      <w:r w:rsidR="00731BF7">
        <w:rPr>
          <w:color w:val="000000"/>
        </w:rPr>
        <w:t>ant to inhibition by</w:t>
      </w:r>
      <w:r w:rsidR="009F7CEC">
        <w:rPr>
          <w:color w:val="000000"/>
        </w:rPr>
        <w:t xml:space="preserve"> </w:t>
      </w:r>
      <w:r w:rsidR="009F7CEC" w:rsidRPr="009F7CEC">
        <w:rPr>
          <w:b/>
          <w:color w:val="000000"/>
        </w:rPr>
        <w:t>Taselisib</w:t>
      </w:r>
      <w:r w:rsidR="009F7CEC">
        <w:rPr>
          <w:color w:val="000000"/>
        </w:rPr>
        <w:t xml:space="preserve">, a </w:t>
      </w:r>
      <w:r w:rsidR="00102213" w:rsidRPr="00780D84">
        <w:rPr>
          <w:color w:val="000000"/>
        </w:rPr>
        <w:t>PI3K</w:t>
      </w:r>
      <w:r w:rsidR="00102213">
        <w:rPr>
          <w:color w:val="000000"/>
        </w:rPr>
        <w:t>-</w:t>
      </w:r>
      <w:r w:rsidR="00102213" w:rsidRPr="00F859E4">
        <w:t xml:space="preserve"> </w:t>
      </w:r>
      <w:r w:rsidR="00AE473E">
        <w:t xml:space="preserve">α β δ Δ λ </w:t>
      </w:r>
      <w:r w:rsidRPr="00780D84">
        <w:rPr>
          <w:color w:val="000000"/>
        </w:rPr>
        <w:t>isoform-specific inhib</w:t>
      </w:r>
      <w:r w:rsidR="00731BF7">
        <w:rPr>
          <w:color w:val="000000"/>
        </w:rPr>
        <w:t xml:space="preserve">itor in a cell proliferation assay </w:t>
      </w:r>
      <w:r w:rsidR="00731BF7" w:rsidRPr="00731BF7">
        <w:rPr>
          <w:i/>
          <w:color w:val="000000"/>
        </w:rPr>
        <w:t>in vitro</w:t>
      </w:r>
      <w:r w:rsidR="00731BF7">
        <w:rPr>
          <w:i/>
          <w:color w:val="000000"/>
        </w:rPr>
        <w:t xml:space="preserve"> </w:t>
      </w:r>
      <w:r w:rsidR="00731BF7" w:rsidRPr="00731BF7">
        <w:rPr>
          <w:color w:val="000000"/>
        </w:rPr>
        <w:t>(PMID: 26589432)</w:t>
      </w:r>
      <w:r w:rsidR="00F1341F">
        <w:rPr>
          <w:color w:val="000000"/>
        </w:rPr>
        <w:t xml:space="preserve"> </w:t>
      </w:r>
    </w:p>
    <w:p w:rsidR="00F1341F" w:rsidRDefault="00F1341F" w:rsidP="00341E39">
      <w:pPr>
        <w:rPr>
          <w:color w:val="000000"/>
        </w:rPr>
      </w:pPr>
    </w:p>
    <w:p w:rsidR="00F1341F" w:rsidRDefault="00F1341F" w:rsidP="00341E39">
      <w:pPr>
        <w:rPr>
          <w:color w:val="000000"/>
        </w:rPr>
      </w:pPr>
      <w:r>
        <w:rPr>
          <w:color w:val="000000"/>
        </w:rPr>
        <w:t>β</w:t>
      </w:r>
    </w:p>
    <w:p w:rsidR="00F1341F" w:rsidRDefault="00F1341F" w:rsidP="00341E39">
      <w:pPr>
        <w:rPr>
          <w:color w:val="000000"/>
        </w:rPr>
      </w:pPr>
      <w:r>
        <w:rPr>
          <w:color w:val="000000"/>
        </w:rPr>
        <w:t>α</w:t>
      </w:r>
    </w:p>
    <w:p w:rsidR="00F1341F" w:rsidRPr="00731BF7" w:rsidRDefault="00F1341F" w:rsidP="00341E39">
      <w:pPr>
        <w:rPr>
          <w:color w:val="000000"/>
        </w:rPr>
      </w:pPr>
      <w:bookmarkStart w:id="0" w:name="_GoBack"/>
      <w:bookmarkEnd w:id="0"/>
    </w:p>
    <w:p w:rsidR="00731BF7" w:rsidRDefault="00731BF7" w:rsidP="00341E39">
      <w:pPr>
        <w:rPr>
          <w:color w:val="000000"/>
        </w:rPr>
      </w:pPr>
    </w:p>
    <w:p w:rsidR="00780D84" w:rsidRPr="00F74C84" w:rsidRDefault="00780D84" w:rsidP="00341E39">
      <w:pPr>
        <w:rPr>
          <w:color w:val="000000"/>
        </w:rPr>
      </w:pPr>
    </w:p>
    <w:sectPr w:rsidR="00780D84" w:rsidRPr="00F74C84" w:rsidSect="000C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8C"/>
    <w:rsid w:val="00007505"/>
    <w:rsid w:val="00012336"/>
    <w:rsid w:val="00016901"/>
    <w:rsid w:val="00091CC1"/>
    <w:rsid w:val="000923D4"/>
    <w:rsid w:val="00096666"/>
    <w:rsid w:val="000A7263"/>
    <w:rsid w:val="000B4809"/>
    <w:rsid w:val="000C355C"/>
    <w:rsid w:val="000D29B7"/>
    <w:rsid w:val="000E75A3"/>
    <w:rsid w:val="00102213"/>
    <w:rsid w:val="00107754"/>
    <w:rsid w:val="00115DF5"/>
    <w:rsid w:val="0013069B"/>
    <w:rsid w:val="001401C1"/>
    <w:rsid w:val="00191473"/>
    <w:rsid w:val="001A28DE"/>
    <w:rsid w:val="001B01A6"/>
    <w:rsid w:val="001B4534"/>
    <w:rsid w:val="001C44D1"/>
    <w:rsid w:val="001C5CEE"/>
    <w:rsid w:val="00207F1C"/>
    <w:rsid w:val="002205A4"/>
    <w:rsid w:val="002374DD"/>
    <w:rsid w:val="00270DC4"/>
    <w:rsid w:val="002A6FBE"/>
    <w:rsid w:val="002B1774"/>
    <w:rsid w:val="002C366D"/>
    <w:rsid w:val="002D682C"/>
    <w:rsid w:val="002E0AFD"/>
    <w:rsid w:val="002F65FE"/>
    <w:rsid w:val="003153CC"/>
    <w:rsid w:val="00316253"/>
    <w:rsid w:val="00330FC5"/>
    <w:rsid w:val="00337938"/>
    <w:rsid w:val="00341E39"/>
    <w:rsid w:val="0037196E"/>
    <w:rsid w:val="00376C21"/>
    <w:rsid w:val="0039531F"/>
    <w:rsid w:val="003A527C"/>
    <w:rsid w:val="003A642A"/>
    <w:rsid w:val="003D7158"/>
    <w:rsid w:val="003E3101"/>
    <w:rsid w:val="003E6F30"/>
    <w:rsid w:val="003F7987"/>
    <w:rsid w:val="00403A75"/>
    <w:rsid w:val="00404466"/>
    <w:rsid w:val="00406E17"/>
    <w:rsid w:val="0042047D"/>
    <w:rsid w:val="00425AB0"/>
    <w:rsid w:val="0043686D"/>
    <w:rsid w:val="0044678C"/>
    <w:rsid w:val="00460115"/>
    <w:rsid w:val="00464107"/>
    <w:rsid w:val="00467ECA"/>
    <w:rsid w:val="0048084A"/>
    <w:rsid w:val="00482009"/>
    <w:rsid w:val="004D68B5"/>
    <w:rsid w:val="004E13FA"/>
    <w:rsid w:val="004E3D54"/>
    <w:rsid w:val="004F3971"/>
    <w:rsid w:val="004F4A2B"/>
    <w:rsid w:val="00520EEA"/>
    <w:rsid w:val="00527429"/>
    <w:rsid w:val="00537FC5"/>
    <w:rsid w:val="00542907"/>
    <w:rsid w:val="0054415D"/>
    <w:rsid w:val="00591523"/>
    <w:rsid w:val="005A3F5F"/>
    <w:rsid w:val="005B1908"/>
    <w:rsid w:val="005C0793"/>
    <w:rsid w:val="005C1CE3"/>
    <w:rsid w:val="005D09C5"/>
    <w:rsid w:val="005D13E8"/>
    <w:rsid w:val="005E57E7"/>
    <w:rsid w:val="00602DBF"/>
    <w:rsid w:val="00604C15"/>
    <w:rsid w:val="00611CCB"/>
    <w:rsid w:val="00655EDA"/>
    <w:rsid w:val="00660787"/>
    <w:rsid w:val="0068670A"/>
    <w:rsid w:val="006927A6"/>
    <w:rsid w:val="006A3348"/>
    <w:rsid w:val="006A38A7"/>
    <w:rsid w:val="006A5BB3"/>
    <w:rsid w:val="006E2B70"/>
    <w:rsid w:val="006F35E1"/>
    <w:rsid w:val="006F43F3"/>
    <w:rsid w:val="006F44BB"/>
    <w:rsid w:val="006F5B91"/>
    <w:rsid w:val="0070074E"/>
    <w:rsid w:val="00702BAE"/>
    <w:rsid w:val="00703DFD"/>
    <w:rsid w:val="00715384"/>
    <w:rsid w:val="0071775A"/>
    <w:rsid w:val="00723CB7"/>
    <w:rsid w:val="00725F78"/>
    <w:rsid w:val="00731BF7"/>
    <w:rsid w:val="007447C4"/>
    <w:rsid w:val="00752AA3"/>
    <w:rsid w:val="00756142"/>
    <w:rsid w:val="00756E76"/>
    <w:rsid w:val="007635EF"/>
    <w:rsid w:val="007657C1"/>
    <w:rsid w:val="00772D34"/>
    <w:rsid w:val="00773024"/>
    <w:rsid w:val="0077430B"/>
    <w:rsid w:val="00780D84"/>
    <w:rsid w:val="00781902"/>
    <w:rsid w:val="0078487B"/>
    <w:rsid w:val="007A38AD"/>
    <w:rsid w:val="007A7CEA"/>
    <w:rsid w:val="007B1153"/>
    <w:rsid w:val="007B47AF"/>
    <w:rsid w:val="007C27A4"/>
    <w:rsid w:val="007C56DF"/>
    <w:rsid w:val="007E4891"/>
    <w:rsid w:val="007E5A95"/>
    <w:rsid w:val="00802C8A"/>
    <w:rsid w:val="00806179"/>
    <w:rsid w:val="00844144"/>
    <w:rsid w:val="00857C7C"/>
    <w:rsid w:val="0086529F"/>
    <w:rsid w:val="0087511D"/>
    <w:rsid w:val="008A738E"/>
    <w:rsid w:val="008B28C3"/>
    <w:rsid w:val="008C7919"/>
    <w:rsid w:val="008D1F30"/>
    <w:rsid w:val="008E1483"/>
    <w:rsid w:val="008E4FF9"/>
    <w:rsid w:val="009136DF"/>
    <w:rsid w:val="009203C5"/>
    <w:rsid w:val="0092511A"/>
    <w:rsid w:val="009322C9"/>
    <w:rsid w:val="009357C8"/>
    <w:rsid w:val="00937468"/>
    <w:rsid w:val="00975492"/>
    <w:rsid w:val="00983AF3"/>
    <w:rsid w:val="00986D17"/>
    <w:rsid w:val="009B1699"/>
    <w:rsid w:val="009B675D"/>
    <w:rsid w:val="009C3137"/>
    <w:rsid w:val="009D2E91"/>
    <w:rsid w:val="009D340B"/>
    <w:rsid w:val="009E0C27"/>
    <w:rsid w:val="009F7CEC"/>
    <w:rsid w:val="00A039B1"/>
    <w:rsid w:val="00A05106"/>
    <w:rsid w:val="00A07F06"/>
    <w:rsid w:val="00A125B3"/>
    <w:rsid w:val="00A22ED3"/>
    <w:rsid w:val="00A40A5D"/>
    <w:rsid w:val="00A71BE7"/>
    <w:rsid w:val="00A774ED"/>
    <w:rsid w:val="00AA6AD3"/>
    <w:rsid w:val="00AB0E21"/>
    <w:rsid w:val="00AB1290"/>
    <w:rsid w:val="00AD19DB"/>
    <w:rsid w:val="00AE19E2"/>
    <w:rsid w:val="00AE473E"/>
    <w:rsid w:val="00B04CEB"/>
    <w:rsid w:val="00B119CD"/>
    <w:rsid w:val="00B31576"/>
    <w:rsid w:val="00B3549A"/>
    <w:rsid w:val="00B36F3E"/>
    <w:rsid w:val="00B67014"/>
    <w:rsid w:val="00B72D06"/>
    <w:rsid w:val="00B8415B"/>
    <w:rsid w:val="00B97E48"/>
    <w:rsid w:val="00BA134D"/>
    <w:rsid w:val="00BC0BB6"/>
    <w:rsid w:val="00BF16CC"/>
    <w:rsid w:val="00C11C5D"/>
    <w:rsid w:val="00C40C3D"/>
    <w:rsid w:val="00C61D7D"/>
    <w:rsid w:val="00C66C80"/>
    <w:rsid w:val="00C70016"/>
    <w:rsid w:val="00C84F47"/>
    <w:rsid w:val="00C90885"/>
    <w:rsid w:val="00C95C3F"/>
    <w:rsid w:val="00C978FD"/>
    <w:rsid w:val="00CA336D"/>
    <w:rsid w:val="00CB0628"/>
    <w:rsid w:val="00CC0EFD"/>
    <w:rsid w:val="00CC42C8"/>
    <w:rsid w:val="00CE4441"/>
    <w:rsid w:val="00CF1A45"/>
    <w:rsid w:val="00CF3708"/>
    <w:rsid w:val="00D111D0"/>
    <w:rsid w:val="00D21061"/>
    <w:rsid w:val="00D32419"/>
    <w:rsid w:val="00D5768E"/>
    <w:rsid w:val="00D728A0"/>
    <w:rsid w:val="00D7355D"/>
    <w:rsid w:val="00D83092"/>
    <w:rsid w:val="00D94391"/>
    <w:rsid w:val="00DC3EB5"/>
    <w:rsid w:val="00DE2EF6"/>
    <w:rsid w:val="00DE778D"/>
    <w:rsid w:val="00DE7895"/>
    <w:rsid w:val="00E3436F"/>
    <w:rsid w:val="00E4341B"/>
    <w:rsid w:val="00E6588C"/>
    <w:rsid w:val="00E749C9"/>
    <w:rsid w:val="00E77226"/>
    <w:rsid w:val="00E77497"/>
    <w:rsid w:val="00E80191"/>
    <w:rsid w:val="00E82D33"/>
    <w:rsid w:val="00E84D7F"/>
    <w:rsid w:val="00E93177"/>
    <w:rsid w:val="00EA2AA6"/>
    <w:rsid w:val="00EC0AAF"/>
    <w:rsid w:val="00ED3CA3"/>
    <w:rsid w:val="00ED513C"/>
    <w:rsid w:val="00ED6A1F"/>
    <w:rsid w:val="00EE0886"/>
    <w:rsid w:val="00EE2778"/>
    <w:rsid w:val="00EF59B5"/>
    <w:rsid w:val="00F1341F"/>
    <w:rsid w:val="00F15029"/>
    <w:rsid w:val="00F27767"/>
    <w:rsid w:val="00F41FE0"/>
    <w:rsid w:val="00F54AE1"/>
    <w:rsid w:val="00F660DF"/>
    <w:rsid w:val="00F6639F"/>
    <w:rsid w:val="00F74C84"/>
    <w:rsid w:val="00F87555"/>
    <w:rsid w:val="00FD05FD"/>
    <w:rsid w:val="00FD4621"/>
    <w:rsid w:val="00FD665B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35859"/>
  <w14:defaultImageDpi w14:val="32767"/>
  <w15:chartTrackingRefBased/>
  <w15:docId w15:val="{4DE96CB0-4DAE-7149-9098-9CC52EA0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75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Thirumurthi</dc:creator>
  <cp:keywords/>
  <dc:description/>
  <cp:lastModifiedBy>Osman Siddiqui</cp:lastModifiedBy>
  <cp:revision>10</cp:revision>
  <dcterms:created xsi:type="dcterms:W3CDTF">2018-03-13T17:27:00Z</dcterms:created>
  <dcterms:modified xsi:type="dcterms:W3CDTF">2018-03-19T16:33:00Z</dcterms:modified>
</cp:coreProperties>
</file>