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Calibri" w:hAnsi="Calibri"/>
          <w:b/>
          <w:i w:val="0"/>
          <w:color w:val="2E74B5"/>
          <w:sz w:val="19"/>
        </w:rPr>
        <w:t>SEGUNDO MINI PROYECTO · FRONTEND</w:t>
      </w:r>
    </w:p>
    <w:p>
      <w:pPr>
        <w:pStyle w:val="Title"/>
        <w:spacing w:before="0" w:after="80"/>
      </w:pPr>
      <w:r>
        <w:t>JobConnect · Responsabilidades del Integrante 1</w:t>
      </w:r>
    </w:p>
    <w:p>
      <w:pPr>
        <w:pStyle w:val="Subtitle"/>
      </w:pPr>
      <w:r>
        <w:t>Autenticación · Candidatos · Entrevistas/notas · Tareas del reclutador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Proyecto: </w:t>
      </w:r>
      <w:r>
        <w:rPr>
          <w:rFonts w:ascii="Calibri" w:hAnsi="Calibri"/>
          <w:b w:val="0"/>
          <w:i w:val="0"/>
          <w:color w:val="172033"/>
          <w:sz w:val="21"/>
        </w:rPr>
        <w:t>Sistema para Empresa de Empleabilidad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Responsabilidad: </w:t>
      </w:r>
      <w:r>
        <w:rPr>
          <w:rFonts w:ascii="Calibri" w:hAnsi="Calibri"/>
          <w:b w:val="0"/>
          <w:i w:val="0"/>
          <w:color w:val="172033"/>
          <w:sz w:val="21"/>
        </w:rPr>
        <w:t>Sistema de autenticación completo + 3 CRUDs completos + 3 entregables documentales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F3A5F"/>
          <w:sz w:val="21"/>
        </w:rPr>
        <w:t xml:space="preserve">Modalidad: </w:t>
      </w:r>
      <w:r>
        <w:rPr>
          <w:rFonts w:ascii="Calibri" w:hAnsi="Calibri"/>
          <w:b w:val="0"/>
          <w:i w:val="0"/>
          <w:color w:val="172033"/>
          <w:sz w:val="21"/>
        </w:rPr>
        <w:t>Trabajo individual dentro del equipo, con propiedad completa por componente</w:t>
      </w:r>
    </w:p>
    <w:p>
      <w:pPr>
        <w:spacing w:before="200" w:after="200" w:line="288" w:lineRule="auto"/>
        <w:ind w:left="202" w:right="115"/>
        <w:shd w:fill="E9F7F2"/>
        <w:pBdr>
          <w:left w:val="single" w:sz="18" w:space="8" w:color="167C5A"/>
        </w:pBdr>
      </w:pPr>
      <w:r>
        <w:rPr>
          <w:rFonts w:ascii="Calibri" w:hAnsi="Calibri"/>
          <w:b/>
          <w:i w:val="0"/>
          <w:color w:val="167C5A"/>
          <w:sz w:val="21"/>
        </w:rPr>
        <w:t xml:space="preserve">Alcance exclusivo: </w:t>
      </w:r>
      <w:r>
        <w:rPr>
          <w:rFonts w:ascii="Calibri" w:hAnsi="Calibri"/>
          <w:b w:val="0"/>
          <w:i w:val="0"/>
          <w:color w:val="172033"/>
          <w:sz w:val="21"/>
        </w:rPr>
        <w:t>Este integrante es dueño de principio a fin del acceso al sistema y de tres módulos. Su carga incluye 13 operaciones HTTP más todo el flujo de sesión.</w:t>
      </w:r>
    </w:p>
    <w:p>
      <w:pPr>
        <w:pStyle w:val="Heading1"/>
      </w:pPr>
      <w:r>
        <w:t>Resumen de carga técnica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Módulo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Endpoint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Métodos obligatorios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Candidatos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/users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GET · POST · PUT · PATCH · DELETE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Entrevistas / notas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/comments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GET · POST · PATCH · DELETE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Tareas del reclutador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/todos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GET · POST · PATCH · DELETE</w:t>
            </w:r>
          </w:p>
        </w:tc>
      </w:tr>
    </w:tbl>
    <w:p>
      <w:pPr>
        <w:spacing w:after="0"/>
      </w:pPr>
    </w:p>
    <w:p>
      <w:pPr>
        <w:pStyle w:val="Heading1"/>
      </w:pPr>
      <w:r>
        <w:t>1. Sistema completo de autenticación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Construir la pantalla de inicio de sesión con usuario y contraseña.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Enviar el login mediante POST al endpoint /auth/login.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Validar las respuestas correctas e incorrectas del servicio.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Guardar el token de sesión en localStorage.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Crear el servicio de sesión y la función para agregar Authorization a las peticiones protegidas.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Impedir el acceso a los módulos cuando no exista un token válido.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Redirigir al login cuando la sesión no esté disponible.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Implementar el cierre de sesión y eliminar el token almacenado.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Evitar que las credenciales o tokens queden escritos directamente en el código fuente.</w:t>
      </w:r>
    </w:p>
    <w:p>
      <w:pPr>
        <w:spacing w:before="200" w:after="200" w:line="288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Cobertura: </w:t>
      </w:r>
      <w:r>
        <w:rPr>
          <w:rFonts w:ascii="Calibri" w:hAnsi="Calibri"/>
          <w:b w:val="0"/>
          <w:i w:val="0"/>
          <w:color w:val="172033"/>
          <w:sz w:val="21"/>
        </w:rPr>
        <w:t>Esta responsabilidad cubre completamente RF-01, RF-02, RF-03, RF-04 y RNF-08.</w:t>
      </w:r>
    </w:p>
    <w:p>
      <w:pPr>
        <w:pStyle w:val="Heading1"/>
      </w:pPr>
      <w:r>
        <w:t>2. Módulos CRUD asignados</w:t>
      </w:r>
    </w:p>
    <w:p>
      <w:pPr>
        <w:pStyle w:val="Heading2"/>
      </w:pPr>
      <w:r>
        <w:t>2.1 Candidatos</w:t>
      </w:r>
    </w:p>
    <w:p>
      <w:pPr>
        <w:keepNext/>
      </w:pPr>
      <w:r>
        <w:rPr>
          <w:rFonts w:ascii="Calibri" w:hAnsi="Calibri"/>
          <w:b/>
          <w:i w:val="0"/>
          <w:color w:val="1F3A5F"/>
          <w:sz w:val="22"/>
        </w:rPr>
        <w:t xml:space="preserve">Endpoint: </w:t>
      </w:r>
      <w:r>
        <w:rPr>
          <w:rFonts w:ascii="Calibri" w:hAnsi="Calibri"/>
          <w:b/>
          <w:i w:val="0"/>
          <w:color w:val="2E74B5"/>
          <w:sz w:val="22"/>
        </w:rPr>
        <w:t>/users</w:t>
      </w:r>
      <w:r>
        <w:rPr>
          <w:rFonts w:ascii="Calibri" w:hAnsi="Calibri"/>
          <w:b w:val="0"/>
          <w:i w:val="0"/>
          <w:color w:val="172033"/>
          <w:sz w:val="22"/>
        </w:rPr>
        <w:t xml:space="preserve">  ·  Administración completa de las personas candidatas.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GET:</w:t>
      </w:r>
      <w:r>
        <w:rPr>
          <w:rFonts w:ascii="Calibri" w:hAnsi="Calibri"/>
          <w:b w:val="0"/>
          <w:i w:val="0"/>
          <w:color w:val="172033"/>
          <w:sz w:val="22"/>
        </w:rPr>
        <w:t xml:space="preserve"> listar los candidatos disponibles.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POST:</w:t>
      </w:r>
      <w:r>
        <w:rPr>
          <w:rFonts w:ascii="Calibri" w:hAnsi="Calibri"/>
          <w:b w:val="0"/>
          <w:i w:val="0"/>
          <w:color w:val="172033"/>
          <w:sz w:val="22"/>
        </w:rPr>
        <w:t xml:space="preserve"> registrar un candidato nuevo.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PUT:</w:t>
      </w:r>
      <w:r>
        <w:rPr>
          <w:rFonts w:ascii="Calibri" w:hAnsi="Calibri"/>
          <w:b w:val="0"/>
          <w:i w:val="0"/>
          <w:color w:val="172033"/>
          <w:sz w:val="22"/>
        </w:rPr>
        <w:t xml:space="preserve"> reemplazar completamente la información de un candidato.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PATCH:</w:t>
      </w:r>
      <w:r>
        <w:rPr>
          <w:rFonts w:ascii="Calibri" w:hAnsi="Calibri"/>
          <w:b w:val="0"/>
          <w:i w:val="0"/>
          <w:color w:val="172033"/>
          <w:sz w:val="22"/>
        </w:rPr>
        <w:t xml:space="preserve"> modificar únicamente campos seleccionados.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DELETE:</w:t>
      </w:r>
      <w:r>
        <w:rPr>
          <w:rFonts w:ascii="Calibri" w:hAnsi="Calibri"/>
          <w:b w:val="0"/>
          <w:i w:val="0"/>
          <w:color w:val="172033"/>
          <w:sz w:val="22"/>
        </w:rPr>
        <w:t xml:space="preserve"> eliminar un candidato después de solicitar confirmación.</w:t>
      </w:r>
    </w:p>
    <w:p>
      <w:pPr>
        <w:pStyle w:val="Heading2"/>
      </w:pPr>
      <w:r>
        <w:t>2.2 Entrevistas y notas</w:t>
      </w:r>
    </w:p>
    <w:p>
      <w:pPr>
        <w:keepNext/>
      </w:pPr>
      <w:r>
        <w:rPr>
          <w:rFonts w:ascii="Calibri" w:hAnsi="Calibri"/>
          <w:b/>
          <w:i w:val="0"/>
          <w:color w:val="1F3A5F"/>
          <w:sz w:val="22"/>
        </w:rPr>
        <w:t xml:space="preserve">Endpoint: </w:t>
      </w:r>
      <w:r>
        <w:rPr>
          <w:rFonts w:ascii="Calibri" w:hAnsi="Calibri"/>
          <w:b/>
          <w:i w:val="0"/>
          <w:color w:val="2E74B5"/>
          <w:sz w:val="22"/>
        </w:rPr>
        <w:t>/comments</w:t>
      </w:r>
      <w:r>
        <w:rPr>
          <w:rFonts w:ascii="Calibri" w:hAnsi="Calibri"/>
          <w:b w:val="0"/>
          <w:i w:val="0"/>
          <w:color w:val="172033"/>
          <w:sz w:val="22"/>
        </w:rPr>
        <w:t xml:space="preserve">  ·  Gestión completa de comentarios utilizados como entrevistas o notas.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GET:</w:t>
      </w:r>
      <w:r>
        <w:rPr>
          <w:rFonts w:ascii="Calibri" w:hAnsi="Calibri"/>
          <w:b w:val="0"/>
          <w:i w:val="0"/>
          <w:color w:val="172033"/>
          <w:sz w:val="22"/>
        </w:rPr>
        <w:t xml:space="preserve"> listar las entrevistas o notas registradas.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POST:</w:t>
      </w:r>
      <w:r>
        <w:rPr>
          <w:rFonts w:ascii="Calibri" w:hAnsi="Calibri"/>
          <w:b w:val="0"/>
          <w:i w:val="0"/>
          <w:color w:val="172033"/>
          <w:sz w:val="22"/>
        </w:rPr>
        <w:t xml:space="preserve"> agregar una entrevista o nota nueva.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PATCH:</w:t>
      </w:r>
      <w:r>
        <w:rPr>
          <w:rFonts w:ascii="Calibri" w:hAnsi="Calibri"/>
          <w:b w:val="0"/>
          <w:i w:val="0"/>
          <w:color w:val="172033"/>
          <w:sz w:val="22"/>
        </w:rPr>
        <w:t xml:space="preserve"> actualizar parcialmente el contenido de una nota.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DELETE:</w:t>
      </w:r>
      <w:r>
        <w:rPr>
          <w:rFonts w:ascii="Calibri" w:hAnsi="Calibri"/>
          <w:b w:val="0"/>
          <w:i w:val="0"/>
          <w:color w:val="172033"/>
          <w:sz w:val="22"/>
        </w:rPr>
        <w:t xml:space="preserve"> eliminar una nota después de solicitar confirmación.</w:t>
      </w:r>
    </w:p>
    <w:p>
      <w:pPr>
        <w:pStyle w:val="Heading2"/>
      </w:pPr>
      <w:r>
        <w:t>2.3 Tareas del reclutador</w:t>
      </w:r>
    </w:p>
    <w:p>
      <w:pPr>
        <w:keepNext/>
      </w:pPr>
      <w:r>
        <w:rPr>
          <w:rFonts w:ascii="Calibri" w:hAnsi="Calibri"/>
          <w:b/>
          <w:i w:val="0"/>
          <w:color w:val="1F3A5F"/>
          <w:sz w:val="22"/>
        </w:rPr>
        <w:t xml:space="preserve">Endpoint: </w:t>
      </w:r>
      <w:r>
        <w:rPr>
          <w:rFonts w:ascii="Calibri" w:hAnsi="Calibri"/>
          <w:b/>
          <w:i w:val="0"/>
          <w:color w:val="2E74B5"/>
          <w:sz w:val="22"/>
        </w:rPr>
        <w:t>/todos</w:t>
      </w:r>
      <w:r>
        <w:rPr>
          <w:rFonts w:ascii="Calibri" w:hAnsi="Calibri"/>
          <w:b w:val="0"/>
          <w:i w:val="0"/>
          <w:color w:val="172033"/>
          <w:sz w:val="22"/>
        </w:rPr>
        <w:t xml:space="preserve">  ·  Gestión completa de las tareas realizadas por los reclutadores.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GET:</w:t>
      </w:r>
      <w:r>
        <w:rPr>
          <w:rFonts w:ascii="Calibri" w:hAnsi="Calibri"/>
          <w:b w:val="0"/>
          <w:i w:val="0"/>
          <w:color w:val="172033"/>
          <w:sz w:val="22"/>
        </w:rPr>
        <w:t xml:space="preserve"> listar las tareas existentes.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POST:</w:t>
      </w:r>
      <w:r>
        <w:rPr>
          <w:rFonts w:ascii="Calibri" w:hAnsi="Calibri"/>
          <w:b w:val="0"/>
          <w:i w:val="0"/>
          <w:color w:val="172033"/>
          <w:sz w:val="22"/>
        </w:rPr>
        <w:t xml:space="preserve"> crear una tarea nueva.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PATCH:</w:t>
      </w:r>
      <w:r>
        <w:rPr>
          <w:rFonts w:ascii="Calibri" w:hAnsi="Calibri"/>
          <w:b w:val="0"/>
          <w:i w:val="0"/>
          <w:color w:val="172033"/>
          <w:sz w:val="22"/>
        </w:rPr>
        <w:t xml:space="preserve"> editar la descripción o cambiar el estado completado.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DELETE:</w:t>
      </w:r>
      <w:r>
        <w:rPr>
          <w:rFonts w:ascii="Calibri" w:hAnsi="Calibri"/>
          <w:b w:val="0"/>
          <w:i w:val="0"/>
          <w:color w:val="172033"/>
          <w:sz w:val="22"/>
        </w:rPr>
        <w:t xml:space="preserve"> eliminar una tarea después de solicitar confirmación.</w:t>
      </w:r>
    </w:p>
    <w:p>
      <w:pPr>
        <w:pStyle w:val="Heading1"/>
      </w:pPr>
      <w:r>
        <w:t>Criterio de finalización para cada módulo</w:t>
      </w:r>
    </w:p>
    <w:p>
      <w:pPr>
        <w:keepNext/>
      </w:pPr>
      <w:r>
        <w:t>El módulo solo se considera terminado cuando su responsable entrega todas las piezas siguientes, sin trasladar ninguna parte al otro integrante.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Página o sección visual terminada y coherente con el diseño general.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Servicio JavaScript propio con los métodos HTTP asignados.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Peticiones realizadas con fetch y manejo asíncrono mediante async/await.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Formularios de creación y edición con validación de campos.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Listado, carga, estado vacío, confirmación de eliminación y mensajes de resultado.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Manejo de errores con try/catch sin bloquear el resto de la aplicación.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Actualización del estado visual después de POST, PUT, PATCH o DELETE.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Diseño usable en computadora, tablet y teléfono.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Prueba manual de cada operación y commits descriptivos en su propia rama.</w:t>
      </w:r>
    </w:p>
    <w:p>
      <w:pPr>
        <w:spacing w:before="200" w:after="200" w:line="288" w:lineRule="auto"/>
        <w:ind w:left="202" w:right="115"/>
        <w:shd w:fill="FFF7E2"/>
        <w:pBdr>
          <w:left w:val="single" w:sz="18" w:space="8" w:color="9A6700"/>
        </w:pBdr>
      </w:pPr>
      <w:r>
        <w:rPr>
          <w:rFonts w:ascii="Calibri" w:hAnsi="Calibri"/>
          <w:b/>
          <w:i w:val="0"/>
          <w:color w:val="9A6700"/>
          <w:sz w:val="21"/>
        </w:rPr>
        <w:t xml:space="preserve">Importante sobre DummyJSON: </w:t>
      </w:r>
      <w:r>
        <w:rPr>
          <w:rFonts w:ascii="Calibri" w:hAnsi="Calibri"/>
          <w:b w:val="0"/>
          <w:i w:val="0"/>
          <w:color w:val="172033"/>
          <w:sz w:val="21"/>
        </w:rPr>
        <w:t>La API devuelve respuestas para POST, PUT, PATCH y DELETE, pero no conserva los cambios. La interfaz debe reflejar temporalmente el resultado mediante el estado local de la aplicación.</w:t>
      </w:r>
    </w:p>
    <w:p>
      <w:pPr>
        <w:pStyle w:val="Heading1"/>
      </w:pPr>
      <w:r>
        <w:t>Entregables por fase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Fase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Trabajo completo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Resultado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Día 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Investigar el dominio y redactar por completo el documento de planificación.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Descripción, endpoints, requerimientos, flujo de autenticación y resumen del dominio.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Día 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Desarrollar autenticación, candidatos, entrevistas y tareas en ramas propias.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Funciones completas, probadas y registradas mediante commits frecuentes.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Día 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Crear la infografía, redactar el documento reflexivo y ejecutar la revisión funcional de su trabajo.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Infografía final, reflexión de NotebookLM y lista de pruebas realizadas.</w:t>
            </w:r>
          </w:p>
        </w:tc>
      </w:tr>
    </w:tbl>
    <w:p>
      <w:pPr>
        <w:spacing w:after="0"/>
      </w:pPr>
    </w:p>
    <w:p>
      <w:pPr>
        <w:pStyle w:val="Heading1"/>
      </w:pPr>
      <w:r>
        <w:t>Entregables documentales exclusivos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Documento de planificación completo.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Infografía del sistema completa: arquitectura, seis módulos, métodos HTTP y flujo de autenticación.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Documento reflexivo completo sobre la manera en que NotebookLM apoyó la planificación, el desarrollo y el cierre.</w:t>
      </w:r>
    </w:p>
    <w:p>
      <w:pPr>
        <w:pStyle w:val="Heading1"/>
      </w:pPr>
      <w:r>
        <w:t>Uso obligatorio de NotebookLM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Investigar Fetch API, DummyJSON, autenticación con tokens y procesos de empleabilidad.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Consultar la diferencia entre PUT y PATCH, el uso de headers y el manejo de async/await.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Conservar evidencia de las consultas realizadas para que el responsable de la bitácora pueda registrarlas.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Cargar el código y la documentación necesarios para elaborar la infografía y la reflexión.</w:t>
      </w:r>
    </w:p>
    <w:p>
      <w:pPr>
        <w:pStyle w:val="Heading1"/>
      </w:pPr>
      <w:r>
        <w:t>Ramas y archivos recomendados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feature/auth: login, sesión, protección y logout.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feature/candidatos: página y servicio completo de /users.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feature/entrevistas: página y servicio completo de /comments.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feature/tareas: página y servicio completo de /todos.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docs/planificacion, docs/infografia y docs/reflexion: entregables documentales propios.</w:t>
      </w:r>
    </w:p>
    <w:p>
      <w:pPr>
        <w:pStyle w:val="Heading1"/>
      </w:pPr>
      <w:r>
        <w:t>Límites de responsabilidad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Puede crear y modificar únicamente:</w:t>
      </w:r>
      <w:r>
        <w:rPr>
          <w:rFonts w:ascii="Calibri" w:hAnsi="Calibri"/>
          <w:b w:val="0"/>
          <w:i w:val="0"/>
          <w:color w:val="172033"/>
          <w:sz w:val="22"/>
        </w:rPr>
        <w:t xml:space="preserve"> autenticación, candidatos, entrevistas/notas, tareas, planificación, infografía y reflexión.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22"/>
        </w:rPr>
        <w:t>No debe modificar directamente:</w:t>
      </w:r>
      <w:r>
        <w:rPr>
          <w:rFonts w:ascii="Calibri" w:hAnsi="Calibri"/>
          <w:b w:val="0"/>
          <w:i w:val="0"/>
          <w:color w:val="172033"/>
          <w:sz w:val="22"/>
        </w:rPr>
        <w:t xml:space="preserve"> vacantes, empresas, postulaciones, estructura general, README, video y bitácora.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Cuando necesite una función del otro integrante, debe consumir la interfaz o función exportada, sin repartir la implementación.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Cada archivo o entregable mencionado en este documento tiene un único responsable de principio a fin.</w:t>
      </w:r>
    </w:p>
    <w:p>
      <w:pPr>
        <w:pStyle w:val="Heading1"/>
      </w:pPr>
      <w:r>
        <w:t>Lista de verificación final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El login funciona con /auth/login y el token se guarda correctamente.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Sin token no es posible abrir ninguno de los seis módulos.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El cierre de sesión elimina el token y regresa al login.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Candidatos ejecuta GET, POST, PUT, PATCH y DELETE.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Entrevistas ejecuta GET, POST, PATCH y DELETE.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Tareas ejecuta GET, POST, PATCH y DELETE.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Los tres módulos muestran carga, resultados, errores y confirmaciones.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Los cambios simulados por DummyJSON se reflejan visualmente en la sesión actual.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El código está organizado, es legible y tiene commits descriptivos.</w:t>
      </w:r>
    </w:p>
    <w:p>
      <w:pPr>
        <w:keepLines/>
        <w:numPr>
          <w:ilvl w:val="0"/>
          <w:numId w:val="10"/>
        </w:numPr>
        <w:spacing w:before="0" w:after="40" w:line="276" w:lineRule="auto"/>
      </w:pPr>
      <w:r>
        <w:rPr>
          <w:rFonts w:ascii="Calibri" w:hAnsi="Calibri"/>
          <w:b w:val="0"/>
          <w:i w:val="0"/>
          <w:color w:val="172033"/>
          <w:sz w:val="21"/>
        </w:rPr>
        <w:t>Planificación, infografía y reflexión están terminadas y listas para entregar.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Integrante 1  |  Página </w:t>
    </w:r>
    <w:r>
      <w:rPr>
        <w:rFonts w:ascii="Calibri" w:hAnsi="Calibri"/>
        <w:b w:val="0"/>
        <w:i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7"/>
      </w:rPr>
      <w:t>JOBCONNECT  |  DISTRIBUCIÓN DE RESPONSABILIDADES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JobConnect - Responsabilidades del Integrante 1</dc:title>
  <dc:subject>División equilibrada del Segundo Mini Proyecto de Frontend</dc:subject>
  <dc:creator>Equipo JobConnect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