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EA8667" w14:textId="77777777" w:rsidR="00E27CA1" w:rsidRPr="00E27CA1" w:rsidRDefault="00584A8F" w:rsidP="00584A8F">
      <w:pPr>
        <w:spacing w:before="120" w:after="120" w:line="360" w:lineRule="auto"/>
        <w:ind w:left="720" w:hanging="360"/>
        <w:jc w:val="center"/>
        <w:rPr>
          <w:b/>
          <w:bCs/>
          <w:sz w:val="28"/>
          <w:szCs w:val="28"/>
          <w:lang w:val="en-US"/>
        </w:rPr>
      </w:pPr>
      <w:r w:rsidRPr="00E27CA1">
        <w:rPr>
          <w:b/>
          <w:bCs/>
          <w:sz w:val="28"/>
          <w:szCs w:val="28"/>
          <w:lang w:val="en-US"/>
        </w:rPr>
        <w:t xml:space="preserve">Sentiment, Cryptocurrency and Inflation: </w:t>
      </w:r>
    </w:p>
    <w:p w14:paraId="053524F6" w14:textId="5C420773" w:rsidR="00584A8F" w:rsidRDefault="00584A8F" w:rsidP="00584A8F">
      <w:pPr>
        <w:spacing w:before="120" w:after="120" w:line="360" w:lineRule="auto"/>
        <w:ind w:left="720" w:hanging="360"/>
        <w:jc w:val="center"/>
        <w:rPr>
          <w:b/>
          <w:bCs/>
          <w:sz w:val="28"/>
          <w:szCs w:val="28"/>
          <w:lang w:val="en-US"/>
        </w:rPr>
      </w:pPr>
      <w:r w:rsidRPr="00E27CA1">
        <w:rPr>
          <w:b/>
          <w:bCs/>
          <w:sz w:val="28"/>
          <w:szCs w:val="28"/>
          <w:lang w:val="en-US"/>
        </w:rPr>
        <w:t>A Transmission Chanel in Bolivia</w:t>
      </w:r>
      <w:r w:rsidR="00E27CA1">
        <w:rPr>
          <w:rStyle w:val="Refdenotaalpie"/>
          <w:b/>
          <w:bCs/>
          <w:sz w:val="28"/>
          <w:szCs w:val="28"/>
          <w:lang w:val="en-US"/>
        </w:rPr>
        <w:footnoteReference w:customMarkFollows="1" w:id="1"/>
        <w:t>*</w:t>
      </w:r>
    </w:p>
    <w:p w14:paraId="7AD28D2A" w14:textId="77777777" w:rsidR="00E27CA1" w:rsidRDefault="00E27CA1" w:rsidP="00584A8F">
      <w:pPr>
        <w:spacing w:before="120" w:after="120" w:line="360" w:lineRule="auto"/>
        <w:ind w:left="720" w:hanging="360"/>
        <w:jc w:val="center"/>
        <w:rPr>
          <w:b/>
          <w:bCs/>
          <w:sz w:val="28"/>
          <w:szCs w:val="28"/>
          <w:lang w:val="en-US"/>
        </w:rPr>
      </w:pPr>
    </w:p>
    <w:p w14:paraId="4D44C7AB" w14:textId="45DBF362" w:rsidR="00E27CA1" w:rsidRDefault="00E27CA1" w:rsidP="00584A8F">
      <w:pPr>
        <w:spacing w:before="120" w:after="120" w:line="360" w:lineRule="auto"/>
        <w:ind w:left="720" w:hanging="360"/>
        <w:jc w:val="center"/>
        <w:rPr>
          <w:b/>
          <w:bCs/>
          <w:sz w:val="24"/>
          <w:szCs w:val="24"/>
          <w:lang w:val="en-US"/>
        </w:rPr>
      </w:pPr>
      <w:r w:rsidRPr="00E27CA1">
        <w:rPr>
          <w:b/>
          <w:bCs/>
          <w:sz w:val="24"/>
          <w:szCs w:val="24"/>
          <w:lang w:val="en-US"/>
        </w:rPr>
        <w:t>Osmar Bolivar</w:t>
      </w:r>
      <w:r w:rsidRPr="00E27CA1">
        <w:rPr>
          <w:rStyle w:val="Refdenotaalpie"/>
          <w:b/>
          <w:bCs/>
          <w:sz w:val="24"/>
          <w:szCs w:val="24"/>
          <w:lang w:val="en-US"/>
        </w:rPr>
        <w:footnoteReference w:customMarkFollows="1" w:id="2"/>
        <w:t>╪</w:t>
      </w:r>
      <w:r w:rsidRPr="00E27CA1">
        <w:rPr>
          <w:b/>
          <w:bCs/>
          <w:sz w:val="24"/>
          <w:szCs w:val="24"/>
          <w:lang w:val="en-US"/>
        </w:rPr>
        <w:tab/>
      </w:r>
      <w:r w:rsidRPr="00E27CA1">
        <w:rPr>
          <w:b/>
          <w:bCs/>
          <w:sz w:val="24"/>
          <w:szCs w:val="24"/>
          <w:lang w:val="en-US"/>
        </w:rPr>
        <w:tab/>
        <w:t>Christian Huanto</w:t>
      </w:r>
      <w:r w:rsidRPr="00E27CA1">
        <w:rPr>
          <w:rStyle w:val="Refdenotaalpie"/>
          <w:b/>
          <w:bCs/>
          <w:sz w:val="24"/>
          <w:szCs w:val="24"/>
          <w:lang w:val="en-US"/>
        </w:rPr>
        <w:footnoteReference w:customMarkFollows="1" w:id="3"/>
        <w:t>♠</w:t>
      </w:r>
    </w:p>
    <w:p w14:paraId="310584ED" w14:textId="1FF1CF4E" w:rsidR="00E27CA1" w:rsidRDefault="00E27CA1" w:rsidP="00584A8F">
      <w:pPr>
        <w:spacing w:before="120" w:after="120" w:line="360" w:lineRule="auto"/>
        <w:ind w:left="720" w:hanging="360"/>
        <w:jc w:val="center"/>
        <w:rPr>
          <w:b/>
          <w:bCs/>
          <w:sz w:val="24"/>
          <w:szCs w:val="24"/>
          <w:lang w:val="en-US"/>
        </w:rPr>
      </w:pPr>
      <w:r>
        <w:rPr>
          <w:b/>
          <w:bCs/>
          <w:sz w:val="24"/>
          <w:szCs w:val="24"/>
          <w:lang w:val="en-US"/>
        </w:rPr>
        <w:t>April 27, 2025</w:t>
      </w:r>
    </w:p>
    <w:p w14:paraId="0B6739ED" w14:textId="77777777" w:rsidR="00E27CA1" w:rsidRDefault="00E27CA1" w:rsidP="00584A8F">
      <w:pPr>
        <w:spacing w:before="120" w:after="120" w:line="360" w:lineRule="auto"/>
        <w:ind w:left="720" w:hanging="360"/>
        <w:jc w:val="center"/>
        <w:rPr>
          <w:b/>
          <w:bCs/>
          <w:sz w:val="24"/>
          <w:szCs w:val="24"/>
          <w:lang w:val="en-US"/>
        </w:rPr>
      </w:pPr>
    </w:p>
    <w:p w14:paraId="532B3DFF" w14:textId="193992B5" w:rsidR="00E27CA1" w:rsidRDefault="00E27CA1" w:rsidP="00584A8F">
      <w:pPr>
        <w:spacing w:before="120" w:after="120" w:line="360" w:lineRule="auto"/>
        <w:ind w:left="720" w:hanging="360"/>
        <w:jc w:val="center"/>
        <w:rPr>
          <w:b/>
          <w:bCs/>
          <w:sz w:val="24"/>
          <w:szCs w:val="24"/>
          <w:lang w:val="en-US"/>
        </w:rPr>
      </w:pPr>
      <w:r>
        <w:rPr>
          <w:b/>
          <w:bCs/>
          <w:sz w:val="24"/>
          <w:szCs w:val="24"/>
          <w:lang w:val="en-US"/>
        </w:rPr>
        <w:t>Abstract</w:t>
      </w:r>
    </w:p>
    <w:p w14:paraId="21FEEE07" w14:textId="0C113A11" w:rsidR="00E27CA1" w:rsidRDefault="00E27CA1" w:rsidP="00E27CA1">
      <w:pPr>
        <w:spacing w:before="120" w:after="120" w:line="360" w:lineRule="auto"/>
        <w:jc w:val="both"/>
        <w:rPr>
          <w:sz w:val="24"/>
          <w:szCs w:val="24"/>
          <w:lang w:val="en-US"/>
        </w:rPr>
      </w:pPr>
      <w:r w:rsidRPr="00E27CA1">
        <w:rPr>
          <w:sz w:val="24"/>
          <w:szCs w:val="24"/>
          <w:lang w:val="en-US"/>
        </w:rPr>
        <w:t>This paper examines the interplay between economic uncertainty sentiment, parallel cryptocurrency-based exchange rate, and inflation in Bolivia, leveraging high-frequency data and advanced econometric techniques. Following increased macroeconomic volatility from early 2023, Bolivia faced mounting pressure on its currency peg, leading to the rapid rise of stablecoins—particularly USDT—as alternative stores of value. Utilizing a dual methodological approach—a calibrated Dynamic Stochastic General Equilibrium (DSGE) model and a Bayesian Structural Vector Autoregression (BSVAR)—we identify a transmission mechanism where heightened uncertainty sentiment depreciates the parallel (digital) BOB/USDT exchange rate, amplifying inflationary pressures. Empirical impulse-response functions from daily data (January 2023 to April 2025) corroborate the model’s predictions, showing significant and persistent inflation effects driven by sentiment shocks. Moreover, our findings underscore the stabilizing potential of monetary policy, even within Bolivia’s constrained interest rate framework. This study offers critical insights for policymakers managing digital currency markets, emphasizing the need for real-time sentiment monitoring and proactive liquidity interventions to mitigate inflation risks.</w:t>
      </w:r>
    </w:p>
    <w:p w14:paraId="3F9BF8E8" w14:textId="6D768156" w:rsidR="00E27CA1" w:rsidRDefault="00E27CA1" w:rsidP="00E27CA1">
      <w:pPr>
        <w:spacing w:before="120" w:after="120" w:line="360" w:lineRule="auto"/>
        <w:jc w:val="both"/>
        <w:rPr>
          <w:sz w:val="24"/>
          <w:szCs w:val="24"/>
          <w:lang w:val="en-US"/>
        </w:rPr>
      </w:pPr>
      <w:r w:rsidRPr="00E27CA1">
        <w:rPr>
          <w:b/>
          <w:bCs/>
          <w:sz w:val="24"/>
          <w:szCs w:val="24"/>
          <w:lang w:val="en-US"/>
        </w:rPr>
        <w:t>Keywords:</w:t>
      </w:r>
      <w:r w:rsidRPr="00E27CA1">
        <w:rPr>
          <w:sz w:val="24"/>
          <w:szCs w:val="24"/>
          <w:lang w:val="en-US"/>
        </w:rPr>
        <w:t xml:space="preserve"> Economic Uncertainty, Sentiment Index, Cryptocurrency, Parallel Exchange Rate, Inflation, Monetary Policy, Bayesian SVAR, DSGE Model, Emerging Markets.</w:t>
      </w:r>
    </w:p>
    <w:p w14:paraId="78185766" w14:textId="241F9412" w:rsidR="00E27CA1" w:rsidRPr="00E27CA1" w:rsidRDefault="00E27CA1" w:rsidP="00E27CA1">
      <w:pPr>
        <w:spacing w:before="120" w:after="120" w:line="360" w:lineRule="auto"/>
        <w:jc w:val="both"/>
        <w:rPr>
          <w:sz w:val="24"/>
          <w:szCs w:val="24"/>
        </w:rPr>
      </w:pPr>
      <w:r w:rsidRPr="00E27CA1">
        <w:rPr>
          <w:b/>
          <w:bCs/>
          <w:sz w:val="24"/>
          <w:szCs w:val="24"/>
        </w:rPr>
        <w:t>JEL Codes:</w:t>
      </w:r>
      <w:r w:rsidRPr="00E27CA1">
        <w:rPr>
          <w:sz w:val="24"/>
          <w:szCs w:val="24"/>
        </w:rPr>
        <w:t xml:space="preserve"> E31, E42, E52, F31, G15.</w:t>
      </w:r>
    </w:p>
    <w:p w14:paraId="117443F8" w14:textId="2A3A9420" w:rsidR="007C1C7E" w:rsidRPr="00584A8F" w:rsidRDefault="00A02F2A" w:rsidP="00E27CA1">
      <w:pPr>
        <w:pStyle w:val="Prrafodelista"/>
        <w:numPr>
          <w:ilvl w:val="0"/>
          <w:numId w:val="1"/>
        </w:numPr>
        <w:spacing w:before="120" w:after="120" w:line="360" w:lineRule="auto"/>
        <w:jc w:val="both"/>
        <w:rPr>
          <w:rFonts w:cs="Arial"/>
          <w:b/>
          <w:bCs/>
          <w:sz w:val="24"/>
          <w:szCs w:val="24"/>
        </w:rPr>
      </w:pPr>
      <w:r w:rsidRPr="00584A8F">
        <w:rPr>
          <w:rFonts w:cs="Arial"/>
          <w:b/>
          <w:bCs/>
          <w:sz w:val="24"/>
          <w:szCs w:val="24"/>
        </w:rPr>
        <w:lastRenderedPageBreak/>
        <w:t>Introduction</w:t>
      </w:r>
    </w:p>
    <w:p w14:paraId="279B5E70" w14:textId="6BB05ABE" w:rsidR="00A02F2A" w:rsidRPr="00A02F2A" w:rsidRDefault="00A02F2A" w:rsidP="00E27CA1">
      <w:pPr>
        <w:spacing w:before="120" w:after="120" w:line="360" w:lineRule="auto"/>
        <w:ind w:left="360"/>
        <w:jc w:val="both"/>
        <w:rPr>
          <w:rFonts w:cs="Arial"/>
          <w:sz w:val="24"/>
          <w:szCs w:val="24"/>
          <w:lang w:val="en-US"/>
        </w:rPr>
      </w:pPr>
      <w:r w:rsidRPr="00A02F2A">
        <w:rPr>
          <w:rFonts w:cs="Arial"/>
          <w:sz w:val="24"/>
          <w:szCs w:val="24"/>
          <w:lang w:val="en-US"/>
        </w:rPr>
        <w:t xml:space="preserve">Macroeconomic stability in emerging markets hinges on the complex interplay between economic uncertainty, exchange rate dynamics, and inflationary pressures. Surges in uncertainty—whether from policy shifts, political turmoil, or external shocks—can unsettle expectations and behaviors, leading firms and households to postpone investment and consumption decisions </w:t>
      </w:r>
      <w:r w:rsidRPr="00495AEE">
        <w:rPr>
          <w:rFonts w:cs="Arial"/>
          <w:sz w:val="24"/>
          <w:szCs w:val="24"/>
          <w:lang w:val="en-US"/>
        </w:rPr>
        <w:t>(</w:t>
      </w:r>
      <w:r w:rsidRPr="00495AEE">
        <w:rPr>
          <w:rFonts w:cs="Arial"/>
          <w:color w:val="0000CC"/>
          <w:sz w:val="24"/>
          <w:szCs w:val="24"/>
          <w:lang w:val="en-US"/>
        </w:rPr>
        <w:t>Bloom, 2009; Baker et al., 2016</w:t>
      </w:r>
      <w:r w:rsidRPr="00495AEE">
        <w:rPr>
          <w:rFonts w:cs="Arial"/>
          <w:sz w:val="24"/>
          <w:szCs w:val="24"/>
          <w:lang w:val="en-US"/>
        </w:rPr>
        <w:t>)</w:t>
      </w:r>
      <w:r w:rsidRPr="00A02F2A">
        <w:rPr>
          <w:rFonts w:cs="Arial"/>
          <w:sz w:val="24"/>
          <w:szCs w:val="24"/>
          <w:lang w:val="en-US"/>
        </w:rPr>
        <w:t>. Simultaneously, heightened uncertainty often triggers defensive actions such as currency substitution, as economic agents seek refuge in external stores of value, typically foreign currencies. This shift exerts pressure on domestic exchange rates and, through higher import costs and unanchored inflation expectations, propagates into domestic price levels. These dynamics are especially pronounced in emerging economies, where policy credibility is fragile and fixed exchange rate regimes can unravel rapidly.</w:t>
      </w:r>
    </w:p>
    <w:p w14:paraId="46BBDE19" w14:textId="691BD467" w:rsidR="00A02F2A" w:rsidRPr="00A02F2A" w:rsidRDefault="00A02F2A" w:rsidP="00E27CA1">
      <w:pPr>
        <w:spacing w:before="120" w:after="120" w:line="360" w:lineRule="auto"/>
        <w:ind w:left="360"/>
        <w:jc w:val="both"/>
        <w:rPr>
          <w:rFonts w:cs="Arial"/>
          <w:sz w:val="24"/>
          <w:szCs w:val="24"/>
          <w:lang w:val="en-US"/>
        </w:rPr>
      </w:pPr>
      <w:r w:rsidRPr="00A02F2A">
        <w:rPr>
          <w:rFonts w:cs="Arial"/>
          <w:sz w:val="24"/>
          <w:szCs w:val="24"/>
          <w:lang w:val="en-US"/>
        </w:rPr>
        <w:t xml:space="preserve">The proliferation of digital currencies, particularly stablecoins like Tether (USDT), introduces additional complexity to this nexus. These assets facilitate capital mobility and value storage outside formal financial systems, giving rise to parallel exchange markets that operate beyond traditional regulatory oversight </w:t>
      </w:r>
      <w:r w:rsidRPr="00495AEE">
        <w:rPr>
          <w:rFonts w:cs="Arial"/>
          <w:sz w:val="24"/>
          <w:szCs w:val="24"/>
          <w:lang w:val="en-US"/>
        </w:rPr>
        <w:t>(</w:t>
      </w:r>
      <w:r w:rsidRPr="00495AEE">
        <w:rPr>
          <w:rFonts w:cs="Arial"/>
          <w:color w:val="0000CC"/>
          <w:sz w:val="24"/>
          <w:szCs w:val="24"/>
          <w:lang w:val="en-US"/>
        </w:rPr>
        <w:t>Azar et al., 2024</w:t>
      </w:r>
      <w:r w:rsidRPr="00495AEE">
        <w:rPr>
          <w:rFonts w:cs="Arial"/>
          <w:sz w:val="24"/>
          <w:szCs w:val="24"/>
          <w:lang w:val="en-US"/>
        </w:rPr>
        <w:t>)</w:t>
      </w:r>
      <w:r w:rsidRPr="00A02F2A">
        <w:rPr>
          <w:rFonts w:cs="Arial"/>
          <w:sz w:val="24"/>
          <w:szCs w:val="24"/>
          <w:lang w:val="en-US"/>
        </w:rPr>
        <w:t xml:space="preserve">. Such </w:t>
      </w:r>
      <w:r w:rsidRPr="00495AEE">
        <w:rPr>
          <w:rFonts w:cs="Arial"/>
          <w:sz w:val="24"/>
          <w:szCs w:val="24"/>
          <w:lang w:val="en-US"/>
        </w:rPr>
        <w:t>“</w:t>
      </w:r>
      <w:r w:rsidRPr="00A02F2A">
        <w:rPr>
          <w:rFonts w:cs="Arial"/>
          <w:sz w:val="24"/>
          <w:szCs w:val="24"/>
          <w:lang w:val="en-US"/>
        </w:rPr>
        <w:t>cryptoization</w:t>
      </w:r>
      <w:r w:rsidRPr="00495AEE">
        <w:rPr>
          <w:rFonts w:cs="Arial"/>
          <w:sz w:val="24"/>
          <w:szCs w:val="24"/>
          <w:lang w:val="en-US"/>
        </w:rPr>
        <w:t>”</w:t>
      </w:r>
      <w:r w:rsidRPr="00A02F2A">
        <w:rPr>
          <w:rFonts w:cs="Arial"/>
          <w:sz w:val="24"/>
          <w:szCs w:val="24"/>
          <w:lang w:val="en-US"/>
        </w:rPr>
        <w:t xml:space="preserve"> presents novel challenges for monetary authorities, complicating exchange rate management and amplifying volatility in financial markets.</w:t>
      </w:r>
    </w:p>
    <w:p w14:paraId="47455D5A" w14:textId="28614F3F" w:rsidR="00A02F2A" w:rsidRPr="00A02F2A" w:rsidRDefault="00A02F2A" w:rsidP="00E27CA1">
      <w:pPr>
        <w:spacing w:before="120" w:after="120" w:line="360" w:lineRule="auto"/>
        <w:ind w:left="360"/>
        <w:jc w:val="both"/>
        <w:rPr>
          <w:rFonts w:cs="Arial"/>
          <w:sz w:val="24"/>
          <w:szCs w:val="24"/>
          <w:lang w:val="en-US"/>
        </w:rPr>
      </w:pPr>
      <w:r w:rsidRPr="00A02F2A">
        <w:rPr>
          <w:rFonts w:cs="Arial"/>
          <w:sz w:val="24"/>
          <w:szCs w:val="24"/>
          <w:lang w:val="en-US"/>
        </w:rPr>
        <w:t xml:space="preserve">While prior research has explored the effects of uncertainty shocks </w:t>
      </w:r>
      <w:r w:rsidRPr="00495AEE">
        <w:rPr>
          <w:rFonts w:cs="Arial"/>
          <w:sz w:val="24"/>
          <w:szCs w:val="24"/>
          <w:lang w:val="en-US"/>
        </w:rPr>
        <w:t>(</w:t>
      </w:r>
      <w:r w:rsidRPr="00495AEE">
        <w:rPr>
          <w:rFonts w:cs="Arial"/>
          <w:color w:val="0000CC"/>
          <w:sz w:val="24"/>
          <w:szCs w:val="24"/>
          <w:lang w:val="en-US"/>
        </w:rPr>
        <w:t>Bloom, 2009, 2014; Baker et al., 2016; Berger et al., 2020; Nowzohour and Stracca, 2020</w:t>
      </w:r>
      <w:r w:rsidRPr="00495AEE">
        <w:rPr>
          <w:rFonts w:cs="Arial"/>
          <w:sz w:val="24"/>
          <w:szCs w:val="24"/>
          <w:lang w:val="en-US"/>
        </w:rPr>
        <w:t xml:space="preserve">) </w:t>
      </w:r>
      <w:r w:rsidRPr="00A02F2A">
        <w:rPr>
          <w:rFonts w:cs="Arial"/>
          <w:sz w:val="24"/>
          <w:szCs w:val="24"/>
          <w:lang w:val="en-US"/>
        </w:rPr>
        <w:t>and exchange rate regimes in emerging markets, the interaction between economic uncertainty sentiment, cryptocurrency-based parallel exchange markets, and inflation remains underexplored. This study aims to address this gap, offering theoretical and empirical insights pertinent to contemporary monetary policy, particularly in the context of emerging economies.</w:t>
      </w:r>
    </w:p>
    <w:p w14:paraId="6AA11BEC" w14:textId="36847C7B" w:rsidR="00A02F2A" w:rsidRPr="00A02F2A" w:rsidRDefault="00A02F2A" w:rsidP="00E27CA1">
      <w:pPr>
        <w:spacing w:before="120" w:after="120" w:line="360" w:lineRule="auto"/>
        <w:ind w:left="360"/>
        <w:jc w:val="both"/>
        <w:rPr>
          <w:rFonts w:cs="Arial"/>
          <w:sz w:val="24"/>
          <w:szCs w:val="24"/>
          <w:lang w:val="en-US"/>
        </w:rPr>
      </w:pPr>
      <w:r w:rsidRPr="00A02F2A">
        <w:rPr>
          <w:rFonts w:cs="Arial"/>
          <w:sz w:val="24"/>
          <w:szCs w:val="24"/>
          <w:lang w:val="en-US"/>
        </w:rPr>
        <w:t xml:space="preserve">Bolivia’s recent macroeconomic experience provides a compelling case study. Since 2011, the country maintained a de facto fixed exchange rate regime pegged at approximately 6.96 bolivianos per U.S. dollar, supported by commodity-driven foreign exchange reserves. This policy fostered low inflation, averaging around 2–3% annually. However, persistent fiscal deficits, declining gas exports, and dwindling reserves gradually eroded confidence in the peg by early 2023 </w:t>
      </w:r>
      <w:r w:rsidRPr="00495AEE">
        <w:rPr>
          <w:rFonts w:cs="Arial"/>
          <w:sz w:val="24"/>
          <w:szCs w:val="24"/>
          <w:lang w:val="en-US"/>
        </w:rPr>
        <w:t>(</w:t>
      </w:r>
      <w:r w:rsidRPr="00495AEE">
        <w:rPr>
          <w:rFonts w:cs="Arial"/>
          <w:color w:val="0000CC"/>
          <w:sz w:val="24"/>
          <w:szCs w:val="24"/>
          <w:lang w:val="en-US"/>
        </w:rPr>
        <w:t>World Bank, 2025</w:t>
      </w:r>
      <w:r w:rsidRPr="00495AEE">
        <w:rPr>
          <w:rFonts w:cs="Arial"/>
          <w:sz w:val="24"/>
          <w:szCs w:val="24"/>
          <w:lang w:val="en-US"/>
        </w:rPr>
        <w:t>)</w:t>
      </w:r>
      <w:r w:rsidRPr="00A02F2A">
        <w:rPr>
          <w:rFonts w:cs="Arial"/>
          <w:sz w:val="24"/>
          <w:szCs w:val="24"/>
          <w:lang w:val="en-US"/>
        </w:rPr>
        <w:t xml:space="preserve">. As dollar </w:t>
      </w:r>
      <w:r w:rsidRPr="00A02F2A">
        <w:rPr>
          <w:rFonts w:cs="Arial"/>
          <w:sz w:val="24"/>
          <w:szCs w:val="24"/>
          <w:lang w:val="en-US"/>
        </w:rPr>
        <w:lastRenderedPageBreak/>
        <w:t xml:space="preserve">scarcity intensified, a parallel (digital) exchange market emerged, with the boliviano trading above the official rate on cryptocurrency platforms like Binance. Despite direct interventions by the Central Bank of Bolivia (BCB) since March 2023 to supply dollars at the official rate </w:t>
      </w:r>
      <w:r w:rsidRPr="00495AEE">
        <w:rPr>
          <w:rFonts w:cs="Arial"/>
          <w:sz w:val="24"/>
          <w:szCs w:val="24"/>
          <w:lang w:val="en-US"/>
        </w:rPr>
        <w:t>(</w:t>
      </w:r>
      <w:r w:rsidRPr="00495AEE">
        <w:rPr>
          <w:rFonts w:cs="Arial"/>
          <w:color w:val="0000CC"/>
          <w:sz w:val="24"/>
          <w:szCs w:val="24"/>
          <w:lang w:val="en-US"/>
        </w:rPr>
        <w:t>BCB, 2023</w:t>
      </w:r>
      <w:r w:rsidRPr="00495AEE">
        <w:rPr>
          <w:rFonts w:cs="Arial"/>
          <w:sz w:val="24"/>
          <w:szCs w:val="24"/>
          <w:lang w:val="en-US"/>
        </w:rPr>
        <w:t>)</w:t>
      </w:r>
      <w:r w:rsidRPr="00A02F2A">
        <w:rPr>
          <w:rFonts w:cs="Arial"/>
          <w:sz w:val="24"/>
          <w:szCs w:val="24"/>
          <w:lang w:val="en-US"/>
        </w:rPr>
        <w:t>, the parallel rate depreciated sharply, reaching Bs10–13 per USDT by late 2024.</w:t>
      </w:r>
      <w:r w:rsidRPr="00495AEE">
        <w:rPr>
          <w:rStyle w:val="Refdenotaalpie"/>
          <w:rFonts w:cs="Arial"/>
          <w:sz w:val="24"/>
          <w:szCs w:val="24"/>
          <w:lang w:val="en-US"/>
        </w:rPr>
        <w:footnoteReference w:id="4"/>
      </w:r>
    </w:p>
    <w:p w14:paraId="75742216" w14:textId="76A04481" w:rsidR="00A02F2A" w:rsidRPr="00A02F2A" w:rsidRDefault="00A02F2A" w:rsidP="00E27CA1">
      <w:pPr>
        <w:spacing w:before="120" w:after="120" w:line="360" w:lineRule="auto"/>
        <w:ind w:left="360"/>
        <w:jc w:val="both"/>
        <w:rPr>
          <w:rFonts w:cs="Arial"/>
          <w:sz w:val="24"/>
          <w:szCs w:val="24"/>
          <w:lang w:val="en-US"/>
        </w:rPr>
      </w:pPr>
      <w:r w:rsidRPr="00A02F2A">
        <w:rPr>
          <w:rFonts w:cs="Arial"/>
          <w:sz w:val="24"/>
          <w:szCs w:val="24"/>
          <w:lang w:val="en-US"/>
        </w:rPr>
        <w:t xml:space="preserve">In response to these pressures, the BCB lifted its long-standing ban on cryptocurrencies in mid-2024, authorizing the use of stablecoins within the financial system </w:t>
      </w:r>
      <w:r w:rsidR="00F21BAA" w:rsidRPr="00495AEE">
        <w:rPr>
          <w:rFonts w:cs="Arial"/>
          <w:sz w:val="24"/>
          <w:szCs w:val="24"/>
          <w:lang w:val="en-US"/>
        </w:rPr>
        <w:t>(</w:t>
      </w:r>
      <w:r w:rsidRPr="00A02F2A">
        <w:rPr>
          <w:rFonts w:cs="Arial"/>
          <w:color w:val="0000CC"/>
          <w:sz w:val="24"/>
          <w:szCs w:val="24"/>
          <w:lang w:val="en-US"/>
        </w:rPr>
        <w:t>BCB</w:t>
      </w:r>
      <w:r w:rsidR="00F21BAA" w:rsidRPr="00495AEE">
        <w:rPr>
          <w:rFonts w:cs="Arial"/>
          <w:color w:val="0000CC"/>
          <w:sz w:val="24"/>
          <w:szCs w:val="24"/>
          <w:lang w:val="en-US"/>
        </w:rPr>
        <w:t xml:space="preserve">, </w:t>
      </w:r>
      <w:r w:rsidRPr="00A02F2A">
        <w:rPr>
          <w:rFonts w:cs="Arial"/>
          <w:color w:val="0000CC"/>
          <w:sz w:val="24"/>
          <w:szCs w:val="24"/>
          <w:lang w:val="en-US"/>
        </w:rPr>
        <w:t>2024</w:t>
      </w:r>
      <w:r w:rsidR="00F21BAA" w:rsidRPr="00495AEE">
        <w:rPr>
          <w:rFonts w:cs="Arial"/>
          <w:sz w:val="24"/>
          <w:szCs w:val="24"/>
          <w:lang w:val="en-US"/>
        </w:rPr>
        <w:t>)</w:t>
      </w:r>
      <w:r w:rsidRPr="00A02F2A">
        <w:rPr>
          <w:rFonts w:cs="Arial"/>
          <w:sz w:val="24"/>
          <w:szCs w:val="24"/>
          <w:lang w:val="en-US"/>
        </w:rPr>
        <w:t>. By year-end, over 250,000 Bolivians (approximately 6% of the adult population with formal income) held crypto-assets valued at an estimated USD 3 billion. This regulatory shift was further institutionalized when the 2025 General State Budget authorized government transactions in crypto-assets, reflecting the growing integration of digital currencies into Bolivia’s economic framework</w:t>
      </w:r>
      <w:r w:rsidR="007035C8" w:rsidRPr="00495AEE">
        <w:rPr>
          <w:rFonts w:cs="Arial"/>
          <w:sz w:val="24"/>
          <w:szCs w:val="24"/>
          <w:lang w:val="en-US"/>
        </w:rPr>
        <w:t>.</w:t>
      </w:r>
      <w:r w:rsidR="007035C8" w:rsidRPr="00495AEE">
        <w:rPr>
          <w:rStyle w:val="Refdenotaalpie"/>
          <w:rFonts w:cs="Arial"/>
          <w:sz w:val="24"/>
          <w:szCs w:val="24"/>
          <w:lang w:val="en-US"/>
        </w:rPr>
        <w:footnoteReference w:id="5"/>
      </w:r>
      <w:r w:rsidR="007035C8" w:rsidRPr="00495AEE">
        <w:rPr>
          <w:rFonts w:cs="Arial"/>
          <w:sz w:val="24"/>
          <w:szCs w:val="24"/>
          <w:lang w:val="en-US"/>
        </w:rPr>
        <w:t xml:space="preserve"> </w:t>
      </w:r>
    </w:p>
    <w:p w14:paraId="2A57CE8A" w14:textId="7D711221" w:rsidR="00A02F2A" w:rsidRPr="00A02F2A" w:rsidRDefault="00A02F2A" w:rsidP="00E27CA1">
      <w:pPr>
        <w:spacing w:before="120" w:after="120" w:line="360" w:lineRule="auto"/>
        <w:ind w:left="360"/>
        <w:jc w:val="both"/>
        <w:rPr>
          <w:rFonts w:cs="Arial"/>
          <w:sz w:val="24"/>
          <w:szCs w:val="24"/>
          <w:lang w:val="en-US"/>
        </w:rPr>
      </w:pPr>
      <w:r w:rsidRPr="00A02F2A">
        <w:rPr>
          <w:rFonts w:cs="Arial"/>
          <w:sz w:val="24"/>
          <w:szCs w:val="24"/>
          <w:lang w:val="en-US"/>
        </w:rPr>
        <w:t>Despite maintaining the official exchange rate peg, inflation surged to 9.97% year-on-year by late 2024, and further to 14.6% by March 2025.</w:t>
      </w:r>
      <w:r w:rsidR="007035C8" w:rsidRPr="00495AEE">
        <w:rPr>
          <w:rStyle w:val="Refdenotaalpie"/>
          <w:rFonts w:cs="Arial"/>
          <w:sz w:val="24"/>
          <w:szCs w:val="24"/>
          <w:lang w:val="en-US"/>
        </w:rPr>
        <w:footnoteReference w:id="6"/>
      </w:r>
      <w:r w:rsidRPr="00A02F2A">
        <w:rPr>
          <w:rFonts w:cs="Arial"/>
          <w:sz w:val="24"/>
          <w:szCs w:val="24"/>
          <w:lang w:val="en-US"/>
        </w:rPr>
        <w:t xml:space="preserve"> This spike likely reflected both the pass-through from the depreciating parallel exchange rate</w:t>
      </w:r>
      <w:r w:rsidR="007035C8" w:rsidRPr="00495AEE">
        <w:rPr>
          <w:rFonts w:cs="Arial"/>
          <w:sz w:val="24"/>
          <w:szCs w:val="24"/>
          <w:lang w:val="en-US"/>
        </w:rPr>
        <w:t xml:space="preserve"> ̶ </w:t>
      </w:r>
      <w:r w:rsidRPr="00A02F2A">
        <w:rPr>
          <w:rFonts w:cs="Arial"/>
          <w:sz w:val="24"/>
          <w:szCs w:val="24"/>
          <w:lang w:val="en-US"/>
        </w:rPr>
        <w:t>which nearly doubled the official peg by April 2025</w:t>
      </w:r>
      <w:r w:rsidR="007035C8" w:rsidRPr="00495AEE">
        <w:rPr>
          <w:rFonts w:cs="Arial"/>
          <w:sz w:val="24"/>
          <w:szCs w:val="24"/>
          <w:lang w:val="en-US"/>
        </w:rPr>
        <w:t xml:space="preserve"> ̶ </w:t>
      </w:r>
      <w:r w:rsidRPr="00A02F2A">
        <w:rPr>
          <w:rFonts w:cs="Arial"/>
          <w:sz w:val="24"/>
          <w:szCs w:val="24"/>
          <w:lang w:val="en-US"/>
        </w:rPr>
        <w:t>and the unanchoring of inflation expectations.</w:t>
      </w:r>
      <w:r w:rsidR="007035C8" w:rsidRPr="00495AEE">
        <w:rPr>
          <w:rStyle w:val="Refdenotaalpie"/>
          <w:rFonts w:cs="Arial"/>
          <w:sz w:val="24"/>
          <w:szCs w:val="24"/>
          <w:lang w:val="en-US"/>
        </w:rPr>
        <w:footnoteReference w:id="7"/>
      </w:r>
      <w:r w:rsidRPr="00A02F2A">
        <w:rPr>
          <w:rFonts w:cs="Arial"/>
          <w:sz w:val="24"/>
          <w:szCs w:val="24"/>
          <w:lang w:val="en-US"/>
        </w:rPr>
        <w:t xml:space="preserve"> The Bolivian case illustrates how rising uncertainty sentiment, coupled with cryptocurrency-based parallel markets, can undermine inflation stability even without formal devaluation.</w:t>
      </w:r>
    </w:p>
    <w:p w14:paraId="31EA3F3B" w14:textId="660B8E24" w:rsidR="00A02F2A" w:rsidRPr="00A02F2A" w:rsidRDefault="00A02F2A" w:rsidP="00E27CA1">
      <w:pPr>
        <w:spacing w:before="120" w:after="120" w:line="360" w:lineRule="auto"/>
        <w:ind w:left="360"/>
        <w:jc w:val="both"/>
        <w:rPr>
          <w:rFonts w:cs="Arial"/>
          <w:sz w:val="24"/>
          <w:szCs w:val="24"/>
          <w:lang w:val="en-US"/>
        </w:rPr>
      </w:pPr>
      <w:r w:rsidRPr="00A02F2A">
        <w:rPr>
          <w:rFonts w:cs="Arial"/>
          <w:sz w:val="24"/>
          <w:szCs w:val="24"/>
          <w:lang w:val="en-US"/>
        </w:rPr>
        <w:t>Accordingly, this paper proposes a theoretical framework and empirically evaluate the transmission mechanisms linking economic uncertainty sentiment, the parallel digital exchange rate, and inflationary dynamics in Bolivia. Leveraging novel daily-frequency data (2023–2025), we construct an Economic Uncertainty Sentiment Index derived from national news, track BOB/USDT exchange rates from online trading platforms, and estimate daily year-on-year inflation. This high-frequency dataset captures rapid feedback loops, crucial for analyzing modern financial markets and digital currency flows.</w:t>
      </w:r>
    </w:p>
    <w:p w14:paraId="4C3A1846" w14:textId="06CC8E17" w:rsidR="00A02F2A" w:rsidRPr="00A02F2A" w:rsidRDefault="00A02F2A" w:rsidP="00E27CA1">
      <w:pPr>
        <w:spacing w:before="120" w:after="120" w:line="360" w:lineRule="auto"/>
        <w:ind w:left="360"/>
        <w:jc w:val="both"/>
        <w:rPr>
          <w:rFonts w:cs="Arial"/>
          <w:sz w:val="24"/>
          <w:szCs w:val="24"/>
          <w:lang w:val="en-US"/>
        </w:rPr>
      </w:pPr>
      <w:r w:rsidRPr="00A02F2A">
        <w:rPr>
          <w:rFonts w:cs="Arial"/>
          <w:sz w:val="24"/>
          <w:szCs w:val="24"/>
          <w:lang w:val="en-US"/>
        </w:rPr>
        <w:t xml:space="preserve">Our methodological framework integrates a Dynamic Stochastic General Equilibrium (DSGE) model calibrated to Bolivia’s institutional characteristics—with explicit channels </w:t>
      </w:r>
      <w:r w:rsidRPr="00A02F2A">
        <w:rPr>
          <w:rFonts w:cs="Arial"/>
          <w:sz w:val="24"/>
          <w:szCs w:val="24"/>
          <w:lang w:val="en-US"/>
        </w:rPr>
        <w:lastRenderedPageBreak/>
        <w:t xml:space="preserve">for uncertainty sentiment shocks and parallel exchange rate dynamics—and Bayesian Structural Vector Autoregression (BSVAR) models estimated on daily data. The BSVAR employs sign and zero restrictions to identify structural shocks, allowing for empirical validation of the theoretical model. This dual approach bridges structural modeling with data-driven inference, providing a comprehensive analysis of the uncertainty sentiment </w:t>
      </w:r>
      <m:oMath>
        <m:r>
          <w:rPr>
            <w:rFonts w:ascii="Cambria Math" w:hAnsi="Cambria Math" w:cs="Arial"/>
            <w:sz w:val="24"/>
            <w:szCs w:val="24"/>
            <w:lang w:val="en-US"/>
          </w:rPr>
          <m:t>→</m:t>
        </m:r>
      </m:oMath>
      <w:r w:rsidR="007035C8" w:rsidRPr="00495AEE">
        <w:rPr>
          <w:rFonts w:eastAsiaTheme="minorEastAsia" w:cs="Arial"/>
          <w:sz w:val="24"/>
          <w:szCs w:val="24"/>
          <w:lang w:val="en-US"/>
        </w:rPr>
        <w:t xml:space="preserve"> </w:t>
      </w:r>
      <w:r w:rsidRPr="00A02F2A">
        <w:rPr>
          <w:rFonts w:cs="Arial"/>
          <w:sz w:val="24"/>
          <w:szCs w:val="24"/>
          <w:lang w:val="en-US"/>
        </w:rPr>
        <w:t xml:space="preserve">parallel (digital) exchange rate </w:t>
      </w:r>
      <m:oMath>
        <m:r>
          <w:rPr>
            <w:rFonts w:ascii="Cambria Math" w:hAnsi="Cambria Math" w:cs="Arial"/>
            <w:sz w:val="24"/>
            <w:szCs w:val="24"/>
            <w:lang w:val="en-US"/>
          </w:rPr>
          <m:t>→</m:t>
        </m:r>
      </m:oMath>
      <w:r w:rsidR="007035C8" w:rsidRPr="00495AEE">
        <w:rPr>
          <w:rFonts w:cs="Arial"/>
          <w:sz w:val="24"/>
          <w:szCs w:val="24"/>
          <w:lang w:val="en-US"/>
        </w:rPr>
        <w:t xml:space="preserve">  </w:t>
      </w:r>
      <w:r w:rsidRPr="00A02F2A">
        <w:rPr>
          <w:rFonts w:cs="Arial"/>
          <w:sz w:val="24"/>
          <w:szCs w:val="24"/>
          <w:lang w:val="en-US"/>
        </w:rPr>
        <w:t>inflation nexus.</w:t>
      </w:r>
    </w:p>
    <w:p w14:paraId="10745FDD" w14:textId="24A3F0DC" w:rsidR="00A02F2A" w:rsidRPr="00A02F2A" w:rsidRDefault="00A02F2A" w:rsidP="00E27CA1">
      <w:pPr>
        <w:spacing w:before="120" w:after="120" w:line="360" w:lineRule="auto"/>
        <w:ind w:left="360"/>
        <w:jc w:val="both"/>
        <w:rPr>
          <w:rFonts w:cs="Arial"/>
          <w:sz w:val="24"/>
          <w:szCs w:val="24"/>
          <w:lang w:val="en-US"/>
        </w:rPr>
      </w:pPr>
      <w:r w:rsidRPr="00A02F2A">
        <w:rPr>
          <w:rFonts w:cs="Arial"/>
          <w:sz w:val="24"/>
          <w:szCs w:val="24"/>
          <w:lang w:val="en-US"/>
        </w:rPr>
        <w:t>The study contributes to the literature by incorporating digital parallel markets and uncertainty sentiment into models of inflation dynamics and exchange rate management—an increasingly relevant focus for emerging markets. From a policy perspective, the findings underscore the importance of real-time monitoring of market sentiment and parallel exchange rates. Even without formal devaluation, rising uncertainty and crypto-based parallel markets can destabilize inflation. Our results offer practical insights for central banks in emerging economies, suggesting that integrating sentiment and parallel market metrics into policy frameworks is essential for maintaining macroeconomic stability in the digital age.</w:t>
      </w:r>
    </w:p>
    <w:p w14:paraId="5F67ED02" w14:textId="49EB3B57" w:rsidR="00A02F2A" w:rsidRPr="00495AEE" w:rsidRDefault="00A02F2A" w:rsidP="00E27CA1">
      <w:pPr>
        <w:spacing w:before="120" w:after="120" w:line="360" w:lineRule="auto"/>
        <w:ind w:left="360"/>
        <w:jc w:val="both"/>
        <w:rPr>
          <w:rFonts w:cs="Arial"/>
          <w:sz w:val="24"/>
          <w:szCs w:val="24"/>
          <w:lang w:val="en-US"/>
        </w:rPr>
      </w:pPr>
      <w:r w:rsidRPr="00495AEE">
        <w:rPr>
          <w:rFonts w:cs="Arial"/>
          <w:sz w:val="24"/>
          <w:szCs w:val="24"/>
          <w:lang w:val="en-US"/>
        </w:rPr>
        <w:t>The rest of the paper is structured as follows. Section</w:t>
      </w:r>
      <w:r w:rsidR="007035C8" w:rsidRPr="00495AEE">
        <w:rPr>
          <w:rFonts w:cs="Arial"/>
          <w:sz w:val="24"/>
          <w:szCs w:val="24"/>
          <w:lang w:val="en-US"/>
        </w:rPr>
        <w:t xml:space="preserve"> 2 </w:t>
      </w:r>
      <w:r w:rsidRPr="00495AEE">
        <w:rPr>
          <w:rFonts w:cs="Arial"/>
          <w:sz w:val="24"/>
          <w:szCs w:val="24"/>
          <w:lang w:val="en-US"/>
        </w:rPr>
        <w:t>presents the DSGE-type theoretical model incorporating sentiment and a parallel exchange rate. Section</w:t>
      </w:r>
      <w:r w:rsidR="007035C8" w:rsidRPr="00495AEE">
        <w:rPr>
          <w:rFonts w:cs="Arial"/>
          <w:sz w:val="24"/>
          <w:szCs w:val="24"/>
          <w:lang w:val="en-US"/>
        </w:rPr>
        <w:t xml:space="preserve"> 3</w:t>
      </w:r>
      <w:r w:rsidRPr="00495AEE">
        <w:rPr>
          <w:rFonts w:cs="Arial"/>
          <w:sz w:val="24"/>
          <w:szCs w:val="24"/>
          <w:lang w:val="en-US"/>
        </w:rPr>
        <w:t xml:space="preserve"> calibrates and simulates the DSGE model. Section</w:t>
      </w:r>
      <w:r w:rsidR="007035C8" w:rsidRPr="00495AEE">
        <w:rPr>
          <w:rFonts w:cs="Arial"/>
          <w:sz w:val="24"/>
          <w:szCs w:val="24"/>
          <w:lang w:val="en-US"/>
        </w:rPr>
        <w:t xml:space="preserve"> 4</w:t>
      </w:r>
      <w:r w:rsidRPr="00495AEE">
        <w:rPr>
          <w:rFonts w:cs="Arial"/>
          <w:sz w:val="24"/>
          <w:szCs w:val="24"/>
          <w:lang w:val="en-US"/>
        </w:rPr>
        <w:t xml:space="preserve"> describes the high-frequency dataset, outlines the BSVAR empirical strategy, and reports the empirical findings, while Section</w:t>
      </w:r>
      <w:r w:rsidR="007035C8" w:rsidRPr="00495AEE">
        <w:rPr>
          <w:rFonts w:cs="Arial"/>
          <w:sz w:val="24"/>
          <w:szCs w:val="24"/>
          <w:lang w:val="en-US"/>
        </w:rPr>
        <w:t xml:space="preserve"> 5</w:t>
      </w:r>
      <w:r w:rsidRPr="00495AEE">
        <w:rPr>
          <w:rFonts w:cs="Arial"/>
          <w:sz w:val="24"/>
          <w:szCs w:val="24"/>
          <w:lang w:val="en-US"/>
        </w:rPr>
        <w:t xml:space="preserve"> extends empirical analysis by examining monetary policy responses. Section</w:t>
      </w:r>
      <w:r w:rsidR="007035C8" w:rsidRPr="00495AEE">
        <w:rPr>
          <w:rFonts w:cs="Arial"/>
          <w:sz w:val="24"/>
          <w:szCs w:val="24"/>
          <w:lang w:val="en-US"/>
        </w:rPr>
        <w:t xml:space="preserve"> 6</w:t>
      </w:r>
      <w:r w:rsidRPr="00495AEE">
        <w:rPr>
          <w:rFonts w:cs="Arial"/>
          <w:sz w:val="24"/>
          <w:szCs w:val="24"/>
          <w:lang w:val="en-US"/>
        </w:rPr>
        <w:t xml:space="preserve"> explores the possibility of reverse causality: whether shocks to the exchange rate and monetary policy interventions can themselves influence economic uncertainty sentiment in Bolivia. Lastly, Section</w:t>
      </w:r>
      <w:r w:rsidR="007035C8" w:rsidRPr="00495AEE">
        <w:rPr>
          <w:rFonts w:cs="Arial"/>
          <w:sz w:val="24"/>
          <w:szCs w:val="24"/>
          <w:lang w:val="en-US"/>
        </w:rPr>
        <w:t xml:space="preserve"> 7</w:t>
      </w:r>
      <w:r w:rsidRPr="00495AEE">
        <w:rPr>
          <w:rFonts w:cs="Arial"/>
          <w:sz w:val="24"/>
          <w:szCs w:val="24"/>
          <w:lang w:val="en-US"/>
        </w:rPr>
        <w:t xml:space="preserve"> concludes with policy implications.</w:t>
      </w:r>
    </w:p>
    <w:p w14:paraId="65BB2644" w14:textId="51E79B1D" w:rsidR="007035C8" w:rsidRPr="00495AEE" w:rsidRDefault="007035C8" w:rsidP="00E27CA1">
      <w:pPr>
        <w:pStyle w:val="Prrafodelista"/>
        <w:numPr>
          <w:ilvl w:val="0"/>
          <w:numId w:val="1"/>
        </w:numPr>
        <w:spacing w:before="120" w:after="120" w:line="360" w:lineRule="auto"/>
        <w:jc w:val="both"/>
        <w:rPr>
          <w:rFonts w:cs="Arial"/>
          <w:b/>
          <w:bCs/>
          <w:sz w:val="24"/>
          <w:szCs w:val="24"/>
          <w:lang w:val="en-US"/>
        </w:rPr>
      </w:pPr>
      <w:r w:rsidRPr="00495AEE">
        <w:rPr>
          <w:rFonts w:cs="Arial"/>
          <w:b/>
          <w:bCs/>
          <w:sz w:val="24"/>
          <w:szCs w:val="24"/>
          <w:lang w:val="en-US"/>
        </w:rPr>
        <w:t>Theoretical Foundation</w:t>
      </w:r>
    </w:p>
    <w:p w14:paraId="038AA463" w14:textId="0BC1CE70" w:rsidR="007035C8" w:rsidRPr="00495AEE" w:rsidRDefault="007035C8" w:rsidP="00E27CA1">
      <w:pPr>
        <w:spacing w:before="120" w:after="120" w:line="360" w:lineRule="auto"/>
        <w:ind w:left="360"/>
        <w:jc w:val="both"/>
        <w:rPr>
          <w:rFonts w:cs="Arial"/>
          <w:sz w:val="24"/>
          <w:szCs w:val="24"/>
          <w:lang w:val="en-US"/>
        </w:rPr>
      </w:pPr>
      <w:r w:rsidRPr="00495AEE">
        <w:rPr>
          <w:rFonts w:cs="Arial"/>
          <w:sz w:val="24"/>
          <w:szCs w:val="24"/>
          <w:lang w:val="en-US"/>
        </w:rPr>
        <w:t xml:space="preserve">This section proposes a theoretical model designed specifically to understand and analyze the current Bolivian economic context, where the use of USDT cryptocurrency has significantly increased, establishing a parallel digital exchange market. Central to our analysis is the hypothesis that this BOB/USDT cryptocurrency-based parallel exchange rate is predominantly driven by shifts in economic uncertainty sentiment. Furthermore, we posit that fluctuations in economic uncertainty sentiment, either directly or indirectly via </w:t>
      </w:r>
      <w:r w:rsidRPr="00495AEE">
        <w:rPr>
          <w:rFonts w:cs="Arial"/>
          <w:sz w:val="24"/>
          <w:szCs w:val="24"/>
          <w:lang w:val="en-US"/>
        </w:rPr>
        <w:lastRenderedPageBreak/>
        <w:t>their influence on the cryptocurrency-based exchange rate, significantly impact inflation dynamics. Consequently, this theoretical foundation will serve as the basis for subsequent simulation-based and empirical evaluations.</w:t>
      </w:r>
    </w:p>
    <w:p w14:paraId="5C28A717" w14:textId="3CFA6C17" w:rsidR="007035C8" w:rsidRPr="00495AEE" w:rsidRDefault="007035C8" w:rsidP="00E27CA1">
      <w:pPr>
        <w:spacing w:before="120" w:after="120" w:line="360" w:lineRule="auto"/>
        <w:ind w:left="360"/>
        <w:jc w:val="both"/>
        <w:rPr>
          <w:rFonts w:cs="Arial"/>
          <w:sz w:val="24"/>
          <w:szCs w:val="24"/>
          <w:lang w:val="en-US"/>
        </w:rPr>
      </w:pPr>
      <w:r w:rsidRPr="00495AEE">
        <w:rPr>
          <w:rFonts w:cs="Arial"/>
          <w:b/>
          <w:bCs/>
          <w:sz w:val="24"/>
          <w:szCs w:val="24"/>
          <w:lang w:val="en-US"/>
        </w:rPr>
        <w:t>Standard New Keynesian Core and Behavioral Augmentations:</w:t>
      </w:r>
      <w:r w:rsidRPr="00495AEE">
        <w:rPr>
          <w:rFonts w:cs="Arial"/>
          <w:sz w:val="24"/>
          <w:szCs w:val="24"/>
          <w:lang w:val="en-US"/>
        </w:rPr>
        <w:t xml:space="preserve"> We base our theoretical setup on the canonical New Keynesian paradigm, which consists of following fundamental components:</w:t>
      </w:r>
    </w:p>
    <w:p w14:paraId="2E3E9EE5" w14:textId="204721AB" w:rsidR="007035C8" w:rsidRPr="00495AEE" w:rsidRDefault="007035C8" w:rsidP="00E27CA1">
      <w:pPr>
        <w:pStyle w:val="Prrafodelista"/>
        <w:numPr>
          <w:ilvl w:val="0"/>
          <w:numId w:val="2"/>
        </w:numPr>
        <w:spacing w:before="120" w:after="120" w:line="360" w:lineRule="auto"/>
        <w:jc w:val="both"/>
        <w:rPr>
          <w:rFonts w:cs="Arial"/>
          <w:sz w:val="24"/>
          <w:szCs w:val="24"/>
          <w:lang w:val="en-US"/>
        </w:rPr>
      </w:pPr>
      <w:r w:rsidRPr="00495AEE">
        <w:rPr>
          <w:rFonts w:cs="Arial"/>
          <w:i/>
          <w:iCs/>
          <w:sz w:val="24"/>
          <w:szCs w:val="24"/>
          <w:lang w:val="en-US"/>
        </w:rPr>
        <w:t>Forward-looking households</w:t>
      </w:r>
      <w:r w:rsidRPr="00495AEE">
        <w:rPr>
          <w:rFonts w:cs="Arial"/>
          <w:sz w:val="24"/>
          <w:szCs w:val="24"/>
          <w:lang w:val="en-US"/>
        </w:rPr>
        <w:t xml:space="preserve"> that optimize intertemporal consumption decisions, leading to a standard Euler equation linking the output gap to expected future economic conditions and real interest rates.</w:t>
      </w:r>
    </w:p>
    <w:p w14:paraId="2577AE26" w14:textId="4D3ED6B3" w:rsidR="00F21BAA" w:rsidRPr="00495AEE" w:rsidRDefault="00F21BAA" w:rsidP="00E27CA1">
      <w:pPr>
        <w:pStyle w:val="Prrafodelista"/>
        <w:numPr>
          <w:ilvl w:val="0"/>
          <w:numId w:val="2"/>
        </w:numPr>
        <w:spacing w:before="120" w:after="120" w:line="360" w:lineRule="auto"/>
        <w:jc w:val="both"/>
        <w:rPr>
          <w:rFonts w:cs="Arial"/>
          <w:sz w:val="24"/>
          <w:szCs w:val="24"/>
          <w:lang w:val="en-US"/>
        </w:rPr>
      </w:pPr>
      <w:r w:rsidRPr="00495AEE">
        <w:rPr>
          <w:rFonts w:cs="Arial"/>
          <w:i/>
          <w:iCs/>
          <w:sz w:val="24"/>
          <w:szCs w:val="24"/>
          <w:lang w:val="en-US"/>
        </w:rPr>
        <w:t>Calvo-type nominal rigidities</w:t>
      </w:r>
      <w:r w:rsidRPr="00495AEE">
        <w:rPr>
          <w:rFonts w:cs="Arial"/>
          <w:sz w:val="24"/>
          <w:szCs w:val="24"/>
          <w:lang w:val="en-US"/>
        </w:rPr>
        <w:t xml:space="preserve"> capturing staggered price adjustments, thus generating intrinsic inertia in price-setting and inflation dynamics.</w:t>
      </w:r>
    </w:p>
    <w:p w14:paraId="0EA7AD04" w14:textId="7D47EF62" w:rsidR="00F21BAA" w:rsidRPr="00495AEE" w:rsidRDefault="00F21BAA" w:rsidP="00E27CA1">
      <w:pPr>
        <w:pStyle w:val="Prrafodelista"/>
        <w:numPr>
          <w:ilvl w:val="0"/>
          <w:numId w:val="2"/>
        </w:numPr>
        <w:spacing w:before="120" w:after="120" w:line="360" w:lineRule="auto"/>
        <w:jc w:val="both"/>
        <w:rPr>
          <w:rFonts w:cs="Arial"/>
          <w:sz w:val="24"/>
          <w:szCs w:val="24"/>
          <w:lang w:val="en-US"/>
        </w:rPr>
      </w:pPr>
      <w:r w:rsidRPr="00495AEE">
        <w:rPr>
          <w:rFonts w:cs="Arial"/>
          <w:sz w:val="24"/>
          <w:szCs w:val="24"/>
          <w:lang w:val="en-US"/>
        </w:rPr>
        <w:t xml:space="preserve">A </w:t>
      </w:r>
      <w:r w:rsidRPr="00495AEE">
        <w:rPr>
          <w:rFonts w:cs="Arial"/>
          <w:i/>
          <w:iCs/>
          <w:sz w:val="24"/>
          <w:szCs w:val="24"/>
          <w:lang w:val="en-US"/>
        </w:rPr>
        <w:t>Taylor-type monetary policy rule</w:t>
      </w:r>
      <w:r w:rsidRPr="00495AEE">
        <w:rPr>
          <w:rFonts w:cs="Arial"/>
          <w:sz w:val="24"/>
          <w:szCs w:val="24"/>
          <w:lang w:val="en-US"/>
        </w:rPr>
        <w:t xml:space="preserve"> describing how the central bank adjusts nominal interest rates smoothly in response to deviations of inflation and the output gap from their target values.</w:t>
      </w:r>
    </w:p>
    <w:p w14:paraId="58D47995" w14:textId="099EC1F3" w:rsidR="00F21BAA" w:rsidRPr="00495AEE" w:rsidRDefault="00F21BAA" w:rsidP="00E27CA1">
      <w:pPr>
        <w:spacing w:before="120" w:after="120" w:line="360" w:lineRule="auto"/>
        <w:jc w:val="both"/>
        <w:rPr>
          <w:rFonts w:cs="Arial"/>
          <w:sz w:val="24"/>
          <w:szCs w:val="24"/>
          <w:lang w:val="en-US"/>
        </w:rPr>
      </w:pPr>
      <w:r w:rsidRPr="00495AEE">
        <w:rPr>
          <w:rFonts w:cs="Arial"/>
          <w:sz w:val="24"/>
          <w:szCs w:val="24"/>
          <w:lang w:val="en-US"/>
        </w:rPr>
        <w:t>To enhance realism and empirical relevance, we introduce two additional behavioral elements:</w:t>
      </w:r>
    </w:p>
    <w:p w14:paraId="7F3D4510" w14:textId="1DDE2278" w:rsidR="00F21BAA" w:rsidRPr="00495AEE" w:rsidRDefault="00F21BAA" w:rsidP="00E27CA1">
      <w:pPr>
        <w:pStyle w:val="Prrafodelista"/>
        <w:numPr>
          <w:ilvl w:val="0"/>
          <w:numId w:val="2"/>
        </w:numPr>
        <w:spacing w:before="120" w:after="120" w:line="360" w:lineRule="auto"/>
        <w:jc w:val="both"/>
        <w:rPr>
          <w:rFonts w:cs="Arial"/>
          <w:sz w:val="24"/>
          <w:szCs w:val="24"/>
          <w:lang w:val="en-US"/>
        </w:rPr>
      </w:pPr>
      <w:r w:rsidRPr="00495AEE">
        <w:rPr>
          <w:rFonts w:cs="Arial"/>
          <w:i/>
          <w:iCs/>
          <w:sz w:val="24"/>
          <w:szCs w:val="24"/>
          <w:lang w:val="en-US"/>
        </w:rPr>
        <w:t>Sentiment-driven uncertainty:</w:t>
      </w:r>
      <w:r w:rsidRPr="00495AEE">
        <w:rPr>
          <w:rFonts w:cs="Arial"/>
          <w:sz w:val="24"/>
          <w:szCs w:val="24"/>
          <w:lang w:val="en-US"/>
        </w:rPr>
        <w:t xml:space="preserve"> Shifts in optimism or pessimism derived from news or economic signals influence precautionary savings and risk premiums, reflecting behavioral insights as outlined by </w:t>
      </w:r>
      <w:r w:rsidRPr="00495AEE">
        <w:rPr>
          <w:rFonts w:cs="Arial"/>
          <w:color w:val="0000CC"/>
          <w:sz w:val="24"/>
          <w:szCs w:val="24"/>
          <w:lang w:val="en-US"/>
        </w:rPr>
        <w:t>Milani (2017)</w:t>
      </w:r>
      <w:r w:rsidRPr="00495AEE">
        <w:rPr>
          <w:rFonts w:cs="Arial"/>
          <w:sz w:val="24"/>
          <w:szCs w:val="24"/>
          <w:lang w:val="en-US"/>
        </w:rPr>
        <w:t xml:space="preserve"> and </w:t>
      </w:r>
      <w:r w:rsidRPr="00495AEE">
        <w:rPr>
          <w:rFonts w:cs="Arial"/>
          <w:color w:val="0000CC"/>
          <w:sz w:val="24"/>
          <w:szCs w:val="24"/>
          <w:lang w:val="en-US"/>
        </w:rPr>
        <w:t>Gupta (2025).</w:t>
      </w:r>
    </w:p>
    <w:p w14:paraId="49B34A7B" w14:textId="150C8F32" w:rsidR="00F21BAA" w:rsidRPr="00495AEE" w:rsidRDefault="00F21BAA" w:rsidP="00E27CA1">
      <w:pPr>
        <w:pStyle w:val="Prrafodelista"/>
        <w:numPr>
          <w:ilvl w:val="0"/>
          <w:numId w:val="2"/>
        </w:numPr>
        <w:spacing w:before="120" w:after="120" w:line="360" w:lineRule="auto"/>
        <w:jc w:val="both"/>
        <w:rPr>
          <w:rFonts w:cs="Arial"/>
          <w:sz w:val="24"/>
          <w:szCs w:val="24"/>
          <w:lang w:val="en-US"/>
        </w:rPr>
      </w:pPr>
      <w:r w:rsidRPr="00495AEE">
        <w:rPr>
          <w:rFonts w:cs="Arial"/>
          <w:i/>
          <w:iCs/>
          <w:sz w:val="24"/>
          <w:szCs w:val="24"/>
          <w:lang w:val="en-US"/>
        </w:rPr>
        <w:t>Sticky expectations</w:t>
      </w:r>
      <w:r w:rsidRPr="00495AEE">
        <w:rPr>
          <w:rFonts w:cs="Arial"/>
          <w:sz w:val="24"/>
          <w:szCs w:val="24"/>
          <w:lang w:val="en-US"/>
        </w:rPr>
        <w:t xml:space="preserve">: Price-setting incorporates backward-looking components as firms partially index prices to past inflation, following the hybrid Phillips curve formulation of </w:t>
      </w:r>
      <w:r w:rsidRPr="00495AEE">
        <w:rPr>
          <w:rFonts w:cs="Arial"/>
          <w:color w:val="0000CC"/>
          <w:sz w:val="24"/>
          <w:szCs w:val="24"/>
          <w:lang w:val="en-US"/>
        </w:rPr>
        <w:t>Basarac et al. (2011)</w:t>
      </w:r>
      <w:r w:rsidRPr="00495AEE">
        <w:rPr>
          <w:rFonts w:cs="Arial"/>
          <w:sz w:val="24"/>
          <w:szCs w:val="24"/>
          <w:lang w:val="en-US"/>
        </w:rPr>
        <w:t>, capturing bounded rationality and informational rigidities.</w:t>
      </w:r>
    </w:p>
    <w:p w14:paraId="56AE66CF" w14:textId="000E59B0" w:rsidR="00F21BAA" w:rsidRPr="00495AEE" w:rsidRDefault="00F21BAA" w:rsidP="00E27CA1">
      <w:pPr>
        <w:spacing w:before="120" w:after="120" w:line="360" w:lineRule="auto"/>
        <w:jc w:val="both"/>
        <w:rPr>
          <w:rFonts w:cs="Arial"/>
          <w:sz w:val="24"/>
          <w:szCs w:val="24"/>
          <w:lang w:val="en-US"/>
        </w:rPr>
      </w:pPr>
      <w:r w:rsidRPr="00495AEE">
        <w:rPr>
          <w:rFonts w:cs="Arial"/>
          <w:sz w:val="24"/>
          <w:szCs w:val="24"/>
          <w:lang w:val="en-US"/>
        </w:rPr>
        <w:t>These extensions ensure our model retains core New Keynesian properties, enriched by realistic behavioral dimensions particularly pertinent for emerging market economies such as Bolivia.</w:t>
      </w:r>
    </w:p>
    <w:p w14:paraId="023D91EE" w14:textId="412B7F0C" w:rsidR="00F21BAA" w:rsidRPr="00495AEE" w:rsidRDefault="00F21BAA" w:rsidP="00E27CA1">
      <w:pPr>
        <w:spacing w:before="120" w:after="120" w:line="360" w:lineRule="auto"/>
        <w:jc w:val="both"/>
        <w:rPr>
          <w:rFonts w:cs="Arial"/>
          <w:sz w:val="24"/>
          <w:szCs w:val="24"/>
          <w:lang w:val="en-US"/>
        </w:rPr>
      </w:pPr>
      <w:r w:rsidRPr="00495AEE">
        <w:rPr>
          <w:rFonts w:cs="Arial"/>
          <w:b/>
          <w:bCs/>
          <w:sz w:val="24"/>
          <w:szCs w:val="24"/>
          <w:lang w:val="en-US"/>
        </w:rPr>
        <w:t>Aggregate Demand (IS Curve) under Uncertainty:</w:t>
      </w:r>
      <w:r w:rsidRPr="00495AEE">
        <w:rPr>
          <w:rFonts w:cs="Arial"/>
          <w:sz w:val="24"/>
          <w:szCs w:val="24"/>
          <w:lang w:val="en-US"/>
        </w:rPr>
        <w:t xml:space="preserve"> Households maximize expected lifetime utility given by:</w:t>
      </w:r>
    </w:p>
    <w:p w14:paraId="22007D37" w14:textId="3A7355F5" w:rsidR="00F21BAA" w:rsidRPr="00495AEE" w:rsidRDefault="00000000" w:rsidP="00E27CA1">
      <w:pPr>
        <w:spacing w:before="120" w:after="120" w:line="360" w:lineRule="auto"/>
        <w:jc w:val="both"/>
        <w:rPr>
          <w:rFonts w:eastAsiaTheme="minorEastAsia" w:cs="Arial"/>
          <w:sz w:val="24"/>
          <w:szCs w:val="24"/>
          <w:lang w:val="en-US"/>
        </w:rPr>
      </w:pPr>
      <m:oMathPara>
        <m:oMath>
          <m:sSub>
            <m:sSubPr>
              <m:ctrlPr>
                <w:rPr>
                  <w:rFonts w:ascii="Cambria Math" w:hAnsi="Cambria Math" w:cs="Arial"/>
                  <w:i/>
                  <w:sz w:val="24"/>
                  <w:szCs w:val="24"/>
                  <w:lang w:val="en-US"/>
                </w:rPr>
              </m:ctrlPr>
            </m:sSubPr>
            <m:e>
              <m:r>
                <w:rPr>
                  <w:rFonts w:ascii="Cambria Math" w:hAnsi="Cambria Math" w:cs="Arial"/>
                  <w:sz w:val="24"/>
                  <w:szCs w:val="24"/>
                  <w:lang w:val="en-US"/>
                </w:rPr>
                <m:t>E</m:t>
              </m:r>
              <m:ctrlPr>
                <w:rPr>
                  <w:rFonts w:ascii="Cambria Math" w:hAnsi="Cambria Math" w:cs="Arial"/>
                  <w:sz w:val="24"/>
                  <w:szCs w:val="24"/>
                  <w:lang w:val="en-US"/>
                </w:rPr>
              </m:ctrlPr>
            </m:e>
            <m:sub>
              <m:r>
                <w:rPr>
                  <w:rFonts w:ascii="Cambria Math" w:hAnsi="Cambria Math" w:cs="Arial"/>
                  <w:sz w:val="24"/>
                  <w:szCs w:val="24"/>
                  <w:lang w:val="en-US"/>
                </w:rPr>
                <m:t>0</m:t>
              </m:r>
            </m:sub>
          </m:sSub>
          <m:r>
            <w:rPr>
              <w:rFonts w:ascii="Cambria Math" w:hAnsi="Cambria Math" w:cs="Arial"/>
              <w:sz w:val="24"/>
              <w:szCs w:val="24"/>
              <w:lang w:val="en-US"/>
            </w:rPr>
            <m:t> </m:t>
          </m:r>
          <m:nary>
            <m:naryPr>
              <m:chr m:val="∑"/>
              <m:ctrlPr>
                <w:rPr>
                  <w:rFonts w:ascii="Cambria Math" w:hAnsi="Cambria Math" w:cs="Arial"/>
                  <w:sz w:val="24"/>
                  <w:szCs w:val="24"/>
                  <w:lang w:val="en-US"/>
                </w:rPr>
              </m:ctrlPr>
            </m:naryPr>
            <m:sub>
              <m:r>
                <w:rPr>
                  <w:rFonts w:ascii="Cambria Math" w:hAnsi="Cambria Math" w:cs="Arial"/>
                  <w:sz w:val="24"/>
                  <w:szCs w:val="24"/>
                  <w:lang w:val="en-US"/>
                </w:rPr>
                <m:t>t=0</m:t>
              </m:r>
              <m:ctrlPr>
                <w:rPr>
                  <w:rFonts w:ascii="Cambria Math" w:hAnsi="Cambria Math" w:cs="Arial"/>
                  <w:i/>
                  <w:sz w:val="24"/>
                  <w:szCs w:val="24"/>
                  <w:lang w:val="en-US"/>
                </w:rPr>
              </m:ctrlPr>
            </m:sub>
            <m:sup>
              <m:r>
                <m:rPr>
                  <m:sty m:val="p"/>
                </m:rPr>
                <w:rPr>
                  <w:rFonts w:ascii="Cambria Math" w:hAnsi="Cambria Math" w:cs="Arial"/>
                  <w:sz w:val="24"/>
                  <w:szCs w:val="24"/>
                  <w:lang w:val="en-US"/>
                </w:rPr>
                <m:t>∞</m:t>
              </m:r>
              <m:ctrlPr>
                <w:rPr>
                  <w:rFonts w:ascii="Cambria Math" w:hAnsi="Cambria Math" w:cs="Arial"/>
                  <w:i/>
                  <w:sz w:val="24"/>
                  <w:szCs w:val="24"/>
                  <w:lang w:val="en-US"/>
                </w:rPr>
              </m:ctrlPr>
            </m:sup>
            <m:e>
              <m:sSup>
                <m:sSupPr>
                  <m:ctrlPr>
                    <w:rPr>
                      <w:rFonts w:ascii="Cambria Math" w:hAnsi="Cambria Math" w:cs="Arial"/>
                      <w:i/>
                      <w:sz w:val="24"/>
                      <w:szCs w:val="24"/>
                      <w:lang w:val="en-US"/>
                    </w:rPr>
                  </m:ctrlPr>
                </m:sSupPr>
                <m:e>
                  <m:r>
                    <w:rPr>
                      <w:rFonts w:ascii="Cambria Math" w:hAnsi="Cambria Math" w:cs="Arial"/>
                      <w:sz w:val="24"/>
                      <w:szCs w:val="24"/>
                      <w:lang w:val="en-US"/>
                    </w:rPr>
                    <m:t>β</m:t>
                  </m:r>
                </m:e>
                <m:sup>
                  <m:r>
                    <w:rPr>
                      <w:rFonts w:ascii="Cambria Math" w:hAnsi="Cambria Math" w:cs="Arial"/>
                      <w:sz w:val="24"/>
                      <w:szCs w:val="24"/>
                      <w:lang w:val="en-US"/>
                    </w:rPr>
                    <m:t>t</m:t>
                  </m:r>
                </m:sup>
              </m:sSup>
              <m:ctrlPr>
                <w:rPr>
                  <w:rFonts w:ascii="Cambria Math" w:hAnsi="Cambria Math" w:cs="Arial"/>
                  <w:i/>
                  <w:sz w:val="24"/>
                  <w:szCs w:val="24"/>
                  <w:lang w:val="en-US"/>
                </w:rPr>
              </m:ctrlPr>
            </m:e>
          </m:nary>
          <m:f>
            <m:fPr>
              <m:ctrlPr>
                <w:rPr>
                  <w:rFonts w:ascii="Cambria Math" w:hAnsi="Cambria Math" w:cs="Arial"/>
                  <w:sz w:val="24"/>
                  <w:szCs w:val="24"/>
                  <w:lang w:val="en-US"/>
                </w:rPr>
              </m:ctrlPr>
            </m:fPr>
            <m:num>
              <m:sSubSup>
                <m:sSubSupPr>
                  <m:ctrlPr>
                    <w:rPr>
                      <w:rFonts w:ascii="Cambria Math" w:hAnsi="Cambria Math" w:cs="Arial"/>
                      <w:i/>
                      <w:sz w:val="24"/>
                      <w:szCs w:val="24"/>
                      <w:lang w:val="en-US"/>
                    </w:rPr>
                  </m:ctrlPr>
                </m:sSubSupPr>
                <m:e>
                  <m:r>
                    <w:rPr>
                      <w:rFonts w:ascii="Cambria Math" w:hAnsi="Cambria Math" w:cs="Arial"/>
                      <w:sz w:val="24"/>
                      <w:szCs w:val="24"/>
                      <w:lang w:val="en-US"/>
                    </w:rPr>
                    <m:t>C</m:t>
                  </m:r>
                </m:e>
                <m:sub>
                  <m:r>
                    <w:rPr>
                      <w:rFonts w:ascii="Cambria Math" w:hAnsi="Cambria Math" w:cs="Arial"/>
                      <w:sz w:val="24"/>
                      <w:szCs w:val="24"/>
                      <w:lang w:val="en-US"/>
                    </w:rPr>
                    <m:t>t</m:t>
                  </m:r>
                </m:sub>
                <m:sup>
                  <m:r>
                    <w:rPr>
                      <w:rFonts w:ascii="Cambria Math" w:hAnsi="Cambria Math" w:cs="Arial"/>
                      <w:sz w:val="24"/>
                      <w:szCs w:val="24"/>
                      <w:lang w:val="en-US"/>
                    </w:rPr>
                    <m:t>1-σ</m:t>
                  </m:r>
                </m:sup>
              </m:sSubSup>
              <m:r>
                <w:rPr>
                  <w:rFonts w:ascii="Cambria Math" w:hAnsi="Cambria Math" w:cs="Arial"/>
                  <w:sz w:val="24"/>
                  <w:szCs w:val="24"/>
                  <w:lang w:val="en-US"/>
                </w:rPr>
                <m:t>-1</m:t>
              </m:r>
              <m:ctrlPr>
                <w:rPr>
                  <w:rFonts w:ascii="Cambria Math" w:hAnsi="Cambria Math" w:cs="Arial"/>
                  <w:i/>
                  <w:sz w:val="24"/>
                  <w:szCs w:val="24"/>
                  <w:lang w:val="en-US"/>
                </w:rPr>
              </m:ctrlPr>
            </m:num>
            <m:den>
              <m:r>
                <w:rPr>
                  <w:rFonts w:ascii="Cambria Math" w:hAnsi="Cambria Math" w:cs="Arial"/>
                  <w:sz w:val="24"/>
                  <w:szCs w:val="24"/>
                  <w:lang w:val="en-US"/>
                </w:rPr>
                <m:t>1-σ</m:t>
              </m:r>
              <m:ctrlPr>
                <w:rPr>
                  <w:rFonts w:ascii="Cambria Math" w:hAnsi="Cambria Math" w:cs="Arial"/>
                  <w:i/>
                  <w:sz w:val="24"/>
                  <w:szCs w:val="24"/>
                  <w:lang w:val="en-US"/>
                </w:rPr>
              </m:ctrlPr>
            </m:den>
          </m:f>
        </m:oMath>
      </m:oMathPara>
    </w:p>
    <w:p w14:paraId="5D13A9B5" w14:textId="1B9F27AC" w:rsidR="00F21BAA" w:rsidRPr="00495AEE" w:rsidRDefault="00F21BAA" w:rsidP="00E27CA1">
      <w:pPr>
        <w:spacing w:before="120" w:after="120" w:line="360" w:lineRule="auto"/>
        <w:jc w:val="both"/>
        <w:rPr>
          <w:rFonts w:cs="Arial"/>
          <w:sz w:val="24"/>
          <w:szCs w:val="24"/>
          <w:lang w:val="en-US"/>
        </w:rPr>
      </w:pPr>
      <w:r w:rsidRPr="00495AEE">
        <w:rPr>
          <w:rFonts w:cs="Arial"/>
          <w:sz w:val="24"/>
          <w:szCs w:val="24"/>
          <w:lang w:val="en-US"/>
        </w:rPr>
        <w:t>subject to an intertemporal budget constraint. Linearizing the Euler equation around a zero-inflation steady state and defining the output gap</w:t>
      </w:r>
    </w:p>
    <w:p w14:paraId="77919B26" w14:textId="38178DF6" w:rsidR="00F21BAA" w:rsidRPr="00495AEE" w:rsidRDefault="00000000" w:rsidP="00E27CA1">
      <w:pPr>
        <w:spacing w:before="120" w:after="120" w:line="360" w:lineRule="auto"/>
        <w:jc w:val="both"/>
        <w:rPr>
          <w:rFonts w:eastAsiaTheme="minorEastAsia" w:cs="Arial"/>
          <w:sz w:val="24"/>
          <w:szCs w:val="24"/>
          <w:lang w:val="en-US"/>
        </w:rPr>
      </w:pPr>
      <m:oMathPara>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t</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ρ</m:t>
              </m:r>
            </m:e>
            <m:sub>
              <m:r>
                <w:rPr>
                  <w:rFonts w:ascii="Cambria Math" w:hAnsi="Cambria Math" w:cs="Arial"/>
                  <w:sz w:val="24"/>
                  <w:szCs w:val="24"/>
                  <w:lang w:val="en-US"/>
                </w:rPr>
                <m:t>x</m:t>
              </m:r>
            </m:sub>
          </m:sSub>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t-1</m:t>
              </m:r>
            </m:sub>
          </m:sSub>
          <m:r>
            <w:rPr>
              <w:rFonts w:ascii="Cambria Math" w:hAnsi="Cambria Math" w:cs="Arial"/>
              <w:sz w:val="24"/>
              <w:szCs w:val="24"/>
              <w:lang w:val="en-US"/>
            </w:rPr>
            <m:t>+</m:t>
          </m:r>
          <m:d>
            <m:dPr>
              <m:ctrlPr>
                <w:rPr>
                  <w:rFonts w:ascii="Cambria Math" w:hAnsi="Cambria Math" w:cs="Arial"/>
                  <w:i/>
                  <w:sz w:val="24"/>
                  <w:szCs w:val="24"/>
                  <w:lang w:val="en-US"/>
                </w:rPr>
              </m:ctrlPr>
            </m:dPr>
            <m:e>
              <m:r>
                <w:rPr>
                  <w:rFonts w:ascii="Cambria Math" w:hAnsi="Cambria Math" w:cs="Arial"/>
                  <w:sz w:val="24"/>
                  <w:szCs w:val="24"/>
                  <w:lang w:val="en-US"/>
                </w:rPr>
                <m:t>1-</m:t>
              </m:r>
              <m:sSub>
                <m:sSubPr>
                  <m:ctrlPr>
                    <w:rPr>
                      <w:rFonts w:ascii="Cambria Math" w:hAnsi="Cambria Math" w:cs="Arial"/>
                      <w:i/>
                      <w:sz w:val="24"/>
                      <w:szCs w:val="24"/>
                      <w:lang w:val="en-US"/>
                    </w:rPr>
                  </m:ctrlPr>
                </m:sSubPr>
                <m:e>
                  <m:r>
                    <w:rPr>
                      <w:rFonts w:ascii="Cambria Math" w:hAnsi="Cambria Math" w:cs="Arial"/>
                      <w:sz w:val="24"/>
                      <w:szCs w:val="24"/>
                      <w:lang w:val="en-US"/>
                    </w:rPr>
                    <m:t>ρ</m:t>
                  </m:r>
                </m:e>
                <m:sub>
                  <m:r>
                    <w:rPr>
                      <w:rFonts w:ascii="Cambria Math" w:hAnsi="Cambria Math" w:cs="Arial"/>
                      <w:sz w:val="24"/>
                      <w:szCs w:val="24"/>
                      <w:lang w:val="en-US"/>
                    </w:rPr>
                    <m:t>x</m:t>
                  </m:r>
                </m:sub>
              </m:sSub>
            </m:e>
          </m:d>
          <m:sSub>
            <m:sSubPr>
              <m:ctrlPr>
                <w:rPr>
                  <w:rFonts w:ascii="Cambria Math" w:hAnsi="Cambria Math" w:cs="Arial"/>
                  <w:i/>
                  <w:sz w:val="24"/>
                  <w:szCs w:val="24"/>
                  <w:lang w:val="en-US"/>
                </w:rPr>
              </m:ctrlPr>
            </m:sSubPr>
            <m:e>
              <m:r>
                <w:rPr>
                  <w:rFonts w:ascii="Cambria Math" w:hAnsi="Cambria Math" w:cs="Arial"/>
                  <w:sz w:val="24"/>
                  <w:szCs w:val="24"/>
                  <w:lang w:val="en-US"/>
                </w:rPr>
                <m:t>E</m:t>
              </m:r>
            </m:e>
            <m:sub>
              <m:r>
                <w:rPr>
                  <w:rFonts w:ascii="Cambria Math" w:hAnsi="Cambria Math" w:cs="Arial"/>
                  <w:sz w:val="24"/>
                  <w:szCs w:val="24"/>
                  <w:lang w:val="en-US"/>
                </w:rPr>
                <m:t>t</m:t>
              </m:r>
            </m:sub>
          </m:sSub>
          <m:d>
            <m:dPr>
              <m:begChr m:val="["/>
              <m:endChr m:val="]"/>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t+1</m:t>
                  </m:r>
                </m:sub>
              </m:sSub>
            </m:e>
          </m:d>
          <m:r>
            <w:rPr>
              <w:rFonts w:ascii="Cambria Math" w:hAnsi="Cambria Math" w:cs="Arial"/>
              <w:sz w:val="24"/>
              <w:szCs w:val="24"/>
              <w:lang w:val="en-US"/>
            </w:rPr>
            <m:t>-ϕ</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i</m:t>
                  </m:r>
                </m:e>
                <m:sub>
                  <m:r>
                    <w:rPr>
                      <w:rFonts w:ascii="Cambria Math" w:hAnsi="Cambria Math" w:cs="Arial"/>
                      <w:sz w:val="24"/>
                      <w:szCs w:val="24"/>
                      <w:lang w:val="en-US"/>
                    </w:rPr>
                    <m:t>t</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E</m:t>
                  </m:r>
                </m:e>
                <m:sub>
                  <m:r>
                    <w:rPr>
                      <w:rFonts w:ascii="Cambria Math" w:hAnsi="Cambria Math" w:cs="Arial"/>
                      <w:sz w:val="24"/>
                      <w:szCs w:val="24"/>
                      <w:lang w:val="en-US"/>
                    </w:rPr>
                    <m:t>t</m:t>
                  </m:r>
                </m:sub>
              </m:sSub>
              <m:d>
                <m:dPr>
                  <m:begChr m:val="["/>
                  <m:endChr m:val="]"/>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π</m:t>
                      </m:r>
                    </m:e>
                    <m:sub>
                      <m:r>
                        <w:rPr>
                          <w:rFonts w:ascii="Cambria Math" w:hAnsi="Cambria Math" w:cs="Arial"/>
                          <w:sz w:val="24"/>
                          <w:szCs w:val="24"/>
                          <w:lang w:val="en-US"/>
                        </w:rPr>
                        <m:t>t+1</m:t>
                      </m:r>
                    </m:sub>
                  </m:sSub>
                </m:e>
              </m:d>
            </m:e>
          </m:d>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ϕ</m:t>
              </m:r>
            </m:e>
            <m:sub>
              <m:r>
                <w:rPr>
                  <w:rFonts w:ascii="Cambria Math" w:hAnsi="Cambria Math" w:cs="Arial"/>
                  <w:sz w:val="24"/>
                  <w:szCs w:val="24"/>
                  <w:lang w:val="en-US"/>
                </w:rPr>
                <m:t>s</m:t>
              </m:r>
            </m:sub>
          </m:sSub>
          <m:sSub>
            <m:sSubPr>
              <m:ctrlPr>
                <w:rPr>
                  <w:rFonts w:ascii="Cambria Math" w:hAnsi="Cambria Math" w:cs="Arial"/>
                  <w:i/>
                  <w:sz w:val="24"/>
                  <w:szCs w:val="24"/>
                  <w:lang w:val="en-US"/>
                </w:rPr>
              </m:ctrlPr>
            </m:sSubPr>
            <m:e>
              <m:r>
                <w:rPr>
                  <w:rFonts w:ascii="Cambria Math" w:hAnsi="Cambria Math" w:cs="Arial"/>
                  <w:sz w:val="24"/>
                  <w:szCs w:val="24"/>
                  <w:lang w:val="en-US"/>
                </w:rPr>
                <m:t>s</m:t>
              </m:r>
            </m:e>
            <m:sub>
              <m:r>
                <w:rPr>
                  <w:rFonts w:ascii="Cambria Math" w:hAnsi="Cambria Math" w:cs="Arial"/>
                  <w:sz w:val="24"/>
                  <w:szCs w:val="24"/>
                  <w:lang w:val="en-US"/>
                </w:rPr>
                <m:t>t</m:t>
              </m:r>
            </m:sub>
          </m:sSub>
          <m:r>
            <w:rPr>
              <w:rFonts w:ascii="Cambria Math" w:eastAsiaTheme="minorEastAsia" w:hAnsi="Cambria Math" w:cs="Arial"/>
              <w:sz w:val="24"/>
              <w:szCs w:val="24"/>
              <w:lang w:val="en-US"/>
            </w:rPr>
            <m:t xml:space="preserve">             (1)</m:t>
          </m:r>
        </m:oMath>
      </m:oMathPara>
    </w:p>
    <w:p w14:paraId="5A1D11DC" w14:textId="190B9029" w:rsidR="00F21BAA" w:rsidRPr="00495AEE" w:rsidRDefault="00F21BAA" w:rsidP="00E27CA1">
      <w:pPr>
        <w:spacing w:before="120" w:after="120" w:line="360" w:lineRule="auto"/>
        <w:jc w:val="both"/>
        <w:rPr>
          <w:rFonts w:cs="Arial"/>
          <w:sz w:val="24"/>
          <w:szCs w:val="24"/>
          <w:lang w:val="en-US"/>
        </w:rPr>
      </w:pPr>
      <w:r w:rsidRPr="00495AEE">
        <w:rPr>
          <w:rFonts w:cs="Arial"/>
          <w:sz w:val="24"/>
          <w:szCs w:val="24"/>
          <w:lang w:val="en-US"/>
        </w:rPr>
        <w:t xml:space="preserve">where </w:t>
      </w:r>
      <m:oMath>
        <m:sSub>
          <m:sSubPr>
            <m:ctrlPr>
              <w:rPr>
                <w:rFonts w:ascii="Cambria Math" w:hAnsi="Cambria Math" w:cs="Arial"/>
                <w:i/>
                <w:sz w:val="24"/>
                <w:szCs w:val="24"/>
                <w:lang w:val="en-US"/>
              </w:rPr>
            </m:ctrlPr>
          </m:sSubPr>
          <m:e>
            <m:r>
              <w:rPr>
                <w:rFonts w:ascii="Cambria Math" w:hAnsi="Cambria Math" w:cs="Arial"/>
                <w:sz w:val="24"/>
                <w:szCs w:val="24"/>
                <w:lang w:val="en-US"/>
              </w:rPr>
              <m:t>ρ</m:t>
            </m:r>
            <m:ctrlPr>
              <w:rPr>
                <w:rFonts w:ascii="Cambria Math" w:hAnsi="Cambria Math" w:cs="Arial"/>
                <w:sz w:val="24"/>
                <w:szCs w:val="24"/>
                <w:lang w:val="en-US"/>
              </w:rPr>
            </m:ctrlPr>
          </m:e>
          <m:sub>
            <m:r>
              <w:rPr>
                <w:rFonts w:ascii="Cambria Math" w:hAnsi="Cambria Math" w:cs="Arial"/>
                <w:sz w:val="24"/>
                <w:szCs w:val="24"/>
                <w:lang w:val="en-US"/>
              </w:rPr>
              <m:t>x</m:t>
            </m:r>
          </m:sub>
        </m:sSub>
        <m:r>
          <m:rPr>
            <m:sty m:val="p"/>
          </m:rPr>
          <w:rPr>
            <w:rFonts w:ascii="Cambria Math" w:hAnsi="Cambria Math" w:cs="Arial"/>
            <w:sz w:val="24"/>
            <w:szCs w:val="24"/>
            <w:lang w:val="en-US"/>
          </w:rPr>
          <m:t>∈</m:t>
        </m:r>
        <m:d>
          <m:dPr>
            <m:begChr m:val="["/>
            <m:endChr m:val="]"/>
            <m:ctrlPr>
              <w:rPr>
                <w:rFonts w:ascii="Cambria Math" w:hAnsi="Cambria Math" w:cs="Arial"/>
                <w:i/>
                <w:sz w:val="24"/>
                <w:szCs w:val="24"/>
                <w:lang w:val="en-US"/>
              </w:rPr>
            </m:ctrlPr>
          </m:dPr>
          <m:e>
            <m:r>
              <w:rPr>
                <w:rFonts w:ascii="Cambria Math" w:hAnsi="Cambria Math" w:cs="Arial"/>
                <w:sz w:val="24"/>
                <w:szCs w:val="24"/>
                <w:lang w:val="en-US"/>
              </w:rPr>
              <m:t>0,1</m:t>
            </m:r>
          </m:e>
        </m:d>
      </m:oMath>
      <w:r w:rsidRPr="00495AEE">
        <w:rPr>
          <w:rFonts w:cs="Arial"/>
          <w:sz w:val="24"/>
          <w:szCs w:val="24"/>
          <w:lang w:val="en-US"/>
        </w:rPr>
        <w:t xml:space="preserve"> captures output-gap persistence (reflecting habits or adjustment costs), </w:t>
      </w:r>
      <m:oMath>
        <m:r>
          <w:rPr>
            <w:rFonts w:ascii="Cambria Math" w:hAnsi="Cambria Math" w:cs="Arial"/>
            <w:sz w:val="24"/>
            <w:szCs w:val="24"/>
            <w:lang w:val="en-US"/>
          </w:rPr>
          <m:t>ϕ=1</m:t>
        </m:r>
        <m:r>
          <m:rPr>
            <m:lit/>
          </m:rPr>
          <w:rPr>
            <w:rFonts w:ascii="Cambria Math" w:hAnsi="Cambria Math" w:cs="Arial"/>
            <w:sz w:val="24"/>
            <w:szCs w:val="24"/>
            <w:lang w:val="en-US"/>
          </w:rPr>
          <m:t>/</m:t>
        </m:r>
        <m:r>
          <w:rPr>
            <w:rFonts w:ascii="Cambria Math" w:hAnsi="Cambria Math" w:cs="Arial"/>
            <w:sz w:val="24"/>
            <w:szCs w:val="24"/>
            <w:lang w:val="en-US"/>
          </w:rPr>
          <m:t>σ</m:t>
        </m:r>
      </m:oMath>
      <w:r w:rsidRPr="00495AEE">
        <w:rPr>
          <w:rFonts w:cs="Arial"/>
          <w:sz w:val="24"/>
          <w:szCs w:val="24"/>
          <w:lang w:val="en-US"/>
        </w:rPr>
        <w:t xml:space="preserve"> measures intertemporal substitution, and </w:t>
      </w:r>
      <m:oMath>
        <m:sSub>
          <m:sSubPr>
            <m:ctrlPr>
              <w:rPr>
                <w:rFonts w:ascii="Cambria Math" w:hAnsi="Cambria Math" w:cs="Arial"/>
                <w:i/>
                <w:sz w:val="24"/>
                <w:szCs w:val="24"/>
                <w:lang w:val="en-US"/>
              </w:rPr>
            </m:ctrlPr>
          </m:sSubPr>
          <m:e>
            <m:r>
              <w:rPr>
                <w:rFonts w:ascii="Cambria Math" w:hAnsi="Cambria Math" w:cs="Arial"/>
                <w:sz w:val="24"/>
                <w:szCs w:val="24"/>
                <w:lang w:val="en-US"/>
              </w:rPr>
              <m:t>ϕ</m:t>
            </m:r>
            <m:ctrlPr>
              <w:rPr>
                <w:rFonts w:ascii="Cambria Math" w:hAnsi="Cambria Math" w:cs="Arial"/>
                <w:sz w:val="24"/>
                <w:szCs w:val="24"/>
                <w:lang w:val="en-US"/>
              </w:rPr>
            </m:ctrlPr>
          </m:e>
          <m:sub>
            <m:r>
              <w:rPr>
                <w:rFonts w:ascii="Cambria Math" w:hAnsi="Cambria Math" w:cs="Arial"/>
                <w:sz w:val="24"/>
                <w:szCs w:val="24"/>
                <w:lang w:val="en-US"/>
              </w:rPr>
              <m:t>s</m:t>
            </m:r>
          </m:sub>
        </m:sSub>
        <m:r>
          <w:rPr>
            <w:rFonts w:ascii="Cambria Math" w:hAnsi="Cambria Math" w:cs="Arial"/>
            <w:sz w:val="24"/>
            <w:szCs w:val="24"/>
            <w:lang w:val="en-US"/>
          </w:rPr>
          <m:t>&gt;0</m:t>
        </m:r>
      </m:oMath>
      <w:r w:rsidRPr="00495AEE">
        <w:rPr>
          <w:rFonts w:cs="Arial"/>
          <w:sz w:val="24"/>
          <w:szCs w:val="24"/>
          <w:lang w:val="en-US"/>
        </w:rPr>
        <w:t xml:space="preserve"> quantifies the contractionary effect of increased sentiment-driven uncertainty </w:t>
      </w:r>
      <m:oMath>
        <m:sSub>
          <m:sSubPr>
            <m:ctrlPr>
              <w:rPr>
                <w:rFonts w:ascii="Cambria Math" w:hAnsi="Cambria Math" w:cs="Arial"/>
                <w:i/>
                <w:sz w:val="24"/>
                <w:szCs w:val="24"/>
                <w:lang w:val="en-US"/>
              </w:rPr>
            </m:ctrlPr>
          </m:sSubPr>
          <m:e>
            <m:r>
              <w:rPr>
                <w:rFonts w:ascii="Cambria Math" w:hAnsi="Cambria Math" w:cs="Arial"/>
                <w:sz w:val="24"/>
                <w:szCs w:val="24"/>
                <w:lang w:val="en-US"/>
              </w:rPr>
              <m:t>s</m:t>
            </m:r>
          </m:e>
          <m:sub>
            <m:r>
              <w:rPr>
                <w:rFonts w:ascii="Cambria Math" w:hAnsi="Cambria Math" w:cs="Arial"/>
                <w:sz w:val="24"/>
                <w:szCs w:val="24"/>
                <w:lang w:val="en-US"/>
              </w:rPr>
              <m:t>t</m:t>
            </m:r>
          </m:sub>
        </m:sSub>
      </m:oMath>
      <w:r w:rsidRPr="00495AEE">
        <w:rPr>
          <w:rFonts w:cs="Arial"/>
          <w:sz w:val="24"/>
          <w:szCs w:val="24"/>
          <w:lang w:val="en-US"/>
        </w:rPr>
        <w:t xml:space="preserve"> on aggregate demand, consistent with </w:t>
      </w:r>
      <w:r w:rsidRPr="00495AEE">
        <w:rPr>
          <w:rFonts w:cs="Arial"/>
          <w:color w:val="0000CC"/>
          <w:sz w:val="24"/>
          <w:szCs w:val="24"/>
          <w:lang w:val="en-US"/>
        </w:rPr>
        <w:t>Miescu (2023)</w:t>
      </w:r>
      <w:r w:rsidRPr="00495AEE">
        <w:rPr>
          <w:rFonts w:cs="Arial"/>
          <w:sz w:val="24"/>
          <w:szCs w:val="24"/>
          <w:lang w:val="en-US"/>
        </w:rPr>
        <w:t>.</w:t>
      </w:r>
    </w:p>
    <w:p w14:paraId="4591CB9E" w14:textId="6F50B5A1" w:rsidR="00784AE9" w:rsidRPr="00495AEE" w:rsidRDefault="00784AE9" w:rsidP="00E27CA1">
      <w:pPr>
        <w:spacing w:before="120" w:after="120" w:line="360" w:lineRule="auto"/>
        <w:jc w:val="both"/>
        <w:rPr>
          <w:rFonts w:cs="Arial"/>
          <w:sz w:val="24"/>
          <w:szCs w:val="24"/>
          <w:lang w:val="en-US"/>
        </w:rPr>
      </w:pPr>
      <w:r w:rsidRPr="00495AEE">
        <w:rPr>
          <w:rFonts w:cs="Arial"/>
          <w:b/>
          <w:bCs/>
          <w:sz w:val="24"/>
          <w:szCs w:val="24"/>
          <w:lang w:val="en-US"/>
        </w:rPr>
        <w:t>Inflation Dynamics and the Hybrid Phillips Curve:</w:t>
      </w:r>
      <w:r w:rsidRPr="00495AEE">
        <w:rPr>
          <w:rFonts w:cs="Arial"/>
          <w:sz w:val="24"/>
          <w:szCs w:val="24"/>
          <w:lang w:val="en-US"/>
        </w:rPr>
        <w:t xml:space="preserve"> Price-setting firms face Calvo-type constraints, where a fraction </w:t>
      </w:r>
      <m:oMath>
        <m:r>
          <w:rPr>
            <w:rFonts w:ascii="Cambria Math" w:hAnsi="Cambria Math" w:cs="Arial"/>
            <w:sz w:val="24"/>
            <w:szCs w:val="24"/>
            <w:lang w:val="en-US"/>
          </w:rPr>
          <m:t>θ</m:t>
        </m:r>
      </m:oMath>
      <w:r w:rsidRPr="00495AEE">
        <w:rPr>
          <w:rFonts w:cs="Arial"/>
          <w:sz w:val="24"/>
          <w:szCs w:val="24"/>
          <w:lang w:val="en-US"/>
        </w:rPr>
        <w:t xml:space="preserve"> cannot adjust prices each period. Among resetting firms, a proportion </w:t>
      </w:r>
      <m:oMath>
        <m:sSub>
          <m:sSubPr>
            <m:ctrlPr>
              <w:rPr>
                <w:rFonts w:ascii="Cambria Math" w:hAnsi="Cambria Math" w:cs="Arial"/>
                <w:i/>
                <w:sz w:val="24"/>
                <w:szCs w:val="24"/>
                <w:lang w:val="en-US"/>
              </w:rPr>
            </m:ctrlPr>
          </m:sSubPr>
          <m:e>
            <m:r>
              <w:rPr>
                <w:rFonts w:ascii="Cambria Math" w:hAnsi="Cambria Math" w:cs="Arial"/>
                <w:sz w:val="24"/>
                <w:szCs w:val="24"/>
                <w:lang w:val="en-US"/>
              </w:rPr>
              <m:t>γ</m:t>
            </m:r>
            <m:ctrlPr>
              <w:rPr>
                <w:rFonts w:ascii="Cambria Math" w:hAnsi="Cambria Math" w:cs="Arial"/>
                <w:sz w:val="24"/>
                <w:szCs w:val="24"/>
                <w:lang w:val="en-US"/>
              </w:rPr>
            </m:ctrlPr>
          </m:e>
          <m:sub>
            <m:r>
              <w:rPr>
                <w:rFonts w:ascii="Cambria Math" w:hAnsi="Cambria Math" w:cs="Arial"/>
                <w:sz w:val="24"/>
                <w:szCs w:val="24"/>
                <w:lang w:val="en-US"/>
              </w:rPr>
              <m:t>b</m:t>
            </m:r>
          </m:sub>
        </m:sSub>
      </m:oMath>
      <w:r w:rsidRPr="00495AEE">
        <w:rPr>
          <w:rFonts w:cs="Arial"/>
          <w:sz w:val="24"/>
          <w:szCs w:val="24"/>
          <w:lang w:val="en-US"/>
        </w:rPr>
        <w:t xml:space="preserve"> partially index to past inflation, reflecting sticky expectations. The resulting hybrid New Keynesian Phillips Curve (NKPC) is:</w:t>
      </w:r>
    </w:p>
    <w:p w14:paraId="19271612" w14:textId="28959226" w:rsidR="00784AE9" w:rsidRPr="00495AEE" w:rsidRDefault="00000000" w:rsidP="00E27CA1">
      <w:pPr>
        <w:spacing w:before="120" w:after="120" w:line="360" w:lineRule="auto"/>
        <w:jc w:val="both"/>
        <w:rPr>
          <w:rFonts w:cs="Arial"/>
          <w:sz w:val="24"/>
          <w:szCs w:val="24"/>
          <w:lang w:val="en-US"/>
        </w:rPr>
      </w:pPr>
      <m:oMathPara>
        <m:oMath>
          <m:sSub>
            <m:sSubPr>
              <m:ctrlPr>
                <w:rPr>
                  <w:rFonts w:ascii="Cambria Math" w:hAnsi="Cambria Math" w:cs="Arial"/>
                  <w:i/>
                  <w:sz w:val="24"/>
                  <w:szCs w:val="24"/>
                  <w:lang w:val="en-US"/>
                </w:rPr>
              </m:ctrlPr>
            </m:sSubPr>
            <m:e>
              <m:r>
                <w:rPr>
                  <w:rFonts w:ascii="Cambria Math" w:hAnsi="Cambria Math" w:cs="Arial"/>
                  <w:sz w:val="24"/>
                  <w:szCs w:val="24"/>
                  <w:lang w:val="en-US"/>
                </w:rPr>
                <m:t>π</m:t>
              </m:r>
              <m:ctrlPr>
                <w:rPr>
                  <w:rFonts w:ascii="Cambria Math" w:hAnsi="Cambria Math" w:cs="Arial"/>
                  <w:sz w:val="24"/>
                  <w:szCs w:val="24"/>
                  <w:lang w:val="en-US"/>
                </w:rPr>
              </m:ctrlPr>
            </m:e>
            <m:sub>
              <m:r>
                <w:rPr>
                  <w:rFonts w:ascii="Cambria Math" w:hAnsi="Cambria Math" w:cs="Arial"/>
                  <w:sz w:val="24"/>
                  <w:szCs w:val="24"/>
                  <w:lang w:val="en-US"/>
                </w:rPr>
                <m:t>t</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γ</m:t>
              </m:r>
            </m:e>
            <m:sub>
              <m:r>
                <w:rPr>
                  <w:rFonts w:ascii="Cambria Math" w:hAnsi="Cambria Math" w:cs="Arial"/>
                  <w:sz w:val="24"/>
                  <w:szCs w:val="24"/>
                  <w:lang w:val="en-US"/>
                </w:rPr>
                <m:t>f</m:t>
              </m:r>
            </m:sub>
          </m:sSub>
          <m:r>
            <w:rPr>
              <w:rFonts w:ascii="Cambria Math" w:hAnsi="Cambria Math" w:cs="Arial"/>
              <w:sz w:val="24"/>
              <w:szCs w:val="24"/>
              <w:lang w:val="en-US"/>
            </w:rPr>
            <m:t>β</m:t>
          </m:r>
          <m:sSub>
            <m:sSubPr>
              <m:ctrlPr>
                <w:rPr>
                  <w:rFonts w:ascii="Cambria Math" w:hAnsi="Cambria Math" w:cs="Arial"/>
                  <w:i/>
                  <w:sz w:val="24"/>
                  <w:szCs w:val="24"/>
                  <w:lang w:val="en-US"/>
                </w:rPr>
              </m:ctrlPr>
            </m:sSubPr>
            <m:e>
              <m:r>
                <w:rPr>
                  <w:rFonts w:ascii="Cambria Math" w:hAnsi="Cambria Math" w:cs="Arial"/>
                  <w:sz w:val="24"/>
                  <w:szCs w:val="24"/>
                  <w:lang w:val="en-US"/>
                </w:rPr>
                <m:t>E</m:t>
              </m:r>
            </m:e>
            <m:sub>
              <m:r>
                <w:rPr>
                  <w:rFonts w:ascii="Cambria Math" w:hAnsi="Cambria Math" w:cs="Arial"/>
                  <w:sz w:val="24"/>
                  <w:szCs w:val="24"/>
                  <w:lang w:val="en-US"/>
                </w:rPr>
                <m:t>t</m:t>
              </m:r>
            </m:sub>
          </m:sSub>
          <m:d>
            <m:dPr>
              <m:begChr m:val="["/>
              <m:endChr m:val="]"/>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π</m:t>
                  </m:r>
                </m:e>
                <m:sub>
                  <m:r>
                    <w:rPr>
                      <w:rFonts w:ascii="Cambria Math" w:hAnsi="Cambria Math" w:cs="Arial"/>
                      <w:sz w:val="24"/>
                      <w:szCs w:val="24"/>
                      <w:lang w:val="en-US"/>
                    </w:rPr>
                    <m:t>t+1</m:t>
                  </m:r>
                </m:sub>
              </m:sSub>
            </m:e>
          </m:d>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γ</m:t>
              </m:r>
            </m:e>
            <m:sub>
              <m:r>
                <w:rPr>
                  <w:rFonts w:ascii="Cambria Math" w:hAnsi="Cambria Math" w:cs="Arial"/>
                  <w:sz w:val="24"/>
                  <w:szCs w:val="24"/>
                  <w:lang w:val="en-US"/>
                </w:rPr>
                <m:t>b</m:t>
              </m:r>
            </m:sub>
          </m:sSub>
          <m:sSub>
            <m:sSubPr>
              <m:ctrlPr>
                <w:rPr>
                  <w:rFonts w:ascii="Cambria Math" w:hAnsi="Cambria Math" w:cs="Arial"/>
                  <w:i/>
                  <w:sz w:val="24"/>
                  <w:szCs w:val="24"/>
                  <w:lang w:val="en-US"/>
                </w:rPr>
              </m:ctrlPr>
            </m:sSubPr>
            <m:e>
              <m:r>
                <w:rPr>
                  <w:rFonts w:ascii="Cambria Math" w:hAnsi="Cambria Math" w:cs="Arial"/>
                  <w:sz w:val="24"/>
                  <w:szCs w:val="24"/>
                  <w:lang w:val="en-US"/>
                </w:rPr>
                <m:t>π</m:t>
              </m:r>
              <m:ctrlPr>
                <w:rPr>
                  <w:rFonts w:ascii="Cambria Math" w:hAnsi="Cambria Math" w:cs="Arial"/>
                  <w:sz w:val="24"/>
                  <w:szCs w:val="24"/>
                  <w:lang w:val="en-US"/>
                </w:rPr>
              </m:ctrlPr>
            </m:e>
            <m:sub>
              <m:r>
                <w:rPr>
                  <w:rFonts w:ascii="Cambria Math" w:hAnsi="Cambria Math" w:cs="Arial"/>
                  <w:sz w:val="24"/>
                  <w:szCs w:val="24"/>
                  <w:lang w:val="en-US"/>
                </w:rPr>
                <m:t>t-1</m:t>
              </m:r>
            </m:sub>
          </m:sSub>
          <m:r>
            <w:rPr>
              <w:rFonts w:ascii="Cambria Math" w:hAnsi="Cambria Math" w:cs="Arial"/>
              <w:sz w:val="24"/>
              <w:szCs w:val="24"/>
              <w:lang w:val="en-US"/>
            </w:rPr>
            <m:t>+κ</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t</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ϕ</m:t>
              </m:r>
            </m:e>
            <m:sub>
              <m:r>
                <w:rPr>
                  <w:rFonts w:ascii="Cambria Math" w:hAnsi="Cambria Math" w:cs="Arial"/>
                  <w:sz w:val="24"/>
                  <w:szCs w:val="24"/>
                  <w:lang w:val="en-US"/>
                </w:rPr>
                <m:t>e</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e</m:t>
                  </m:r>
                </m:e>
                <m:sub>
                  <m:r>
                    <w:rPr>
                      <w:rFonts w:ascii="Cambria Math" w:hAnsi="Cambria Math" w:cs="Arial"/>
                      <w:sz w:val="24"/>
                      <w:szCs w:val="24"/>
                      <w:lang w:val="en-US"/>
                    </w:rPr>
                    <m:t>t</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e</m:t>
                  </m:r>
                </m:e>
                <m:sub>
                  <m:r>
                    <w:rPr>
                      <w:rFonts w:ascii="Cambria Math" w:hAnsi="Cambria Math" w:cs="Arial"/>
                      <w:sz w:val="24"/>
                      <w:szCs w:val="24"/>
                      <w:lang w:val="en-US"/>
                    </w:rPr>
                    <m:t>t-1</m:t>
                  </m:r>
                </m:sub>
              </m:sSub>
            </m:e>
          </m:d>
          <m:r>
            <w:rPr>
              <w:rFonts w:ascii="Cambria Math" w:hAnsi="Cambria Math" w:cs="Arial"/>
              <w:sz w:val="24"/>
              <w:szCs w:val="24"/>
              <w:lang w:val="en-US"/>
            </w:rPr>
            <m:t>+</m:t>
          </m:r>
          <m:sSubSup>
            <m:sSubSupPr>
              <m:ctrlPr>
                <w:rPr>
                  <w:rFonts w:ascii="Cambria Math" w:hAnsi="Cambria Math" w:cs="Arial"/>
                  <w:i/>
                  <w:sz w:val="24"/>
                  <w:szCs w:val="24"/>
                  <w:lang w:val="en-US"/>
                </w:rPr>
              </m:ctrlPr>
            </m:sSubSupPr>
            <m:e>
              <m:r>
                <w:rPr>
                  <w:rFonts w:ascii="Cambria Math" w:hAnsi="Cambria Math" w:cs="Arial"/>
                  <w:sz w:val="24"/>
                  <w:szCs w:val="24"/>
                  <w:lang w:val="en-US"/>
                </w:rPr>
                <m:t>ε</m:t>
              </m:r>
            </m:e>
            <m:sub>
              <m:r>
                <w:rPr>
                  <w:rFonts w:ascii="Cambria Math" w:hAnsi="Cambria Math" w:cs="Arial"/>
                  <w:sz w:val="24"/>
                  <w:szCs w:val="24"/>
                  <w:lang w:val="en-US"/>
                </w:rPr>
                <m:t>t</m:t>
              </m:r>
            </m:sub>
            <m:sup>
              <m:r>
                <w:rPr>
                  <w:rFonts w:ascii="Cambria Math" w:hAnsi="Cambria Math" w:cs="Arial"/>
                  <w:sz w:val="24"/>
                  <w:szCs w:val="24"/>
                  <w:lang w:val="en-US"/>
                </w:rPr>
                <m:t>u</m:t>
              </m:r>
            </m:sup>
          </m:sSubSup>
          <m:r>
            <w:rPr>
              <w:rFonts w:ascii="Cambria Math" w:eastAsiaTheme="minorEastAsia" w:hAnsi="Cambria Math" w:cs="Arial"/>
              <w:sz w:val="24"/>
              <w:szCs w:val="24"/>
              <w:lang w:val="en-US"/>
            </w:rPr>
            <m:t xml:space="preserve">             (2)</m:t>
          </m:r>
        </m:oMath>
      </m:oMathPara>
    </w:p>
    <w:p w14:paraId="4B8E65FF" w14:textId="4034EFE0" w:rsidR="00F21BAA" w:rsidRPr="00495AEE" w:rsidRDefault="00784AE9" w:rsidP="00E27CA1">
      <w:pPr>
        <w:spacing w:before="120" w:after="120" w:line="360" w:lineRule="auto"/>
        <w:jc w:val="both"/>
        <w:rPr>
          <w:rFonts w:cs="Arial"/>
          <w:sz w:val="24"/>
          <w:szCs w:val="24"/>
          <w:lang w:val="en-US"/>
        </w:rPr>
      </w:pPr>
      <w:r w:rsidRPr="00495AEE">
        <w:rPr>
          <w:rFonts w:cs="Arial"/>
          <w:sz w:val="24"/>
          <w:szCs w:val="24"/>
          <w:lang w:val="en-US"/>
        </w:rPr>
        <w:t xml:space="preserve">with </w:t>
      </w:r>
      <m:oMath>
        <m:sSub>
          <m:sSubPr>
            <m:ctrlPr>
              <w:rPr>
                <w:rFonts w:ascii="Cambria Math" w:hAnsi="Cambria Math" w:cs="Arial"/>
                <w:i/>
                <w:sz w:val="24"/>
                <w:szCs w:val="24"/>
                <w:lang w:val="en-US"/>
              </w:rPr>
            </m:ctrlPr>
          </m:sSubPr>
          <m:e>
            <m:r>
              <w:rPr>
                <w:rFonts w:ascii="Cambria Math" w:hAnsi="Cambria Math" w:cs="Arial"/>
                <w:sz w:val="24"/>
                <w:szCs w:val="24"/>
                <w:lang w:val="en-US"/>
              </w:rPr>
              <m:t>γ</m:t>
            </m:r>
            <m:ctrlPr>
              <w:rPr>
                <w:rFonts w:ascii="Cambria Math" w:hAnsi="Cambria Math" w:cs="Arial"/>
                <w:sz w:val="24"/>
                <w:szCs w:val="24"/>
                <w:lang w:val="en-US"/>
              </w:rPr>
            </m:ctrlPr>
          </m:e>
          <m:sub>
            <m:r>
              <w:rPr>
                <w:rFonts w:ascii="Cambria Math" w:hAnsi="Cambria Math" w:cs="Arial"/>
                <w:sz w:val="24"/>
                <w:szCs w:val="24"/>
                <w:lang w:val="en-US"/>
              </w:rPr>
              <m:t>f</m:t>
            </m:r>
          </m:sub>
        </m:sSub>
        <m:r>
          <w:rPr>
            <w:rFonts w:ascii="Cambria Math" w:hAnsi="Cambria Math" w:cs="Arial"/>
            <w:sz w:val="24"/>
            <w:szCs w:val="24"/>
            <w:lang w:val="en-US"/>
          </w:rPr>
          <m:t>=1-</m:t>
        </m:r>
        <m:sSub>
          <m:sSubPr>
            <m:ctrlPr>
              <w:rPr>
                <w:rFonts w:ascii="Cambria Math" w:hAnsi="Cambria Math" w:cs="Arial"/>
                <w:i/>
                <w:sz w:val="24"/>
                <w:szCs w:val="24"/>
                <w:lang w:val="en-US"/>
              </w:rPr>
            </m:ctrlPr>
          </m:sSubPr>
          <m:e>
            <m:r>
              <w:rPr>
                <w:rFonts w:ascii="Cambria Math" w:hAnsi="Cambria Math" w:cs="Arial"/>
                <w:sz w:val="24"/>
                <w:szCs w:val="24"/>
                <w:lang w:val="en-US"/>
              </w:rPr>
              <m:t>γ</m:t>
            </m:r>
          </m:e>
          <m:sub>
            <m:r>
              <w:rPr>
                <w:rFonts w:ascii="Cambria Math" w:hAnsi="Cambria Math" w:cs="Arial"/>
                <w:sz w:val="24"/>
                <w:szCs w:val="24"/>
                <w:lang w:val="en-US"/>
              </w:rPr>
              <m:t>b</m:t>
            </m:r>
          </m:sub>
        </m:sSub>
      </m:oMath>
      <w:r w:rsidRPr="00495AEE">
        <w:rPr>
          <w:rFonts w:cs="Arial"/>
          <w:sz w:val="24"/>
          <w:szCs w:val="24"/>
          <w:lang w:val="en-US"/>
        </w:rPr>
        <w:t xml:space="preserve">, </w:t>
      </w:r>
      <m:oMath>
        <m:r>
          <w:rPr>
            <w:rFonts w:ascii="Cambria Math" w:hAnsi="Cambria Math" w:cs="Arial"/>
            <w:sz w:val="24"/>
            <w:szCs w:val="24"/>
            <w:lang w:val="en-US"/>
          </w:rPr>
          <m:t>κ=</m:t>
        </m:r>
        <m:f>
          <m:fPr>
            <m:ctrlPr>
              <w:rPr>
                <w:rFonts w:ascii="Cambria Math" w:hAnsi="Cambria Math" w:cs="Arial"/>
                <w:sz w:val="24"/>
                <w:szCs w:val="24"/>
                <w:lang w:val="en-US"/>
              </w:rPr>
            </m:ctrlPr>
          </m:fPr>
          <m:num>
            <m:d>
              <m:dPr>
                <m:ctrlPr>
                  <w:rPr>
                    <w:rFonts w:ascii="Cambria Math" w:hAnsi="Cambria Math" w:cs="Arial"/>
                    <w:i/>
                    <w:sz w:val="24"/>
                    <w:szCs w:val="24"/>
                    <w:lang w:val="en-US"/>
                  </w:rPr>
                </m:ctrlPr>
              </m:dPr>
              <m:e>
                <m:r>
                  <w:rPr>
                    <w:rFonts w:ascii="Cambria Math" w:hAnsi="Cambria Math" w:cs="Arial"/>
                    <w:sz w:val="24"/>
                    <w:szCs w:val="24"/>
                    <w:lang w:val="en-US"/>
                  </w:rPr>
                  <m:t>1-θ</m:t>
                </m:r>
              </m:e>
            </m:d>
            <m:d>
              <m:dPr>
                <m:ctrlPr>
                  <w:rPr>
                    <w:rFonts w:ascii="Cambria Math" w:hAnsi="Cambria Math" w:cs="Arial"/>
                    <w:i/>
                    <w:sz w:val="24"/>
                    <w:szCs w:val="24"/>
                    <w:lang w:val="en-US"/>
                  </w:rPr>
                </m:ctrlPr>
              </m:dPr>
              <m:e>
                <m:r>
                  <w:rPr>
                    <w:rFonts w:ascii="Cambria Math" w:hAnsi="Cambria Math" w:cs="Arial"/>
                    <w:sz w:val="24"/>
                    <w:szCs w:val="24"/>
                    <w:lang w:val="en-US"/>
                  </w:rPr>
                  <m:t>1-βθ</m:t>
                </m:r>
              </m:e>
            </m:d>
            <m:ctrlPr>
              <w:rPr>
                <w:rFonts w:ascii="Cambria Math" w:hAnsi="Cambria Math" w:cs="Arial"/>
                <w:i/>
                <w:sz w:val="24"/>
                <w:szCs w:val="24"/>
                <w:lang w:val="en-US"/>
              </w:rPr>
            </m:ctrlPr>
          </m:num>
          <m:den>
            <m:r>
              <w:rPr>
                <w:rFonts w:ascii="Cambria Math" w:hAnsi="Cambria Math" w:cs="Arial"/>
                <w:sz w:val="24"/>
                <w:szCs w:val="24"/>
                <w:lang w:val="en-US"/>
              </w:rPr>
              <m:t>θ</m:t>
            </m:r>
            <m:ctrlPr>
              <w:rPr>
                <w:rFonts w:ascii="Cambria Math" w:hAnsi="Cambria Math" w:cs="Arial"/>
                <w:i/>
                <w:sz w:val="24"/>
                <w:szCs w:val="24"/>
                <w:lang w:val="en-US"/>
              </w:rPr>
            </m:ctrlPr>
          </m:den>
        </m:f>
        <m:f>
          <m:fPr>
            <m:ctrlPr>
              <w:rPr>
                <w:rFonts w:ascii="Cambria Math" w:hAnsi="Cambria Math" w:cs="Arial"/>
                <w:sz w:val="24"/>
                <w:szCs w:val="24"/>
                <w:lang w:val="en-US"/>
              </w:rPr>
            </m:ctrlPr>
          </m:fPr>
          <m:num>
            <m:r>
              <w:rPr>
                <w:rFonts w:ascii="Cambria Math" w:hAnsi="Cambria Math" w:cs="Arial"/>
                <w:sz w:val="24"/>
                <w:szCs w:val="24"/>
                <w:lang w:val="en-US"/>
              </w:rPr>
              <m:t>1</m:t>
            </m:r>
            <m:ctrlPr>
              <w:rPr>
                <w:rFonts w:ascii="Cambria Math" w:hAnsi="Cambria Math" w:cs="Arial"/>
                <w:i/>
                <w:sz w:val="24"/>
                <w:szCs w:val="24"/>
                <w:lang w:val="en-US"/>
              </w:rPr>
            </m:ctrlPr>
          </m:num>
          <m:den>
            <m:r>
              <w:rPr>
                <w:rFonts w:ascii="Cambria Math" w:hAnsi="Cambria Math" w:cs="Arial"/>
                <w:sz w:val="24"/>
                <w:szCs w:val="24"/>
                <w:lang w:val="en-US"/>
              </w:rPr>
              <m:t>1+φ</m:t>
            </m:r>
            <m:ctrlPr>
              <w:rPr>
                <w:rFonts w:ascii="Cambria Math" w:hAnsi="Cambria Math" w:cs="Arial"/>
                <w:i/>
                <w:sz w:val="24"/>
                <w:szCs w:val="24"/>
                <w:lang w:val="en-US"/>
              </w:rPr>
            </m:ctrlPr>
          </m:den>
        </m:f>
      </m:oMath>
      <w:r w:rsidRPr="00495AEE">
        <w:rPr>
          <w:rFonts w:cs="Arial"/>
          <w:sz w:val="24"/>
          <w:szCs w:val="24"/>
          <w:lang w:val="en-US"/>
        </w:rPr>
        <w:t xml:space="preserve"> representing price rigidity and real marginal costs (with labor supply elasticity </w:t>
      </w:r>
      <m:oMath>
        <m:r>
          <w:rPr>
            <w:rFonts w:ascii="Cambria Math" w:hAnsi="Cambria Math" w:cs="Arial"/>
            <w:sz w:val="24"/>
            <w:szCs w:val="24"/>
            <w:lang w:val="en-US"/>
          </w:rPr>
          <m:t>φ</m:t>
        </m:r>
      </m:oMath>
      <w:r w:rsidRPr="00495AEE">
        <w:rPr>
          <w:rFonts w:cs="Arial"/>
          <w:sz w:val="24"/>
          <w:szCs w:val="24"/>
          <w:lang w:val="en-US"/>
        </w:rPr>
        <w:t xml:space="preserve">), and </w:t>
      </w:r>
      <m:oMath>
        <m:sSub>
          <m:sSubPr>
            <m:ctrlPr>
              <w:rPr>
                <w:rFonts w:ascii="Cambria Math" w:hAnsi="Cambria Math" w:cs="Arial"/>
                <w:i/>
                <w:sz w:val="24"/>
                <w:szCs w:val="24"/>
                <w:lang w:val="en-US"/>
              </w:rPr>
            </m:ctrlPr>
          </m:sSubPr>
          <m:e>
            <m:r>
              <w:rPr>
                <w:rFonts w:ascii="Cambria Math" w:hAnsi="Cambria Math" w:cs="Arial"/>
                <w:sz w:val="24"/>
                <w:szCs w:val="24"/>
                <w:lang w:val="en-US"/>
              </w:rPr>
              <m:t>ϕ</m:t>
            </m:r>
            <m:ctrlPr>
              <w:rPr>
                <w:rFonts w:ascii="Cambria Math" w:hAnsi="Cambria Math" w:cs="Arial"/>
                <w:sz w:val="24"/>
                <w:szCs w:val="24"/>
                <w:lang w:val="en-US"/>
              </w:rPr>
            </m:ctrlPr>
          </m:e>
          <m:sub>
            <m:r>
              <w:rPr>
                <w:rFonts w:ascii="Cambria Math" w:hAnsi="Cambria Math" w:cs="Arial"/>
                <w:sz w:val="24"/>
                <w:szCs w:val="24"/>
                <w:lang w:val="en-US"/>
              </w:rPr>
              <m:t>e</m:t>
            </m:r>
          </m:sub>
        </m:sSub>
        <m:r>
          <w:rPr>
            <w:rFonts w:ascii="Cambria Math" w:hAnsi="Cambria Math" w:cs="Arial"/>
            <w:sz w:val="24"/>
            <w:szCs w:val="24"/>
            <w:lang w:val="en-US"/>
          </w:rPr>
          <m:t>&gt;0</m:t>
        </m:r>
      </m:oMath>
      <w:r w:rsidRPr="00495AEE">
        <w:rPr>
          <w:rFonts w:cs="Arial"/>
          <w:sz w:val="24"/>
          <w:szCs w:val="24"/>
          <w:lang w:val="en-US"/>
        </w:rPr>
        <w:t xml:space="preserve"> capturing exchange-rate pass-through from parallel (digital) market fluctuations </w:t>
      </w:r>
      <m:oMath>
        <m:sSub>
          <m:sSubPr>
            <m:ctrlPr>
              <w:rPr>
                <w:rFonts w:ascii="Cambria Math" w:hAnsi="Cambria Math" w:cs="Arial"/>
                <w:i/>
                <w:sz w:val="24"/>
                <w:szCs w:val="24"/>
                <w:lang w:val="en-US"/>
              </w:rPr>
            </m:ctrlPr>
          </m:sSubPr>
          <m:e>
            <m:r>
              <w:rPr>
                <w:rFonts w:ascii="Cambria Math" w:hAnsi="Cambria Math" w:cs="Arial"/>
                <w:sz w:val="24"/>
                <w:szCs w:val="24"/>
                <w:lang w:val="en-US"/>
              </w:rPr>
              <m:t>e</m:t>
            </m:r>
          </m:e>
          <m:sub>
            <m:r>
              <w:rPr>
                <w:rFonts w:ascii="Cambria Math" w:hAnsi="Cambria Math" w:cs="Arial"/>
                <w:sz w:val="24"/>
                <w:szCs w:val="24"/>
                <w:lang w:val="en-US"/>
              </w:rPr>
              <m:t>t</m:t>
            </m:r>
          </m:sub>
        </m:sSub>
      </m:oMath>
      <w:r w:rsidRPr="00495AEE">
        <w:rPr>
          <w:rFonts w:cs="Arial"/>
          <w:sz w:val="24"/>
          <w:szCs w:val="24"/>
          <w:lang w:val="en-US"/>
        </w:rPr>
        <w:t>, reflecting the import price channel in open economies (</w:t>
      </w:r>
      <w:r w:rsidRPr="00495AEE">
        <w:rPr>
          <w:rFonts w:cs="Arial"/>
          <w:color w:val="0000CC"/>
          <w:sz w:val="24"/>
          <w:szCs w:val="24"/>
          <w:lang w:val="en-US"/>
        </w:rPr>
        <w:t>Ascari et al., 2023</w:t>
      </w:r>
      <w:r w:rsidRPr="00495AEE">
        <w:rPr>
          <w:rFonts w:cs="Arial"/>
          <w:sz w:val="24"/>
          <w:szCs w:val="24"/>
          <w:lang w:val="en-US"/>
        </w:rPr>
        <w:t>).</w:t>
      </w:r>
    </w:p>
    <w:p w14:paraId="481EF7CA" w14:textId="77777777" w:rsidR="00784AE9" w:rsidRPr="00495AEE" w:rsidRDefault="00784AE9" w:rsidP="00E27CA1">
      <w:pPr>
        <w:spacing w:before="120" w:after="120" w:line="360" w:lineRule="auto"/>
        <w:jc w:val="both"/>
        <w:rPr>
          <w:rFonts w:cs="Arial"/>
          <w:sz w:val="24"/>
          <w:szCs w:val="24"/>
          <w:lang w:val="en-US"/>
        </w:rPr>
      </w:pPr>
      <w:r w:rsidRPr="00495AEE">
        <w:rPr>
          <w:rFonts w:cs="Arial"/>
          <w:b/>
          <w:bCs/>
          <w:sz w:val="24"/>
          <w:szCs w:val="24"/>
          <w:lang w:val="en-US"/>
        </w:rPr>
        <w:t>Monetary Policy and the Taylor Rule</w:t>
      </w:r>
      <w:r w:rsidRPr="00495AEE">
        <w:rPr>
          <w:rFonts w:cs="Arial"/>
          <w:sz w:val="24"/>
          <w:szCs w:val="24"/>
          <w:lang w:val="en-US"/>
        </w:rPr>
        <w:t>: Monetary policy is represented through a smoothed Taylor rule:</w:t>
      </w:r>
    </w:p>
    <w:p w14:paraId="0CAB5D09" w14:textId="78679462" w:rsidR="005F2877" w:rsidRPr="00495AEE" w:rsidRDefault="00000000" w:rsidP="00E27CA1">
      <w:pPr>
        <w:spacing w:before="120" w:after="120" w:line="360" w:lineRule="auto"/>
        <w:jc w:val="both"/>
        <w:rPr>
          <w:rFonts w:eastAsiaTheme="minorEastAsia" w:cs="Arial"/>
          <w:sz w:val="24"/>
          <w:szCs w:val="24"/>
          <w:lang w:val="en-US"/>
        </w:rPr>
      </w:pPr>
      <m:oMathPara>
        <m:oMath>
          <m:sSub>
            <m:sSubPr>
              <m:ctrlPr>
                <w:rPr>
                  <w:rFonts w:ascii="Cambria Math" w:hAnsi="Cambria Math" w:cs="Arial"/>
                  <w:i/>
                  <w:sz w:val="24"/>
                  <w:szCs w:val="24"/>
                  <w:lang w:val="en-US"/>
                </w:rPr>
              </m:ctrlPr>
            </m:sSubPr>
            <m:e>
              <m:r>
                <w:rPr>
                  <w:rFonts w:ascii="Cambria Math" w:hAnsi="Cambria Math" w:cs="Arial"/>
                  <w:sz w:val="24"/>
                  <w:szCs w:val="24"/>
                  <w:lang w:val="en-US"/>
                </w:rPr>
                <m:t>i</m:t>
              </m:r>
              <m:ctrlPr>
                <w:rPr>
                  <w:rFonts w:ascii="Cambria Math" w:hAnsi="Cambria Math" w:cs="Arial"/>
                  <w:sz w:val="24"/>
                  <w:szCs w:val="24"/>
                  <w:lang w:val="en-US"/>
                </w:rPr>
              </m:ctrlPr>
            </m:e>
            <m:sub>
              <m:r>
                <w:rPr>
                  <w:rFonts w:ascii="Cambria Math" w:hAnsi="Cambria Math" w:cs="Arial"/>
                  <w:sz w:val="24"/>
                  <w:szCs w:val="24"/>
                  <w:lang w:val="en-US"/>
                </w:rPr>
                <m:t>t</m:t>
              </m:r>
            </m:sub>
          </m:sSub>
          <m:r>
            <w:rPr>
              <w:rFonts w:ascii="Cambria Math" w:hAnsi="Cambria Math" w:cs="Arial"/>
              <w:sz w:val="24"/>
              <w:szCs w:val="24"/>
              <w:lang w:val="en-US"/>
            </w:rPr>
            <m:t> = </m:t>
          </m:r>
          <m:sSub>
            <m:sSubPr>
              <m:ctrlPr>
                <w:rPr>
                  <w:rFonts w:ascii="Cambria Math" w:hAnsi="Cambria Math" w:cs="Arial"/>
                  <w:i/>
                  <w:sz w:val="24"/>
                  <w:szCs w:val="24"/>
                  <w:lang w:val="en-US"/>
                </w:rPr>
              </m:ctrlPr>
            </m:sSubPr>
            <m:e>
              <m:r>
                <w:rPr>
                  <w:rFonts w:ascii="Cambria Math" w:hAnsi="Cambria Math" w:cs="Arial"/>
                  <w:sz w:val="24"/>
                  <w:szCs w:val="24"/>
                  <w:lang w:val="en-US"/>
                </w:rPr>
                <m:t>ρ</m:t>
              </m:r>
            </m:e>
            <m:sub>
              <m:r>
                <w:rPr>
                  <w:rFonts w:ascii="Cambria Math" w:hAnsi="Cambria Math" w:cs="Arial"/>
                  <w:sz w:val="24"/>
                  <w:szCs w:val="24"/>
                  <w:lang w:val="en-US"/>
                </w:rPr>
                <m:t>i</m:t>
              </m:r>
            </m:sub>
          </m:sSub>
          <m:r>
            <w:rPr>
              <w:rFonts w:ascii="Cambria Math" w:hAnsi="Cambria Math" w:cs="Arial"/>
              <w:sz w:val="24"/>
              <w:szCs w:val="24"/>
              <w:lang w:val="en-US"/>
            </w:rPr>
            <m:t> </m:t>
          </m:r>
          <m:sSub>
            <m:sSubPr>
              <m:ctrlPr>
                <w:rPr>
                  <w:rFonts w:ascii="Cambria Math" w:hAnsi="Cambria Math" w:cs="Arial"/>
                  <w:i/>
                  <w:sz w:val="24"/>
                  <w:szCs w:val="24"/>
                  <w:lang w:val="en-US"/>
                </w:rPr>
              </m:ctrlPr>
            </m:sSubPr>
            <m:e>
              <m:r>
                <w:rPr>
                  <w:rFonts w:ascii="Cambria Math" w:hAnsi="Cambria Math" w:cs="Arial"/>
                  <w:sz w:val="24"/>
                  <w:szCs w:val="24"/>
                  <w:lang w:val="en-US"/>
                </w:rPr>
                <m:t>i</m:t>
              </m:r>
            </m:e>
            <m:sub>
              <m:r>
                <w:rPr>
                  <w:rFonts w:ascii="Cambria Math" w:hAnsi="Cambria Math" w:cs="Arial"/>
                  <w:sz w:val="24"/>
                  <w:szCs w:val="24"/>
                  <w:lang w:val="en-US"/>
                </w:rPr>
                <m:t>t-1</m:t>
              </m:r>
            </m:sub>
          </m:sSub>
          <m:r>
            <w:rPr>
              <w:rFonts w:ascii="Cambria Math" w:hAnsi="Cambria Math" w:cs="Arial"/>
              <w:sz w:val="24"/>
              <w:szCs w:val="24"/>
              <w:lang w:val="en-US"/>
            </w:rPr>
            <m:t> + </m:t>
          </m:r>
          <m:d>
            <m:dPr>
              <m:ctrlPr>
                <w:rPr>
                  <w:rFonts w:ascii="Cambria Math" w:hAnsi="Cambria Math" w:cs="Arial"/>
                  <w:i/>
                  <w:sz w:val="24"/>
                  <w:szCs w:val="24"/>
                  <w:lang w:val="en-US"/>
                </w:rPr>
              </m:ctrlPr>
            </m:dPr>
            <m:e>
              <m:r>
                <w:rPr>
                  <w:rFonts w:ascii="Cambria Math" w:hAnsi="Cambria Math" w:cs="Arial"/>
                  <w:sz w:val="24"/>
                  <w:szCs w:val="24"/>
                  <w:lang w:val="en-US"/>
                </w:rPr>
                <m:t>1-</m:t>
              </m:r>
              <m:sSub>
                <m:sSubPr>
                  <m:ctrlPr>
                    <w:rPr>
                      <w:rFonts w:ascii="Cambria Math" w:hAnsi="Cambria Math" w:cs="Arial"/>
                      <w:i/>
                      <w:sz w:val="24"/>
                      <w:szCs w:val="24"/>
                      <w:lang w:val="en-US"/>
                    </w:rPr>
                  </m:ctrlPr>
                </m:sSubPr>
                <m:e>
                  <m:r>
                    <w:rPr>
                      <w:rFonts w:ascii="Cambria Math" w:hAnsi="Cambria Math" w:cs="Arial"/>
                      <w:sz w:val="24"/>
                      <w:szCs w:val="24"/>
                      <w:lang w:val="en-US"/>
                    </w:rPr>
                    <m:t>ρ</m:t>
                  </m:r>
                </m:e>
                <m:sub>
                  <m:r>
                    <w:rPr>
                      <w:rFonts w:ascii="Cambria Math" w:hAnsi="Cambria Math" w:cs="Arial"/>
                      <w:sz w:val="24"/>
                      <w:szCs w:val="24"/>
                      <w:lang w:val="en-US"/>
                    </w:rPr>
                    <m:t>i</m:t>
                  </m:r>
                </m:sub>
              </m:sSub>
            </m:e>
          </m:d>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ϕ</m:t>
                  </m:r>
                </m:e>
                <m:sub>
                  <m:r>
                    <w:rPr>
                      <w:rFonts w:ascii="Cambria Math" w:hAnsi="Cambria Math" w:cs="Arial"/>
                      <w:sz w:val="24"/>
                      <w:szCs w:val="24"/>
                      <w:lang w:val="en-US"/>
                    </w:rPr>
                    <m:t>π</m:t>
                  </m:r>
                </m:sub>
              </m:sSub>
              <m:r>
                <w:rPr>
                  <w:rFonts w:ascii="Cambria Math" w:hAnsi="Cambria Math" w:cs="Arial"/>
                  <w:sz w:val="24"/>
                  <w:szCs w:val="24"/>
                  <w:lang w:val="en-US"/>
                </w:rPr>
                <m:t> </m:t>
              </m:r>
              <m:sSub>
                <m:sSubPr>
                  <m:ctrlPr>
                    <w:rPr>
                      <w:rFonts w:ascii="Cambria Math" w:hAnsi="Cambria Math" w:cs="Arial"/>
                      <w:i/>
                      <w:sz w:val="24"/>
                      <w:szCs w:val="24"/>
                      <w:lang w:val="en-US"/>
                    </w:rPr>
                  </m:ctrlPr>
                </m:sSubPr>
                <m:e>
                  <m:r>
                    <w:rPr>
                      <w:rFonts w:ascii="Cambria Math" w:hAnsi="Cambria Math" w:cs="Arial"/>
                      <w:sz w:val="24"/>
                      <w:szCs w:val="24"/>
                      <w:lang w:val="en-US"/>
                    </w:rPr>
                    <m:t>π</m:t>
                  </m:r>
                </m:e>
                <m:sub>
                  <m:r>
                    <w:rPr>
                      <w:rFonts w:ascii="Cambria Math" w:hAnsi="Cambria Math" w:cs="Arial"/>
                      <w:sz w:val="24"/>
                      <w:szCs w:val="24"/>
                      <w:lang w:val="en-US"/>
                    </w:rPr>
                    <m:t>t</m:t>
                  </m:r>
                </m:sub>
              </m:sSub>
              <m:r>
                <w:rPr>
                  <w:rFonts w:ascii="Cambria Math" w:hAnsi="Cambria Math" w:cs="Arial"/>
                  <w:sz w:val="24"/>
                  <w:szCs w:val="24"/>
                  <w:lang w:val="en-US"/>
                </w:rPr>
                <m:t> + </m:t>
              </m:r>
              <m:sSub>
                <m:sSubPr>
                  <m:ctrlPr>
                    <w:rPr>
                      <w:rFonts w:ascii="Cambria Math" w:hAnsi="Cambria Math" w:cs="Arial"/>
                      <w:i/>
                      <w:sz w:val="24"/>
                      <w:szCs w:val="24"/>
                      <w:lang w:val="en-US"/>
                    </w:rPr>
                  </m:ctrlPr>
                </m:sSubPr>
                <m:e>
                  <m:r>
                    <w:rPr>
                      <w:rFonts w:ascii="Cambria Math" w:hAnsi="Cambria Math" w:cs="Arial"/>
                      <w:sz w:val="24"/>
                      <w:szCs w:val="24"/>
                      <w:lang w:val="en-US"/>
                    </w:rPr>
                    <m:t>ϕ</m:t>
                  </m:r>
                </m:e>
                <m:sub>
                  <m:r>
                    <w:rPr>
                      <w:rFonts w:ascii="Cambria Math" w:hAnsi="Cambria Math" w:cs="Arial"/>
                      <w:sz w:val="24"/>
                      <w:szCs w:val="24"/>
                      <w:lang w:val="en-US"/>
                    </w:rPr>
                    <m:t>x</m:t>
                  </m:r>
                </m:sub>
              </m:sSub>
              <m:r>
                <w:rPr>
                  <w:rFonts w:ascii="Cambria Math" w:hAnsi="Cambria Math" w:cs="Arial"/>
                  <w:sz w:val="24"/>
                  <w:szCs w:val="24"/>
                  <w:lang w:val="en-US"/>
                </w:rPr>
                <m:t> </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t</m:t>
                  </m:r>
                </m:sub>
              </m:sSub>
            </m:e>
          </m:d>
          <m:r>
            <w:rPr>
              <w:rFonts w:ascii="Cambria Math" w:hAnsi="Cambria Math" w:cs="Arial"/>
              <w:sz w:val="24"/>
              <w:szCs w:val="24"/>
              <w:lang w:val="en-US"/>
            </w:rPr>
            <m:t> + </m:t>
          </m:r>
          <m:sSubSup>
            <m:sSubSupPr>
              <m:ctrlPr>
                <w:rPr>
                  <w:rFonts w:ascii="Cambria Math" w:hAnsi="Cambria Math" w:cs="Arial"/>
                  <w:i/>
                  <w:sz w:val="24"/>
                  <w:szCs w:val="24"/>
                  <w:lang w:val="en-US"/>
                </w:rPr>
              </m:ctrlPr>
            </m:sSubSupPr>
            <m:e>
              <m:r>
                <w:rPr>
                  <w:rFonts w:ascii="Cambria Math" w:hAnsi="Cambria Math" w:cs="Arial"/>
                  <w:sz w:val="24"/>
                  <w:szCs w:val="24"/>
                  <w:lang w:val="en-US"/>
                </w:rPr>
                <m:t>ε</m:t>
              </m:r>
            </m:e>
            <m:sub>
              <m:r>
                <w:rPr>
                  <w:rFonts w:ascii="Cambria Math" w:hAnsi="Cambria Math" w:cs="Arial"/>
                  <w:sz w:val="24"/>
                  <w:szCs w:val="24"/>
                  <w:lang w:val="en-US"/>
                </w:rPr>
                <m:t>t</m:t>
              </m:r>
            </m:sub>
            <m:sup>
              <m:r>
                <w:rPr>
                  <w:rFonts w:ascii="Cambria Math" w:hAnsi="Cambria Math" w:cs="Arial"/>
                  <w:sz w:val="24"/>
                  <w:szCs w:val="24"/>
                  <w:lang w:val="en-US"/>
                </w:rPr>
                <m:t>i</m:t>
              </m:r>
            </m:sup>
          </m:sSubSup>
          <m:r>
            <w:rPr>
              <w:rFonts w:ascii="Cambria Math" w:eastAsiaTheme="minorEastAsia" w:hAnsi="Cambria Math" w:cs="Arial"/>
              <w:sz w:val="24"/>
              <w:szCs w:val="24"/>
              <w:lang w:val="en-US"/>
            </w:rPr>
            <m:t xml:space="preserve">             (3)</m:t>
          </m:r>
        </m:oMath>
      </m:oMathPara>
    </w:p>
    <w:p w14:paraId="28CD6E4F" w14:textId="088084A2" w:rsidR="00784AE9" w:rsidRPr="00495AEE" w:rsidRDefault="00784AE9" w:rsidP="00E27CA1">
      <w:pPr>
        <w:spacing w:before="120" w:after="120" w:line="360" w:lineRule="auto"/>
        <w:jc w:val="both"/>
        <w:rPr>
          <w:rFonts w:cs="Arial"/>
          <w:sz w:val="24"/>
          <w:szCs w:val="24"/>
          <w:lang w:val="en-US"/>
        </w:rPr>
      </w:pPr>
      <w:r w:rsidRPr="00495AEE">
        <w:rPr>
          <w:rFonts w:cs="Arial"/>
          <w:sz w:val="24"/>
          <w:szCs w:val="24"/>
          <w:lang w:val="en-US"/>
        </w:rPr>
        <w:t xml:space="preserve">where </w:t>
      </w:r>
      <m:oMath>
        <m:sSub>
          <m:sSubPr>
            <m:ctrlPr>
              <w:rPr>
                <w:rFonts w:ascii="Cambria Math" w:hAnsi="Cambria Math" w:cs="Arial"/>
                <w:i/>
                <w:sz w:val="24"/>
                <w:szCs w:val="24"/>
                <w:lang w:val="en-US"/>
              </w:rPr>
            </m:ctrlPr>
          </m:sSubPr>
          <m:e>
            <m:r>
              <w:rPr>
                <w:rFonts w:ascii="Cambria Math" w:hAnsi="Cambria Math" w:cs="Arial"/>
                <w:sz w:val="24"/>
                <w:szCs w:val="24"/>
                <w:lang w:val="en-US"/>
              </w:rPr>
              <m:t>ϕ</m:t>
            </m:r>
          </m:e>
          <m:sub>
            <m:r>
              <w:rPr>
                <w:rFonts w:ascii="Cambria Math" w:hAnsi="Cambria Math" w:cs="Arial"/>
                <w:sz w:val="24"/>
                <w:szCs w:val="24"/>
                <w:lang w:val="en-US"/>
              </w:rPr>
              <m:t>π</m:t>
            </m:r>
          </m:sub>
        </m:sSub>
        <m:r>
          <w:rPr>
            <w:rFonts w:ascii="Cambria Math" w:hAnsi="Cambria Math" w:cs="Arial"/>
            <w:sz w:val="24"/>
            <w:szCs w:val="24"/>
            <w:lang w:val="en-US"/>
          </w:rPr>
          <m:t>&gt;1</m:t>
        </m:r>
      </m:oMath>
      <w:r w:rsidRPr="00495AEE">
        <w:rPr>
          <w:rFonts w:cs="Arial"/>
          <w:sz w:val="24"/>
          <w:szCs w:val="24"/>
          <w:lang w:val="en-US"/>
        </w:rPr>
        <w:t xml:space="preserve"> ensures inflation determinacy via the Taylor principle (</w:t>
      </w:r>
      <w:r w:rsidRPr="00495AEE">
        <w:rPr>
          <w:rFonts w:cs="Arial"/>
          <w:i/>
          <w:iCs/>
          <w:color w:val="0000CC"/>
          <w:sz w:val="24"/>
          <w:szCs w:val="24"/>
          <w:lang w:val="en-US"/>
        </w:rPr>
        <w:t>Clarida et al., 1999</w:t>
      </w:r>
      <w:r w:rsidRPr="00495AEE">
        <w:rPr>
          <w:rFonts w:cs="Arial"/>
          <w:sz w:val="24"/>
          <w:szCs w:val="24"/>
          <w:lang w:val="en-US"/>
        </w:rPr>
        <w:t>),</w:t>
      </w:r>
      <w:r w:rsidR="005F2877" w:rsidRPr="00495AEE">
        <w:rPr>
          <w:rFonts w:cs="Arial"/>
          <w:sz w:val="24"/>
          <w:szCs w:val="24"/>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ϕ</m:t>
            </m:r>
          </m:e>
          <m:sub>
            <m:r>
              <w:rPr>
                <w:rFonts w:ascii="Cambria Math" w:hAnsi="Cambria Math" w:cs="Arial"/>
                <w:sz w:val="24"/>
                <w:szCs w:val="24"/>
                <w:lang w:val="en-US"/>
              </w:rPr>
              <m:t>x</m:t>
            </m:r>
          </m:sub>
        </m:sSub>
        <m:r>
          <w:rPr>
            <w:rFonts w:ascii="Cambria Math" w:hAnsi="Cambria Math" w:cs="Arial"/>
            <w:sz w:val="24"/>
            <w:szCs w:val="24"/>
            <w:lang w:val="en-US"/>
          </w:rPr>
          <m:t>≥0</m:t>
        </m:r>
      </m:oMath>
      <w:r w:rsidRPr="00495AEE">
        <w:rPr>
          <w:rFonts w:cs="Arial"/>
          <w:sz w:val="24"/>
          <w:szCs w:val="24"/>
          <w:lang w:val="en-US"/>
        </w:rPr>
        <w:t xml:space="preserve"> captures output-gap responsiveness, and </w:t>
      </w:r>
      <m:oMath>
        <m:sSub>
          <m:sSubPr>
            <m:ctrlPr>
              <w:rPr>
                <w:rFonts w:ascii="Cambria Math" w:hAnsi="Cambria Math" w:cs="Arial"/>
                <w:i/>
                <w:sz w:val="24"/>
                <w:szCs w:val="24"/>
                <w:lang w:val="en-US"/>
              </w:rPr>
            </m:ctrlPr>
          </m:sSubPr>
          <m:e>
            <m:r>
              <w:rPr>
                <w:rFonts w:ascii="Cambria Math" w:hAnsi="Cambria Math" w:cs="Arial"/>
                <w:sz w:val="24"/>
                <w:szCs w:val="24"/>
                <w:lang w:val="en-US"/>
              </w:rPr>
              <m:t>ρ</m:t>
            </m:r>
          </m:e>
          <m:sub>
            <m:r>
              <w:rPr>
                <w:rFonts w:ascii="Cambria Math" w:hAnsi="Cambria Math" w:cs="Arial"/>
                <w:sz w:val="24"/>
                <w:szCs w:val="24"/>
                <w:lang w:val="en-US"/>
              </w:rPr>
              <m:t>i</m:t>
            </m:r>
          </m:sub>
        </m:sSub>
        <m:r>
          <w:rPr>
            <w:rFonts w:ascii="Cambria Math" w:hAnsi="Cambria Math" w:cs="Arial"/>
            <w:sz w:val="24"/>
            <w:szCs w:val="24"/>
            <w:lang w:val="en-US"/>
          </w:rPr>
          <m:t>∈</m:t>
        </m:r>
        <m:d>
          <m:dPr>
            <m:begChr m:val="["/>
            <m:endChr m:val="]"/>
            <m:ctrlPr>
              <w:rPr>
                <w:rFonts w:ascii="Cambria Math" w:hAnsi="Cambria Math" w:cs="Arial"/>
                <w:i/>
                <w:sz w:val="24"/>
                <w:szCs w:val="24"/>
                <w:lang w:val="en-US"/>
              </w:rPr>
            </m:ctrlPr>
          </m:dPr>
          <m:e>
            <m:r>
              <w:rPr>
                <w:rFonts w:ascii="Cambria Math" w:hAnsi="Cambria Math" w:cs="Arial"/>
                <w:sz w:val="24"/>
                <w:szCs w:val="24"/>
                <w:lang w:val="en-US"/>
              </w:rPr>
              <m:t>0,1</m:t>
            </m:r>
          </m:e>
        </m:d>
      </m:oMath>
      <w:r w:rsidRPr="00495AEE">
        <w:rPr>
          <w:rFonts w:cs="Arial"/>
          <w:sz w:val="24"/>
          <w:szCs w:val="24"/>
          <w:lang w:val="en-US"/>
        </w:rPr>
        <w:t xml:space="preserve"> reflects policy inertia.</w:t>
      </w:r>
    </w:p>
    <w:p w14:paraId="6C0D8D83" w14:textId="77777777" w:rsidR="00784AE9" w:rsidRPr="00495AEE" w:rsidRDefault="00784AE9" w:rsidP="00E27CA1">
      <w:pPr>
        <w:spacing w:before="120" w:after="120" w:line="360" w:lineRule="auto"/>
        <w:jc w:val="both"/>
        <w:rPr>
          <w:rFonts w:cs="Arial"/>
          <w:sz w:val="24"/>
          <w:szCs w:val="24"/>
          <w:lang w:val="en-US"/>
        </w:rPr>
      </w:pPr>
      <w:r w:rsidRPr="00495AEE">
        <w:rPr>
          <w:rFonts w:cs="Arial"/>
          <w:sz w:val="24"/>
          <w:szCs w:val="24"/>
          <w:lang w:val="en-US"/>
        </w:rPr>
        <w:t xml:space="preserve">Although the Central Bank of Bolivia (BCB) does not target interest rates as its main policy tool, the inclusion of a Taylor rule provides normative insights into how monetary policy could respond in the current environment. The emergence of a parallel digital exchange market </w:t>
      </w:r>
      <w:r w:rsidRPr="00495AEE">
        <w:rPr>
          <w:rFonts w:cs="Arial"/>
          <w:sz w:val="24"/>
          <w:szCs w:val="24"/>
          <w:lang w:val="en-US"/>
        </w:rPr>
        <w:lastRenderedPageBreak/>
        <w:t>(BOB/USDT), driven by rising USDT usage and shifts in economic uncertainty sentiment, affects inflation dynamics via exchange rate pass-through.</w:t>
      </w:r>
    </w:p>
    <w:p w14:paraId="2D47F9C3" w14:textId="00478F73" w:rsidR="00784AE9" w:rsidRPr="00495AEE" w:rsidRDefault="00784AE9" w:rsidP="00E27CA1">
      <w:pPr>
        <w:spacing w:before="120" w:after="120" w:line="360" w:lineRule="auto"/>
        <w:jc w:val="both"/>
        <w:rPr>
          <w:rFonts w:cs="Arial"/>
          <w:sz w:val="24"/>
          <w:szCs w:val="24"/>
          <w:lang w:val="en-US"/>
        </w:rPr>
      </w:pPr>
      <w:r w:rsidRPr="00495AEE">
        <w:rPr>
          <w:rFonts w:cs="Arial"/>
          <w:sz w:val="24"/>
          <w:szCs w:val="24"/>
          <w:lang w:val="en-US"/>
        </w:rPr>
        <w:t>This specification allows us to explore how an interest rate reaction function, even if theoretical, could mitigate inflationary pressures and output fluctuations stemming from cryptocurrency-based exchange rate movements. It highlights the potential role of mone- tary policy in stabilizing inflation and output when faced with sentiment-driven currency pressures outside formal central bank mechanisms—this assumption is empirically con- firmed in section 5.</w:t>
      </w:r>
    </w:p>
    <w:p w14:paraId="3887A586" w14:textId="36031CBB" w:rsidR="005F2877" w:rsidRPr="00495AEE" w:rsidRDefault="005F2877" w:rsidP="00E27CA1">
      <w:pPr>
        <w:spacing w:before="120" w:after="120" w:line="360" w:lineRule="auto"/>
        <w:jc w:val="both"/>
        <w:rPr>
          <w:rFonts w:cs="Arial"/>
          <w:sz w:val="24"/>
          <w:szCs w:val="24"/>
          <w:lang w:val="en-US"/>
        </w:rPr>
      </w:pPr>
      <w:r w:rsidRPr="00495AEE">
        <w:rPr>
          <w:rFonts w:cs="Arial"/>
          <w:b/>
          <w:bCs/>
          <w:sz w:val="24"/>
          <w:szCs w:val="24"/>
          <w:lang w:val="en-US"/>
        </w:rPr>
        <w:t>Parallel Exchange Rate Dynamics and Risk Premium:</w:t>
      </w:r>
      <w:r w:rsidRPr="00495AEE">
        <w:rPr>
          <w:rFonts w:cs="Arial"/>
          <w:sz w:val="24"/>
          <w:szCs w:val="24"/>
          <w:lang w:val="en-US"/>
        </w:rPr>
        <w:t xml:space="preserve"> The parallel (digital) USDT/BOB exchange rate, a key element in Bolivia’s evolving financial landscape, is modeled as:</w:t>
      </w:r>
    </w:p>
    <w:p w14:paraId="2EDBBC1F" w14:textId="44EF6042" w:rsidR="005F2877" w:rsidRPr="00495AEE" w:rsidRDefault="00000000" w:rsidP="00E27CA1">
      <w:pPr>
        <w:spacing w:before="120" w:after="120" w:line="360" w:lineRule="auto"/>
        <w:jc w:val="both"/>
        <w:rPr>
          <w:rFonts w:cs="Arial"/>
          <w:sz w:val="24"/>
          <w:szCs w:val="24"/>
          <w:lang w:val="en-US"/>
        </w:rPr>
      </w:pPr>
      <m:oMathPara>
        <m:oMath>
          <m:sSub>
            <m:sSubPr>
              <m:ctrlPr>
                <w:rPr>
                  <w:rFonts w:ascii="Cambria Math" w:hAnsi="Cambria Math" w:cs="Arial"/>
                  <w:i/>
                  <w:sz w:val="24"/>
                  <w:szCs w:val="24"/>
                  <w:lang w:val="en-US"/>
                </w:rPr>
              </m:ctrlPr>
            </m:sSubPr>
            <m:e>
              <m:r>
                <w:rPr>
                  <w:rFonts w:ascii="Cambria Math" w:hAnsi="Cambria Math" w:cs="Arial"/>
                  <w:sz w:val="24"/>
                  <w:szCs w:val="24"/>
                  <w:lang w:val="en-US"/>
                </w:rPr>
                <m:t>e</m:t>
              </m:r>
            </m:e>
            <m:sub>
              <m:r>
                <w:rPr>
                  <w:rFonts w:ascii="Cambria Math" w:hAnsi="Cambria Math" w:cs="Arial"/>
                  <w:sz w:val="24"/>
                  <w:szCs w:val="24"/>
                  <w:lang w:val="en-US"/>
                </w:rPr>
                <m:t>t</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e</m:t>
              </m:r>
            </m:e>
            <m:sub>
              <m:r>
                <w:rPr>
                  <w:rFonts w:ascii="Cambria Math" w:hAnsi="Cambria Math" w:cs="Arial"/>
                  <w:sz w:val="24"/>
                  <w:szCs w:val="24"/>
                  <w:lang w:val="en-US"/>
                </w:rPr>
                <m:t>t-1</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γ</m:t>
              </m:r>
            </m:e>
            <m:sub>
              <m:r>
                <w:rPr>
                  <w:rFonts w:ascii="Cambria Math" w:hAnsi="Cambria Math" w:cs="Arial"/>
                  <w:sz w:val="24"/>
                  <w:szCs w:val="24"/>
                  <w:lang w:val="en-US"/>
                </w:rPr>
                <m:t>s</m:t>
              </m:r>
            </m:sub>
          </m:sSub>
          <m:sSub>
            <m:sSubPr>
              <m:ctrlPr>
                <w:rPr>
                  <w:rFonts w:ascii="Cambria Math" w:hAnsi="Cambria Math" w:cs="Arial"/>
                  <w:i/>
                  <w:sz w:val="24"/>
                  <w:szCs w:val="24"/>
                  <w:lang w:val="en-US"/>
                </w:rPr>
              </m:ctrlPr>
            </m:sSubPr>
            <m:e>
              <m:r>
                <w:rPr>
                  <w:rFonts w:ascii="Cambria Math" w:hAnsi="Cambria Math" w:cs="Arial"/>
                  <w:sz w:val="24"/>
                  <w:szCs w:val="24"/>
                  <w:lang w:val="en-US"/>
                </w:rPr>
                <m:t>s</m:t>
              </m:r>
            </m:e>
            <m:sub>
              <m:r>
                <w:rPr>
                  <w:rFonts w:ascii="Cambria Math" w:hAnsi="Cambria Math" w:cs="Arial"/>
                  <w:sz w:val="24"/>
                  <w:szCs w:val="24"/>
                  <w:lang w:val="en-US"/>
                </w:rPr>
                <m:t>t</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ψ</m:t>
              </m:r>
            </m:e>
            <m:sub>
              <m:r>
                <w:rPr>
                  <w:rFonts w:ascii="Cambria Math" w:hAnsi="Cambria Math" w:cs="Arial"/>
                  <w:sz w:val="24"/>
                  <w:szCs w:val="24"/>
                  <w:lang w:val="en-US"/>
                </w:rPr>
                <m:t>t</m:t>
              </m:r>
            </m:sub>
          </m:sSub>
          <m:r>
            <w:rPr>
              <w:rFonts w:ascii="Cambria Math" w:eastAsiaTheme="minorEastAsia" w:hAnsi="Cambria Math" w:cs="Arial"/>
              <w:sz w:val="24"/>
              <w:szCs w:val="24"/>
              <w:lang w:val="en-US"/>
            </w:rPr>
            <m:t xml:space="preserve">             (4)</m:t>
          </m:r>
        </m:oMath>
      </m:oMathPara>
    </w:p>
    <w:p w14:paraId="1BEDE79D" w14:textId="69E3C3BD" w:rsidR="005F2877" w:rsidRPr="00495AEE" w:rsidRDefault="005F2877" w:rsidP="00E27CA1">
      <w:pPr>
        <w:spacing w:before="120" w:after="120" w:line="360" w:lineRule="auto"/>
        <w:jc w:val="both"/>
        <w:rPr>
          <w:rFonts w:cs="Arial"/>
          <w:sz w:val="24"/>
          <w:szCs w:val="24"/>
          <w:lang w:val="en-US"/>
        </w:rPr>
      </w:pPr>
      <w:r w:rsidRPr="00495AEE">
        <w:rPr>
          <w:rFonts w:cs="Arial"/>
          <w:sz w:val="24"/>
          <w:szCs w:val="24"/>
          <w:lang w:val="en-US"/>
        </w:rPr>
        <w:t xml:space="preserve">where </w:t>
      </w:r>
      <m:oMath>
        <m:sSub>
          <m:sSubPr>
            <m:ctrlPr>
              <w:rPr>
                <w:rFonts w:ascii="Cambria Math" w:hAnsi="Cambria Math" w:cs="Arial"/>
                <w:i/>
                <w:sz w:val="24"/>
                <w:szCs w:val="24"/>
                <w:lang w:val="en-US"/>
              </w:rPr>
            </m:ctrlPr>
          </m:sSubPr>
          <m:e>
            <m:r>
              <w:rPr>
                <w:rFonts w:ascii="Cambria Math" w:hAnsi="Cambria Math" w:cs="Arial"/>
                <w:sz w:val="24"/>
                <w:szCs w:val="24"/>
                <w:lang w:val="en-US"/>
              </w:rPr>
              <m:t>e</m:t>
            </m:r>
          </m:e>
          <m:sub>
            <m:r>
              <w:rPr>
                <w:rFonts w:ascii="Cambria Math" w:hAnsi="Cambria Math" w:cs="Arial"/>
                <w:sz w:val="24"/>
                <w:szCs w:val="24"/>
                <w:lang w:val="en-US"/>
              </w:rPr>
              <m:t>t</m:t>
            </m:r>
          </m:sub>
        </m:sSub>
      </m:oMath>
      <w:r w:rsidRPr="00495AEE">
        <w:rPr>
          <w:rFonts w:cs="Arial"/>
          <w:sz w:val="24"/>
          <w:szCs w:val="24"/>
          <w:lang w:val="en-US"/>
        </w:rPr>
        <w:t xml:space="preserve"> denotes the BOB/USDT exchange rate, </w:t>
      </w:r>
      <m:oMath>
        <m:sSub>
          <m:sSubPr>
            <m:ctrlPr>
              <w:rPr>
                <w:rFonts w:ascii="Cambria Math" w:hAnsi="Cambria Math" w:cs="Arial"/>
                <w:i/>
                <w:sz w:val="24"/>
                <w:szCs w:val="24"/>
                <w:lang w:val="en-US"/>
              </w:rPr>
            </m:ctrlPr>
          </m:sSubPr>
          <m:e>
            <m:r>
              <w:rPr>
                <w:rFonts w:ascii="Cambria Math" w:hAnsi="Cambria Math" w:cs="Arial"/>
                <w:sz w:val="24"/>
                <w:szCs w:val="24"/>
                <w:lang w:val="en-US"/>
              </w:rPr>
              <m:t>γ</m:t>
            </m:r>
            <m:ctrlPr>
              <w:rPr>
                <w:rFonts w:ascii="Cambria Math" w:hAnsi="Cambria Math" w:cs="Arial"/>
                <w:sz w:val="24"/>
                <w:szCs w:val="24"/>
                <w:lang w:val="en-US"/>
              </w:rPr>
            </m:ctrlPr>
          </m:e>
          <m:sub>
            <m:r>
              <w:rPr>
                <w:rFonts w:ascii="Cambria Math" w:hAnsi="Cambria Math" w:cs="Arial"/>
                <w:sz w:val="24"/>
                <w:szCs w:val="24"/>
                <w:lang w:val="en-US"/>
              </w:rPr>
              <m:t>s</m:t>
            </m:r>
          </m:sub>
        </m:sSub>
        <m:r>
          <w:rPr>
            <w:rFonts w:ascii="Cambria Math" w:hAnsi="Cambria Math" w:cs="Arial"/>
            <w:sz w:val="24"/>
            <w:szCs w:val="24"/>
            <w:lang w:val="en-US"/>
          </w:rPr>
          <m:t>&gt;0</m:t>
        </m:r>
      </m:oMath>
      <w:r w:rsidRPr="00495AEE">
        <w:rPr>
          <w:rFonts w:cs="Arial"/>
          <w:sz w:val="24"/>
          <w:szCs w:val="24"/>
          <w:lang w:val="en-US"/>
        </w:rPr>
        <w:t xml:space="preserve"> captures sensitivity to economic uncertainty sentiment </w:t>
      </w:r>
      <m:oMath>
        <m:sSub>
          <m:sSubPr>
            <m:ctrlPr>
              <w:rPr>
                <w:rFonts w:ascii="Cambria Math" w:hAnsi="Cambria Math" w:cs="Arial"/>
                <w:i/>
                <w:sz w:val="24"/>
                <w:szCs w:val="24"/>
                <w:lang w:val="en-US"/>
              </w:rPr>
            </m:ctrlPr>
          </m:sSubPr>
          <m:e>
            <m:r>
              <w:rPr>
                <w:rFonts w:ascii="Cambria Math" w:hAnsi="Cambria Math" w:cs="Arial"/>
                <w:sz w:val="24"/>
                <w:szCs w:val="24"/>
                <w:lang w:val="en-US"/>
              </w:rPr>
              <m:t>s</m:t>
            </m:r>
          </m:e>
          <m:sub>
            <m:r>
              <w:rPr>
                <w:rFonts w:ascii="Cambria Math" w:hAnsi="Cambria Math" w:cs="Arial"/>
                <w:sz w:val="24"/>
                <w:szCs w:val="24"/>
                <w:lang w:val="en-US"/>
              </w:rPr>
              <m:t>t</m:t>
            </m:r>
          </m:sub>
        </m:sSub>
      </m:oMath>
      <w:r w:rsidRPr="00495AEE">
        <w:rPr>
          <w:rFonts w:cs="Arial"/>
          <w:sz w:val="24"/>
          <w:szCs w:val="24"/>
          <w:lang w:val="en-US"/>
        </w:rPr>
        <w:t xml:space="preserve">, and </w:t>
      </w:r>
      <m:oMath>
        <m:sSub>
          <m:sSubPr>
            <m:ctrlPr>
              <w:rPr>
                <w:rFonts w:ascii="Cambria Math" w:hAnsi="Cambria Math" w:cs="Arial"/>
                <w:i/>
                <w:sz w:val="24"/>
                <w:szCs w:val="24"/>
                <w:lang w:val="en-US"/>
              </w:rPr>
            </m:ctrlPr>
          </m:sSubPr>
          <m:e>
            <m:r>
              <w:rPr>
                <w:rFonts w:ascii="Cambria Math" w:hAnsi="Cambria Math" w:cs="Arial"/>
                <w:sz w:val="24"/>
                <w:szCs w:val="24"/>
                <w:lang w:val="en-US"/>
              </w:rPr>
              <m:t>ψ</m:t>
            </m:r>
            <m:ctrlPr>
              <w:rPr>
                <w:rFonts w:ascii="Cambria Math" w:hAnsi="Cambria Math" w:cs="Arial"/>
                <w:sz w:val="24"/>
                <w:szCs w:val="24"/>
                <w:lang w:val="en-US"/>
              </w:rPr>
            </m:ctrlPr>
          </m:e>
          <m:sub>
            <m:r>
              <w:rPr>
                <w:rFonts w:ascii="Cambria Math" w:hAnsi="Cambria Math" w:cs="Arial"/>
                <w:sz w:val="24"/>
                <w:szCs w:val="24"/>
                <w:lang w:val="en-US"/>
              </w:rPr>
              <m:t>t</m:t>
            </m:r>
          </m:sub>
        </m:sSub>
      </m:oMath>
      <w:r w:rsidRPr="00495AEE">
        <w:rPr>
          <w:rFonts w:cs="Arial"/>
          <w:sz w:val="24"/>
          <w:szCs w:val="24"/>
          <w:lang w:val="en-US"/>
        </w:rPr>
        <w:t xml:space="preserve"> represents a stochastic risk premium.</w:t>
      </w:r>
    </w:p>
    <w:p w14:paraId="41B6AA36" w14:textId="64F7F8CB" w:rsidR="005F2877" w:rsidRPr="00495AEE" w:rsidRDefault="005F2877" w:rsidP="00E27CA1">
      <w:pPr>
        <w:spacing w:before="120" w:after="120" w:line="360" w:lineRule="auto"/>
        <w:jc w:val="both"/>
        <w:rPr>
          <w:rFonts w:cs="Arial"/>
          <w:sz w:val="24"/>
          <w:szCs w:val="24"/>
          <w:lang w:val="en-US"/>
        </w:rPr>
      </w:pPr>
      <w:r w:rsidRPr="00495AEE">
        <w:rPr>
          <w:rFonts w:cs="Arial"/>
          <w:sz w:val="24"/>
          <w:szCs w:val="24"/>
          <w:lang w:val="en-US"/>
        </w:rPr>
        <w:t>We adopt a random walk structure (unit root) without a mean-reverting term, justified by two core features: i) Exchange rates—particularly in cryptocurrency markets—display non-stationary behavior and persistent shocks, as established in empirical studies (</w:t>
      </w:r>
      <w:r w:rsidRPr="00495AEE">
        <w:rPr>
          <w:rFonts w:cs="Arial"/>
          <w:color w:val="0000CC"/>
          <w:sz w:val="24"/>
          <w:szCs w:val="24"/>
          <w:lang w:val="en-US"/>
        </w:rPr>
        <w:t>Almeida and Gonc¸alves, 2024</w:t>
      </w:r>
      <w:r w:rsidRPr="00495AEE">
        <w:rPr>
          <w:rFonts w:cs="Arial"/>
          <w:sz w:val="24"/>
          <w:szCs w:val="24"/>
          <w:lang w:val="en-US"/>
        </w:rPr>
        <w:t>). The BOB/USDT rate, driven by decentralized trading and devoid of macroeconomic policy anchors, exhibits similar dynamics; ii) Consistent with bounded rationality and noise trader frameworks (</w:t>
      </w:r>
      <w:r w:rsidRPr="00495AEE">
        <w:rPr>
          <w:rFonts w:cs="Arial"/>
          <w:color w:val="0000CC"/>
          <w:sz w:val="24"/>
          <w:szCs w:val="24"/>
          <w:lang w:val="en-US"/>
        </w:rPr>
        <w:t>Shleifer and Summers, 1990</w:t>
      </w:r>
      <w:r w:rsidRPr="00495AEE">
        <w:rPr>
          <w:rFonts w:cs="Arial"/>
          <w:sz w:val="24"/>
          <w:szCs w:val="24"/>
          <w:lang w:val="en-US"/>
        </w:rPr>
        <w:t>), cryptocurrency- based exchange rates respond predominantly to sentiment shifts and speculative flows, rather than traditional fundamentals, making permanent shock effects plausible.</w:t>
      </w:r>
    </w:p>
    <w:p w14:paraId="5705E5D5" w14:textId="45F3542C" w:rsidR="005F2877" w:rsidRPr="00495AEE" w:rsidRDefault="005F2877" w:rsidP="00E27CA1">
      <w:pPr>
        <w:spacing w:before="120" w:after="120" w:line="360" w:lineRule="auto"/>
        <w:jc w:val="both"/>
        <w:rPr>
          <w:rFonts w:cs="Arial"/>
          <w:sz w:val="24"/>
          <w:szCs w:val="24"/>
          <w:lang w:val="en-US"/>
        </w:rPr>
      </w:pPr>
      <w:r w:rsidRPr="00495AEE">
        <w:rPr>
          <w:rFonts w:cs="Arial"/>
          <w:sz w:val="24"/>
          <w:szCs w:val="24"/>
          <w:lang w:val="en-US"/>
        </w:rPr>
        <w:t>Sentiment-driven uncertainty (</w:t>
      </w:r>
      <m:oMath>
        <m:sSub>
          <m:sSubPr>
            <m:ctrlPr>
              <w:rPr>
                <w:rFonts w:ascii="Cambria Math" w:hAnsi="Cambria Math" w:cs="Arial"/>
                <w:i/>
                <w:sz w:val="24"/>
                <w:szCs w:val="24"/>
                <w:lang w:val="en-US"/>
              </w:rPr>
            </m:ctrlPr>
          </m:sSubPr>
          <m:e>
            <m:r>
              <w:rPr>
                <w:rFonts w:ascii="Cambria Math" w:hAnsi="Cambria Math" w:cs="Arial"/>
                <w:sz w:val="24"/>
                <w:szCs w:val="24"/>
                <w:lang w:val="en-US"/>
              </w:rPr>
              <m:t>γ</m:t>
            </m:r>
            <m:ctrlPr>
              <w:rPr>
                <w:rFonts w:ascii="Cambria Math" w:hAnsi="Cambria Math" w:cs="Arial"/>
                <w:sz w:val="24"/>
                <w:szCs w:val="24"/>
                <w:lang w:val="en-US"/>
              </w:rPr>
            </m:ctrlPr>
          </m:e>
          <m:sub>
            <m:r>
              <w:rPr>
                <w:rFonts w:ascii="Cambria Math" w:hAnsi="Cambria Math" w:cs="Arial"/>
                <w:sz w:val="24"/>
                <w:szCs w:val="24"/>
                <w:lang w:val="en-US"/>
              </w:rPr>
              <m:t>s</m:t>
            </m:r>
          </m:sub>
        </m:sSub>
        <m:sSub>
          <m:sSubPr>
            <m:ctrlPr>
              <w:rPr>
                <w:rFonts w:ascii="Cambria Math" w:hAnsi="Cambria Math" w:cs="Arial"/>
                <w:i/>
                <w:sz w:val="24"/>
                <w:szCs w:val="24"/>
                <w:lang w:val="en-US"/>
              </w:rPr>
            </m:ctrlPr>
          </m:sSubPr>
          <m:e>
            <m:r>
              <w:rPr>
                <w:rFonts w:ascii="Cambria Math" w:hAnsi="Cambria Math" w:cs="Arial"/>
                <w:sz w:val="24"/>
                <w:szCs w:val="24"/>
                <w:lang w:val="en-US"/>
              </w:rPr>
              <m:t>s</m:t>
            </m:r>
          </m:e>
          <m:sub>
            <m:r>
              <w:rPr>
                <w:rFonts w:ascii="Cambria Math" w:hAnsi="Cambria Math" w:cs="Arial"/>
                <w:sz w:val="24"/>
                <w:szCs w:val="24"/>
                <w:lang w:val="en-US"/>
              </w:rPr>
              <m:t>t</m:t>
            </m:r>
          </m:sub>
        </m:sSub>
      </m:oMath>
      <w:r w:rsidRPr="00495AEE">
        <w:rPr>
          <w:rFonts w:cs="Arial"/>
          <w:sz w:val="24"/>
          <w:szCs w:val="24"/>
          <w:lang w:val="en-US"/>
        </w:rPr>
        <w:t>) is crucial for modeling this cryptocurrency-based exchange rate. Unlike conventional regimes, which reflect macroeconomic fundamentals such as interest rate differentials or trade balances, Bolivia's parallel digital exchange market operates with limited institutional anchoring, amplifying its sensitivity to perceptions of economic and financial risk. Elevated uncertainty increases demand for USDT as a safe-haven asset, depreciating the Boliviano (BOB) relative to the stablecoin.</w:t>
      </w:r>
    </w:p>
    <w:p w14:paraId="184EF0AD" w14:textId="0A9C3AD7" w:rsidR="005F2877" w:rsidRPr="00495AEE" w:rsidRDefault="005F2877" w:rsidP="00E27CA1">
      <w:pPr>
        <w:spacing w:before="120" w:after="120" w:line="360" w:lineRule="auto"/>
        <w:jc w:val="both"/>
        <w:rPr>
          <w:rFonts w:cs="Arial"/>
          <w:sz w:val="24"/>
          <w:szCs w:val="24"/>
          <w:lang w:val="en-US"/>
        </w:rPr>
      </w:pPr>
      <w:r w:rsidRPr="00495AEE">
        <w:rPr>
          <w:rFonts w:cs="Arial"/>
          <w:sz w:val="24"/>
          <w:szCs w:val="24"/>
          <w:lang w:val="en-US"/>
        </w:rPr>
        <w:t xml:space="preserve">The stochastic risk premium </w:t>
      </w:r>
      <m:oMath>
        <m:sSub>
          <m:sSubPr>
            <m:ctrlPr>
              <w:rPr>
                <w:rFonts w:ascii="Cambria Math" w:hAnsi="Cambria Math" w:cs="Arial"/>
                <w:i/>
                <w:sz w:val="24"/>
                <w:szCs w:val="24"/>
                <w:lang w:val="en-US"/>
              </w:rPr>
            </m:ctrlPr>
          </m:sSubPr>
          <m:e>
            <m:r>
              <w:rPr>
                <w:rFonts w:ascii="Cambria Math" w:hAnsi="Cambria Math" w:cs="Arial"/>
                <w:sz w:val="24"/>
                <w:szCs w:val="24"/>
                <w:lang w:val="en-US"/>
              </w:rPr>
              <m:t>ψ</m:t>
            </m:r>
            <m:ctrlPr>
              <w:rPr>
                <w:rFonts w:ascii="Cambria Math" w:hAnsi="Cambria Math" w:cs="Arial"/>
                <w:sz w:val="24"/>
                <w:szCs w:val="24"/>
                <w:lang w:val="en-US"/>
              </w:rPr>
            </m:ctrlPr>
          </m:e>
          <m:sub>
            <m:r>
              <w:rPr>
                <w:rFonts w:ascii="Cambria Math" w:hAnsi="Cambria Math" w:cs="Arial"/>
                <w:sz w:val="24"/>
                <w:szCs w:val="24"/>
                <w:lang w:val="en-US"/>
              </w:rPr>
              <m:t>t</m:t>
            </m:r>
          </m:sub>
        </m:sSub>
      </m:oMath>
      <w:r w:rsidRPr="00495AEE">
        <w:rPr>
          <w:rFonts w:cs="Arial"/>
          <w:sz w:val="24"/>
          <w:szCs w:val="24"/>
          <w:lang w:val="en-US"/>
        </w:rPr>
        <w:t xml:space="preserve"> follows an autoregressive process:</w:t>
      </w:r>
    </w:p>
    <w:p w14:paraId="23089AF0" w14:textId="147E7C95" w:rsidR="005F2877" w:rsidRPr="00495AEE" w:rsidRDefault="00000000" w:rsidP="00E27CA1">
      <w:pPr>
        <w:spacing w:before="120" w:after="120" w:line="360" w:lineRule="auto"/>
        <w:jc w:val="both"/>
        <w:rPr>
          <w:rFonts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ψ</m:t>
              </m:r>
              <m:ctrlPr>
                <w:rPr>
                  <w:rFonts w:ascii="Cambria Math" w:hAnsi="Cambria Math" w:cs="Arial"/>
                  <w:sz w:val="24"/>
                  <w:szCs w:val="24"/>
                </w:rPr>
              </m:ctrlPr>
            </m:e>
            <m:sub>
              <m:r>
                <w:rPr>
                  <w:rFonts w:ascii="Cambria Math" w:hAnsi="Cambria Math" w:cs="Arial"/>
                  <w:sz w:val="24"/>
                  <w:szCs w:val="24"/>
                </w:rPr>
                <m:t>t</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ρ</m:t>
              </m:r>
            </m:e>
            <m:sub>
              <m:r>
                <w:rPr>
                  <w:rFonts w:ascii="Cambria Math" w:hAnsi="Cambria Math" w:cs="Arial"/>
                  <w:sz w:val="24"/>
                  <w:szCs w:val="24"/>
                </w:rPr>
                <m:t>ψ</m:t>
              </m:r>
            </m:sub>
          </m:sSub>
          <m:sSub>
            <m:sSubPr>
              <m:ctrlPr>
                <w:rPr>
                  <w:rFonts w:ascii="Cambria Math" w:hAnsi="Cambria Math" w:cs="Arial"/>
                  <w:i/>
                  <w:sz w:val="24"/>
                  <w:szCs w:val="24"/>
                </w:rPr>
              </m:ctrlPr>
            </m:sSubPr>
            <m:e>
              <m:r>
                <w:rPr>
                  <w:rFonts w:ascii="Cambria Math" w:hAnsi="Cambria Math" w:cs="Arial"/>
                  <w:sz w:val="24"/>
                  <w:szCs w:val="24"/>
                </w:rPr>
                <m:t>ψ</m:t>
              </m:r>
              <m:ctrlPr>
                <w:rPr>
                  <w:rFonts w:ascii="Cambria Math" w:hAnsi="Cambria Math" w:cs="Arial"/>
                  <w:sz w:val="24"/>
                  <w:szCs w:val="24"/>
                </w:rPr>
              </m:ctrlPr>
            </m:e>
            <m:sub>
              <m:r>
                <w:rPr>
                  <w:rFonts w:ascii="Cambria Math" w:hAnsi="Cambria Math" w:cs="Arial"/>
                  <w:sz w:val="24"/>
                  <w:szCs w:val="24"/>
                </w:rPr>
                <m:t>t-1</m:t>
              </m:r>
            </m:sub>
          </m:sSub>
          <m:r>
            <w:rPr>
              <w:rFonts w:ascii="Cambria Math" w:hAnsi="Cambria Math" w:cs="Arial"/>
              <w:sz w:val="24"/>
              <w:szCs w:val="24"/>
            </w:rPr>
            <m:t>+</m:t>
          </m:r>
          <m:sSubSup>
            <m:sSubSupPr>
              <m:ctrlPr>
                <w:rPr>
                  <w:rFonts w:ascii="Cambria Math" w:hAnsi="Cambria Math" w:cs="Arial"/>
                  <w:i/>
                  <w:sz w:val="24"/>
                  <w:szCs w:val="24"/>
                </w:rPr>
              </m:ctrlPr>
            </m:sSubSupPr>
            <m:e>
              <m:r>
                <w:rPr>
                  <w:rFonts w:ascii="Cambria Math" w:hAnsi="Cambria Math" w:cs="Arial"/>
                  <w:sz w:val="24"/>
                  <w:szCs w:val="24"/>
                </w:rPr>
                <m:t>ε</m:t>
              </m:r>
            </m:e>
            <m:sub>
              <m:r>
                <w:rPr>
                  <w:rFonts w:ascii="Cambria Math" w:hAnsi="Cambria Math" w:cs="Arial"/>
                  <w:sz w:val="24"/>
                  <w:szCs w:val="24"/>
                </w:rPr>
                <m:t>t</m:t>
              </m:r>
            </m:sub>
            <m:sup>
              <m:r>
                <w:rPr>
                  <w:rFonts w:ascii="Cambria Math" w:hAnsi="Cambria Math" w:cs="Arial"/>
                  <w:sz w:val="24"/>
                  <w:szCs w:val="24"/>
                </w:rPr>
                <m:t>ψ</m:t>
              </m:r>
            </m:sup>
          </m:sSubSup>
          <m:r>
            <w:rPr>
              <w:rFonts w:ascii="Cambria Math" w:hAnsi="Cambria Math" w:cs="Arial"/>
              <w:sz w:val="24"/>
              <w:szCs w:val="24"/>
            </w:rPr>
            <m:t xml:space="preserve"> </m:t>
          </m:r>
          <m:r>
            <w:rPr>
              <w:rFonts w:ascii="Cambria Math" w:eastAsiaTheme="minorEastAsia" w:hAnsi="Cambria Math" w:cs="Arial"/>
              <w:sz w:val="24"/>
              <w:szCs w:val="24"/>
              <w:lang w:val="en-US"/>
            </w:rPr>
            <m:t xml:space="preserve">             (5)</m:t>
          </m:r>
        </m:oMath>
      </m:oMathPara>
    </w:p>
    <w:p w14:paraId="7FC7AFC5" w14:textId="291B53F1" w:rsidR="005F2877" w:rsidRPr="00495AEE" w:rsidRDefault="005F2877" w:rsidP="00E27CA1">
      <w:pPr>
        <w:spacing w:before="120" w:after="120" w:line="360" w:lineRule="auto"/>
        <w:jc w:val="both"/>
        <w:rPr>
          <w:rFonts w:cs="Arial"/>
          <w:sz w:val="24"/>
          <w:szCs w:val="24"/>
          <w:lang w:val="en-US"/>
        </w:rPr>
      </w:pPr>
      <w:r w:rsidRPr="00495AEE">
        <w:rPr>
          <w:rFonts w:cs="Arial"/>
          <w:sz w:val="24"/>
          <w:szCs w:val="24"/>
          <w:lang w:val="en-US"/>
        </w:rPr>
        <w:lastRenderedPageBreak/>
        <w:t xml:space="preserve">where </w:t>
      </w:r>
      <m:oMath>
        <m:sSub>
          <m:sSubPr>
            <m:ctrlPr>
              <w:rPr>
                <w:rFonts w:ascii="Cambria Math" w:hAnsi="Cambria Math" w:cs="Arial"/>
                <w:i/>
                <w:sz w:val="24"/>
                <w:szCs w:val="24"/>
                <w:lang w:val="en-US"/>
              </w:rPr>
            </m:ctrlPr>
          </m:sSubPr>
          <m:e>
            <m:r>
              <w:rPr>
                <w:rFonts w:ascii="Cambria Math" w:hAnsi="Cambria Math" w:cs="Arial"/>
                <w:sz w:val="24"/>
                <w:szCs w:val="24"/>
                <w:lang w:val="en-US"/>
              </w:rPr>
              <m:t>ρ</m:t>
            </m:r>
            <m:ctrlPr>
              <w:rPr>
                <w:rFonts w:ascii="Cambria Math" w:hAnsi="Cambria Math" w:cs="Arial"/>
                <w:sz w:val="24"/>
                <w:szCs w:val="24"/>
                <w:lang w:val="en-US"/>
              </w:rPr>
            </m:ctrlPr>
          </m:e>
          <m:sub>
            <m:r>
              <w:rPr>
                <w:rFonts w:ascii="Cambria Math" w:hAnsi="Cambria Math" w:cs="Arial"/>
                <w:sz w:val="24"/>
                <w:szCs w:val="24"/>
                <w:lang w:val="en-US"/>
              </w:rPr>
              <m:t>ψ</m:t>
            </m:r>
          </m:sub>
        </m:sSub>
        <m:r>
          <m:rPr>
            <m:sty m:val="p"/>
          </m:rPr>
          <w:rPr>
            <w:rFonts w:ascii="Cambria Math" w:hAnsi="Cambria Math" w:cs="Arial"/>
            <w:sz w:val="24"/>
            <w:szCs w:val="24"/>
            <w:lang w:val="en-US"/>
          </w:rPr>
          <m:t>∈</m:t>
        </m:r>
        <m:d>
          <m:dPr>
            <m:ctrlPr>
              <w:rPr>
                <w:rFonts w:ascii="Cambria Math" w:hAnsi="Cambria Math" w:cs="Arial"/>
                <w:i/>
                <w:sz w:val="24"/>
                <w:szCs w:val="24"/>
                <w:lang w:val="en-US"/>
              </w:rPr>
            </m:ctrlPr>
          </m:dPr>
          <m:e>
            <m:r>
              <w:rPr>
                <w:rFonts w:ascii="Cambria Math" w:hAnsi="Cambria Math" w:cs="Arial"/>
                <w:sz w:val="24"/>
                <w:szCs w:val="24"/>
                <w:lang w:val="en-US"/>
              </w:rPr>
              <m:t>0,1</m:t>
            </m:r>
          </m:e>
        </m:d>
      </m:oMath>
      <w:r w:rsidRPr="00495AEE">
        <w:rPr>
          <w:rFonts w:cs="Arial"/>
          <w:sz w:val="24"/>
          <w:szCs w:val="24"/>
          <w:lang w:val="en-US"/>
        </w:rPr>
        <w:t xml:space="preserve"> captures premium persistence, and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ε</m:t>
            </m:r>
            <m:ctrlPr>
              <w:rPr>
                <w:rFonts w:ascii="Cambria Math" w:hAnsi="Cambria Math" w:cs="Arial"/>
                <w:sz w:val="24"/>
                <w:szCs w:val="24"/>
                <w:lang w:val="en-US"/>
              </w:rPr>
            </m:ctrlPr>
          </m:e>
          <m:sub>
            <m:r>
              <w:rPr>
                <w:rFonts w:ascii="Cambria Math" w:hAnsi="Cambria Math" w:cs="Arial"/>
                <w:sz w:val="24"/>
                <w:szCs w:val="24"/>
                <w:lang w:val="en-US"/>
              </w:rPr>
              <m:t>t</m:t>
            </m:r>
          </m:sub>
          <m:sup>
            <m:r>
              <w:rPr>
                <w:rFonts w:ascii="Cambria Math" w:hAnsi="Cambria Math" w:cs="Arial"/>
                <w:sz w:val="24"/>
                <w:szCs w:val="24"/>
                <w:lang w:val="en-US"/>
              </w:rPr>
              <m:t>ψ</m:t>
            </m:r>
          </m:sup>
        </m:sSubSup>
      </m:oMath>
      <w:r w:rsidRPr="00495AEE">
        <w:rPr>
          <w:rFonts w:cs="Arial"/>
          <w:sz w:val="24"/>
          <w:szCs w:val="24"/>
          <w:lang w:val="en-US"/>
        </w:rPr>
        <w:t xml:space="preserve"> denotes exogenous shocks, such as sudden capital outflows, global financial market volatility, or unexpected policy adjustments independent of domestic sentiment.</w:t>
      </w:r>
    </w:p>
    <w:p w14:paraId="3DDA701F" w14:textId="77777777" w:rsidR="005F2877" w:rsidRPr="00495AEE" w:rsidRDefault="005F2877" w:rsidP="00E27CA1">
      <w:pPr>
        <w:spacing w:before="120" w:after="120" w:line="360" w:lineRule="auto"/>
        <w:jc w:val="both"/>
        <w:rPr>
          <w:rFonts w:cs="Arial"/>
          <w:sz w:val="24"/>
          <w:szCs w:val="24"/>
          <w:lang w:val="en-US"/>
        </w:rPr>
      </w:pPr>
      <w:r w:rsidRPr="00495AEE">
        <w:rPr>
          <w:rFonts w:cs="Arial"/>
          <w:sz w:val="24"/>
          <w:szCs w:val="24"/>
          <w:lang w:val="en-US"/>
        </w:rPr>
        <w:t>This specification aligns with observed dynamics in cryptocurrency markets, where ex- change rate movements reflect both endogenous sentiment and exogenous shocks (</w:t>
      </w:r>
      <w:r w:rsidRPr="00495AEE">
        <w:rPr>
          <w:rFonts w:cs="Arial"/>
          <w:color w:val="0000CC"/>
          <w:sz w:val="24"/>
          <w:szCs w:val="24"/>
          <w:lang w:val="en-US"/>
        </w:rPr>
        <w:t>Almeida and Gon¸calves, 2024</w:t>
      </w:r>
      <w:r w:rsidRPr="00495AEE">
        <w:rPr>
          <w:rFonts w:cs="Arial"/>
          <w:sz w:val="24"/>
          <w:szCs w:val="24"/>
          <w:lang w:val="en-US"/>
        </w:rPr>
        <w:t>). By explicitly linking the parallel exchange rate to these drivers, the model captures the volatility and speculative behavior characteristic of cryptocurrency- based exchange systems (</w:t>
      </w:r>
      <w:r w:rsidRPr="00495AEE">
        <w:rPr>
          <w:rFonts w:cs="Arial"/>
          <w:color w:val="0000CC"/>
          <w:sz w:val="24"/>
          <w:szCs w:val="24"/>
          <w:lang w:val="en-US"/>
        </w:rPr>
        <w:t>Corbet et al., 2018</w:t>
      </w:r>
      <w:r w:rsidRPr="00495AEE">
        <w:rPr>
          <w:rFonts w:cs="Arial"/>
          <w:sz w:val="24"/>
          <w:szCs w:val="24"/>
          <w:lang w:val="en-US"/>
        </w:rPr>
        <w:t>).</w:t>
      </w:r>
    </w:p>
    <w:p w14:paraId="6A46A3BA" w14:textId="24F2BEA2" w:rsidR="005F2877" w:rsidRPr="00495AEE" w:rsidRDefault="005F2877" w:rsidP="00E27CA1">
      <w:pPr>
        <w:spacing w:before="120" w:after="120" w:line="360" w:lineRule="auto"/>
        <w:jc w:val="both"/>
        <w:rPr>
          <w:rFonts w:cs="Arial"/>
          <w:sz w:val="24"/>
          <w:szCs w:val="24"/>
          <w:lang w:val="en-US"/>
        </w:rPr>
      </w:pPr>
      <w:r w:rsidRPr="00495AEE">
        <w:rPr>
          <w:rFonts w:cs="Arial"/>
          <w:sz w:val="24"/>
          <w:szCs w:val="24"/>
          <w:lang w:val="en-US"/>
        </w:rPr>
        <w:t>Furthermore, this framework reflects recent evidence that stablecoins like USDT increasingly serve as safe-haven assets in emerging markets experiencing macroeconomic instability and currency crises (</w:t>
      </w:r>
      <w:r w:rsidRPr="00495AEE">
        <w:rPr>
          <w:rFonts w:cs="Arial"/>
          <w:color w:val="0000CC"/>
          <w:sz w:val="24"/>
          <w:szCs w:val="24"/>
          <w:lang w:val="en-US"/>
        </w:rPr>
        <w:t>Liao and Caramichael, 2022; Ante et al., 2023</w:t>
      </w:r>
      <w:r w:rsidRPr="00495AEE">
        <w:rPr>
          <w:rFonts w:cs="Arial"/>
          <w:sz w:val="24"/>
          <w:szCs w:val="24"/>
          <w:lang w:val="en-US"/>
        </w:rPr>
        <w:t>). Incorporating these elements allows for a more precise representation of Bolivia’s parallel digital exchange rate response to uncertainty shocks, establishing a coherent transmission mechanism to inflation and output dynamics within the broader macroeconomic framework.</w:t>
      </w:r>
    </w:p>
    <w:p w14:paraId="638EEFF2" w14:textId="61F5ABE7" w:rsidR="00B9563D" w:rsidRPr="00495AEE" w:rsidRDefault="00B9563D" w:rsidP="00E27CA1">
      <w:pPr>
        <w:spacing w:before="120" w:after="120" w:line="360" w:lineRule="auto"/>
        <w:jc w:val="both"/>
        <w:rPr>
          <w:rFonts w:cs="Arial"/>
          <w:sz w:val="24"/>
          <w:szCs w:val="24"/>
          <w:lang w:val="en-US"/>
        </w:rPr>
      </w:pPr>
      <w:r w:rsidRPr="00495AEE">
        <w:rPr>
          <w:rFonts w:cs="Arial"/>
          <w:b/>
          <w:bCs/>
          <w:sz w:val="24"/>
          <w:szCs w:val="24"/>
          <w:lang w:val="en-US"/>
        </w:rPr>
        <w:t>Sentiment Dynamics and Behavioral Uncertainty:</w:t>
      </w:r>
      <w:r w:rsidRPr="00495AEE">
        <w:rPr>
          <w:rFonts w:cs="Arial"/>
          <w:sz w:val="24"/>
          <w:szCs w:val="24"/>
          <w:lang w:val="en-US"/>
        </w:rPr>
        <w:t xml:space="preserve"> Economic sentiment follows a persistent autoregressive process:</w:t>
      </w:r>
    </w:p>
    <w:p w14:paraId="4BFB6B41" w14:textId="18D95D44" w:rsidR="00B9563D" w:rsidRPr="00495AEE" w:rsidRDefault="00000000" w:rsidP="00E27CA1">
      <w:pPr>
        <w:spacing w:before="120" w:after="120" w:line="360" w:lineRule="auto"/>
        <w:jc w:val="both"/>
        <w:rPr>
          <w:rFonts w:cs="Arial"/>
          <w:sz w:val="24"/>
          <w:szCs w:val="24"/>
          <w:lang w:val="en-US"/>
        </w:rPr>
      </w:pPr>
      <m:oMathPara>
        <m:oMath>
          <m:sSub>
            <m:sSubPr>
              <m:ctrlPr>
                <w:rPr>
                  <w:rFonts w:ascii="Cambria Math" w:hAnsi="Cambria Math" w:cs="Arial"/>
                  <w:i/>
                  <w:sz w:val="24"/>
                  <w:szCs w:val="24"/>
                  <w:lang w:val="en-US"/>
                </w:rPr>
              </m:ctrlPr>
            </m:sSubPr>
            <m:e>
              <m:r>
                <w:rPr>
                  <w:rFonts w:ascii="Cambria Math" w:hAnsi="Cambria Math" w:cs="Arial"/>
                  <w:sz w:val="24"/>
                  <w:szCs w:val="24"/>
                  <w:lang w:val="en-US"/>
                </w:rPr>
                <m:t>s</m:t>
              </m:r>
            </m:e>
            <m:sub>
              <m:r>
                <w:rPr>
                  <w:rFonts w:ascii="Cambria Math" w:hAnsi="Cambria Math" w:cs="Arial"/>
                  <w:sz w:val="24"/>
                  <w:szCs w:val="24"/>
                  <w:lang w:val="en-US"/>
                </w:rPr>
                <m:t>t</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ρ</m:t>
              </m:r>
            </m:e>
            <m:sub>
              <m:r>
                <w:rPr>
                  <w:rFonts w:ascii="Cambria Math" w:hAnsi="Cambria Math" w:cs="Arial"/>
                  <w:sz w:val="24"/>
                  <w:szCs w:val="24"/>
                  <w:lang w:val="en-US"/>
                </w:rPr>
                <m:t>s</m:t>
              </m:r>
            </m:sub>
          </m:sSub>
          <m:sSub>
            <m:sSubPr>
              <m:ctrlPr>
                <w:rPr>
                  <w:rFonts w:ascii="Cambria Math" w:hAnsi="Cambria Math" w:cs="Arial"/>
                  <w:i/>
                  <w:sz w:val="24"/>
                  <w:szCs w:val="24"/>
                  <w:lang w:val="en-US"/>
                </w:rPr>
              </m:ctrlPr>
            </m:sSubPr>
            <m:e>
              <m:r>
                <w:rPr>
                  <w:rFonts w:ascii="Cambria Math" w:hAnsi="Cambria Math" w:cs="Arial"/>
                  <w:sz w:val="24"/>
                  <w:szCs w:val="24"/>
                  <w:lang w:val="en-US"/>
                </w:rPr>
                <m:t>s</m:t>
              </m:r>
            </m:e>
            <m:sub>
              <m:r>
                <w:rPr>
                  <w:rFonts w:ascii="Cambria Math" w:hAnsi="Cambria Math" w:cs="Arial"/>
                  <w:sz w:val="24"/>
                  <w:szCs w:val="24"/>
                  <w:lang w:val="en-US"/>
                </w:rPr>
                <m:t>t-1</m:t>
              </m:r>
            </m:sub>
          </m:sSub>
          <m:r>
            <w:rPr>
              <w:rFonts w:ascii="Cambria Math" w:hAnsi="Cambria Math" w:cs="Arial"/>
              <w:sz w:val="24"/>
              <w:szCs w:val="24"/>
              <w:lang w:val="en-US"/>
            </w:rPr>
            <m:t>+</m:t>
          </m:r>
          <m:sSubSup>
            <m:sSubSupPr>
              <m:ctrlPr>
                <w:rPr>
                  <w:rFonts w:ascii="Cambria Math" w:hAnsi="Cambria Math" w:cs="Arial"/>
                  <w:i/>
                  <w:sz w:val="24"/>
                  <w:szCs w:val="24"/>
                  <w:lang w:val="en-US"/>
                </w:rPr>
              </m:ctrlPr>
            </m:sSubSupPr>
            <m:e>
              <m:r>
                <w:rPr>
                  <w:rFonts w:ascii="Cambria Math" w:hAnsi="Cambria Math" w:cs="Arial"/>
                  <w:sz w:val="24"/>
                  <w:szCs w:val="24"/>
                  <w:lang w:val="en-US"/>
                </w:rPr>
                <m:t>ε</m:t>
              </m:r>
            </m:e>
            <m:sub>
              <m:r>
                <w:rPr>
                  <w:rFonts w:ascii="Cambria Math" w:hAnsi="Cambria Math" w:cs="Arial"/>
                  <w:sz w:val="24"/>
                  <w:szCs w:val="24"/>
                  <w:lang w:val="en-US"/>
                </w:rPr>
                <m:t>t</m:t>
              </m:r>
            </m:sub>
            <m:sup>
              <m:r>
                <w:rPr>
                  <w:rFonts w:ascii="Cambria Math" w:hAnsi="Cambria Math" w:cs="Arial"/>
                  <w:sz w:val="24"/>
                  <w:szCs w:val="24"/>
                  <w:lang w:val="en-US"/>
                </w:rPr>
                <m:t>s</m:t>
              </m:r>
            </m:sup>
          </m:sSubSup>
          <m:r>
            <w:rPr>
              <w:rFonts w:ascii="Cambria Math" w:hAnsi="Cambria Math" w:cs="Arial"/>
              <w:sz w:val="24"/>
              <w:szCs w:val="24"/>
              <w:lang w:val="en-US"/>
            </w:rPr>
            <m:t xml:space="preserve"> </m:t>
          </m:r>
          <m:r>
            <w:rPr>
              <w:rFonts w:ascii="Cambria Math" w:eastAsiaTheme="minorEastAsia" w:hAnsi="Cambria Math" w:cs="Arial"/>
              <w:sz w:val="24"/>
              <w:szCs w:val="24"/>
              <w:lang w:val="en-US"/>
            </w:rPr>
            <m:t xml:space="preserve">             (6)</m:t>
          </m:r>
        </m:oMath>
      </m:oMathPara>
    </w:p>
    <w:p w14:paraId="7178718E" w14:textId="00669AED" w:rsidR="00B9563D" w:rsidRPr="00495AEE" w:rsidRDefault="00B9563D" w:rsidP="00E27CA1">
      <w:pPr>
        <w:spacing w:before="120" w:after="120" w:line="360" w:lineRule="auto"/>
        <w:jc w:val="both"/>
        <w:rPr>
          <w:rFonts w:cs="Arial"/>
          <w:sz w:val="24"/>
          <w:szCs w:val="24"/>
          <w:lang w:val="en-US"/>
        </w:rPr>
      </w:pPr>
      <w:r w:rsidRPr="00495AEE">
        <w:rPr>
          <w:rFonts w:cs="Arial"/>
          <w:sz w:val="24"/>
          <w:szCs w:val="24"/>
          <w:lang w:val="en-US"/>
        </w:rPr>
        <w:t xml:space="preserve">where </w:t>
      </w:r>
      <m:oMath>
        <m:sSub>
          <m:sSubPr>
            <m:ctrlPr>
              <w:rPr>
                <w:rFonts w:ascii="Cambria Math" w:hAnsi="Cambria Math" w:cs="Arial"/>
                <w:i/>
                <w:sz w:val="24"/>
                <w:szCs w:val="24"/>
                <w:lang w:val="en-US"/>
              </w:rPr>
            </m:ctrlPr>
          </m:sSubPr>
          <m:e>
            <m:r>
              <w:rPr>
                <w:rFonts w:ascii="Cambria Math" w:hAnsi="Cambria Math" w:cs="Arial"/>
                <w:sz w:val="24"/>
                <w:szCs w:val="24"/>
                <w:lang w:val="en-US"/>
              </w:rPr>
              <m:t>ρ</m:t>
            </m:r>
            <m:ctrlPr>
              <w:rPr>
                <w:rFonts w:ascii="Cambria Math" w:hAnsi="Cambria Math" w:cs="Arial"/>
                <w:sz w:val="24"/>
                <w:szCs w:val="24"/>
                <w:lang w:val="en-US"/>
              </w:rPr>
            </m:ctrlPr>
          </m:e>
          <m:sub>
            <m:r>
              <w:rPr>
                <w:rFonts w:ascii="Cambria Math" w:hAnsi="Cambria Math" w:cs="Arial"/>
                <w:sz w:val="24"/>
                <w:szCs w:val="24"/>
                <w:lang w:val="en-US"/>
              </w:rPr>
              <m:t>s</m:t>
            </m:r>
          </m:sub>
        </m:sSub>
        <m:r>
          <m:rPr>
            <m:sty m:val="p"/>
          </m:rPr>
          <w:rPr>
            <w:rFonts w:ascii="Cambria Math" w:hAnsi="Cambria Math" w:cs="Arial"/>
            <w:sz w:val="24"/>
            <w:szCs w:val="24"/>
            <w:lang w:val="en-US"/>
          </w:rPr>
          <m:t>∈</m:t>
        </m:r>
        <m:d>
          <m:dPr>
            <m:ctrlPr>
              <w:rPr>
                <w:rFonts w:ascii="Cambria Math" w:hAnsi="Cambria Math" w:cs="Arial"/>
                <w:i/>
                <w:sz w:val="24"/>
                <w:szCs w:val="24"/>
                <w:lang w:val="en-US"/>
              </w:rPr>
            </m:ctrlPr>
          </m:dPr>
          <m:e>
            <m:r>
              <w:rPr>
                <w:rFonts w:ascii="Cambria Math" w:hAnsi="Cambria Math" w:cs="Arial"/>
                <w:sz w:val="24"/>
                <w:szCs w:val="24"/>
                <w:lang w:val="en-US"/>
              </w:rPr>
              <m:t>0,1</m:t>
            </m:r>
          </m:e>
        </m:d>
      </m:oMath>
      <w:r w:rsidRPr="00495AEE">
        <w:rPr>
          <w:rFonts w:cs="Arial"/>
          <w:sz w:val="24"/>
          <w:szCs w:val="24"/>
          <w:lang w:val="en-US"/>
        </w:rPr>
        <w:t xml:space="preserve"> captures persistence, and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ε</m:t>
            </m:r>
            <m:ctrlPr>
              <w:rPr>
                <w:rFonts w:ascii="Cambria Math" w:hAnsi="Cambria Math" w:cs="Arial"/>
                <w:sz w:val="24"/>
                <w:szCs w:val="24"/>
                <w:lang w:val="en-US"/>
              </w:rPr>
            </m:ctrlPr>
          </m:e>
          <m:sub>
            <m:r>
              <w:rPr>
                <w:rFonts w:ascii="Cambria Math" w:hAnsi="Cambria Math" w:cs="Arial"/>
                <w:sz w:val="24"/>
                <w:szCs w:val="24"/>
                <w:lang w:val="en-US"/>
              </w:rPr>
              <m:t>t</m:t>
            </m:r>
          </m:sub>
          <m:sup>
            <m:r>
              <w:rPr>
                <w:rFonts w:ascii="Cambria Math" w:hAnsi="Cambria Math" w:cs="Arial"/>
                <w:sz w:val="24"/>
                <w:szCs w:val="24"/>
                <w:lang w:val="en-US"/>
              </w:rPr>
              <m:t>s</m:t>
            </m:r>
          </m:sup>
        </m:sSubSup>
      </m:oMath>
      <w:r w:rsidRPr="00495AEE">
        <w:rPr>
          <w:rFonts w:cs="Arial"/>
          <w:sz w:val="24"/>
          <w:szCs w:val="24"/>
          <w:lang w:val="en-US"/>
        </w:rPr>
        <w:t xml:space="preserve"> represents exogenous news shocks. This structure reflects the behavioral view that waves of optimism or pessimism, driven by narratives or geopolitical events, not necessarily evolve related to economic fundamentals (</w:t>
      </w:r>
      <w:r w:rsidRPr="00495AEE">
        <w:rPr>
          <w:rFonts w:cs="Arial"/>
          <w:color w:val="0000CC"/>
          <w:sz w:val="24"/>
          <w:szCs w:val="24"/>
          <w:lang w:val="en-US"/>
        </w:rPr>
        <w:t>Gupta, 2025; Milani, 2017</w:t>
      </w:r>
      <w:r w:rsidRPr="00495AEE">
        <w:rPr>
          <w:rFonts w:cs="Arial"/>
          <w:sz w:val="24"/>
          <w:szCs w:val="24"/>
          <w:lang w:val="en-US"/>
        </w:rPr>
        <w:t>).</w:t>
      </w:r>
    </w:p>
    <w:p w14:paraId="782BF927" w14:textId="330EC16C" w:rsidR="00B9563D" w:rsidRPr="0018115D" w:rsidRDefault="00B9563D" w:rsidP="00E27CA1">
      <w:pPr>
        <w:spacing w:before="120" w:after="120" w:line="360" w:lineRule="auto"/>
        <w:jc w:val="both"/>
        <w:rPr>
          <w:rFonts w:cs="Arial"/>
          <w:sz w:val="24"/>
          <w:szCs w:val="24"/>
          <w:lang w:val="en-US"/>
        </w:rPr>
      </w:pPr>
      <w:r w:rsidRPr="0018115D">
        <w:rPr>
          <w:rFonts w:cs="Arial"/>
          <w:sz w:val="24"/>
          <w:szCs w:val="24"/>
          <w:lang w:val="en-US"/>
        </w:rPr>
        <w:t>We intentionally exclude macroeconomic indicators (e.g., output gap) as determinants of sentiment for two reasons. First, empirical studies show that sentiment often fluctuates independently of fundamentals and can precede economic changes (</w:t>
      </w:r>
      <w:hyperlink w:anchor="_bookmark38" w:history="1">
        <w:r w:rsidRPr="0018115D">
          <w:rPr>
            <w:rFonts w:cs="Arial"/>
            <w:color w:val="0000CC"/>
            <w:sz w:val="24"/>
            <w:szCs w:val="24"/>
            <w:lang w:val="en-US"/>
          </w:rPr>
          <w:t>Baker et al.</w:t>
        </w:r>
      </w:hyperlink>
      <w:r w:rsidRPr="0018115D">
        <w:rPr>
          <w:rFonts w:cs="Arial"/>
          <w:color w:val="0000CC"/>
          <w:sz w:val="24"/>
          <w:szCs w:val="24"/>
          <w:lang w:val="en-US"/>
        </w:rPr>
        <w:t xml:space="preserve">, </w:t>
      </w:r>
      <w:hyperlink w:anchor="_bookmark38" w:history="1">
        <w:r w:rsidRPr="0018115D">
          <w:rPr>
            <w:rFonts w:cs="Arial"/>
            <w:color w:val="0000CC"/>
            <w:sz w:val="24"/>
            <w:szCs w:val="24"/>
            <w:lang w:val="en-US"/>
          </w:rPr>
          <w:t>2016</w:t>
        </w:r>
      </w:hyperlink>
      <w:r w:rsidRPr="0018115D">
        <w:rPr>
          <w:rFonts w:cs="Arial"/>
          <w:sz w:val="24"/>
          <w:szCs w:val="24"/>
          <w:lang w:val="en-US"/>
        </w:rPr>
        <w:t>). Second, modeling sentiment as exogenous avoids feedback loops that could confound the identification of pure uncertainty shocks. This ensures a clearer analysis of how sentiment independently drives exchange rate dynamics and inflation, particularly relevant in Bolivia’s context of a cryptocurrency-based parallel market.</w:t>
      </w:r>
    </w:p>
    <w:p w14:paraId="52318BC8" w14:textId="490AE8F3" w:rsidR="00B9563D" w:rsidRPr="00495AEE" w:rsidRDefault="00B9563D" w:rsidP="00E27CA1">
      <w:pPr>
        <w:spacing w:before="120" w:after="120" w:line="360" w:lineRule="auto"/>
        <w:jc w:val="both"/>
        <w:rPr>
          <w:rFonts w:cs="Arial"/>
          <w:sz w:val="24"/>
          <w:szCs w:val="24"/>
          <w:lang w:val="en-US"/>
        </w:rPr>
      </w:pPr>
      <w:r w:rsidRPr="00495AEE">
        <w:rPr>
          <w:rFonts w:cs="Arial"/>
          <w:b/>
          <w:bCs/>
          <w:sz w:val="24"/>
          <w:szCs w:val="24"/>
          <w:lang w:val="en-US"/>
        </w:rPr>
        <w:lastRenderedPageBreak/>
        <w:t>Comprehensive Transmission Channel and Behavioral Insights:</w:t>
      </w:r>
      <w:r w:rsidRPr="00495AEE">
        <w:rPr>
          <w:rFonts w:cs="Arial"/>
          <w:sz w:val="24"/>
          <w:szCs w:val="24"/>
          <w:lang w:val="en-US"/>
        </w:rPr>
        <w:t xml:space="preserve">  Equations (</w:t>
      </w:r>
      <w:hyperlink w:anchor="_bookmark5" w:history="1">
        <w:r w:rsidRPr="00495AEE">
          <w:rPr>
            <w:rFonts w:cs="Arial"/>
            <w:sz w:val="24"/>
            <w:szCs w:val="24"/>
            <w:lang w:val="en-US"/>
          </w:rPr>
          <w:t>1</w:t>
        </w:r>
      </w:hyperlink>
      <w:r w:rsidRPr="00495AEE">
        <w:rPr>
          <w:rFonts w:cs="Arial"/>
          <w:sz w:val="24"/>
          <w:szCs w:val="24"/>
          <w:lang w:val="en-US"/>
        </w:rPr>
        <w:t>)–(</w:t>
      </w:r>
      <w:hyperlink w:anchor="_bookmark6" w:history="1">
        <w:r w:rsidRPr="00495AEE">
          <w:rPr>
            <w:rFonts w:cs="Arial"/>
            <w:sz w:val="24"/>
            <w:szCs w:val="24"/>
            <w:lang w:val="en-US"/>
          </w:rPr>
          <w:t>6</w:t>
        </w:r>
      </w:hyperlink>
      <w:r w:rsidRPr="00495AEE">
        <w:rPr>
          <w:rFonts w:cs="Arial"/>
          <w:sz w:val="24"/>
          <w:szCs w:val="24"/>
          <w:lang w:val="en-US"/>
        </w:rPr>
        <w:t>) constitute an integrated framework elucidating how sentiment-driven uncertainty propagates through the economy:</w:t>
      </w:r>
    </w:p>
    <w:p w14:paraId="14E33419" w14:textId="4245DBA8" w:rsidR="00B9563D" w:rsidRPr="00495AEE" w:rsidRDefault="00B9563D" w:rsidP="00E27CA1">
      <w:pPr>
        <w:pStyle w:val="Prrafodelista"/>
        <w:numPr>
          <w:ilvl w:val="0"/>
          <w:numId w:val="6"/>
        </w:numPr>
        <w:spacing w:before="120" w:after="120" w:line="360" w:lineRule="auto"/>
        <w:jc w:val="both"/>
        <w:rPr>
          <w:rFonts w:cs="Arial"/>
          <w:sz w:val="24"/>
          <w:szCs w:val="24"/>
          <w:lang w:val="en-US"/>
        </w:rPr>
      </w:pPr>
      <w:r w:rsidRPr="00495AEE">
        <w:rPr>
          <w:rFonts w:cs="Arial"/>
          <w:sz w:val="24"/>
          <w:szCs w:val="24"/>
          <w:lang w:val="en-US"/>
        </w:rPr>
        <w:t>A positive sentiment shock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ε</m:t>
            </m:r>
            <m:ctrlPr>
              <w:rPr>
                <w:rFonts w:ascii="Cambria Math" w:hAnsi="Cambria Math" w:cs="Arial"/>
                <w:sz w:val="24"/>
                <w:szCs w:val="24"/>
                <w:lang w:val="en-US"/>
              </w:rPr>
            </m:ctrlPr>
          </m:e>
          <m:sub>
            <m:r>
              <w:rPr>
                <w:rFonts w:ascii="Cambria Math" w:hAnsi="Cambria Math" w:cs="Arial"/>
                <w:sz w:val="24"/>
                <w:szCs w:val="24"/>
                <w:lang w:val="en-US"/>
              </w:rPr>
              <m:t>t</m:t>
            </m:r>
          </m:sub>
          <m:sup>
            <m:r>
              <w:rPr>
                <w:rFonts w:ascii="Cambria Math" w:hAnsi="Cambria Math" w:cs="Arial"/>
                <w:sz w:val="24"/>
                <w:szCs w:val="24"/>
                <w:lang w:val="en-US"/>
              </w:rPr>
              <m:t>s</m:t>
            </m:r>
          </m:sup>
        </m:sSubSup>
      </m:oMath>
      <w:r w:rsidRPr="00495AEE">
        <w:rPr>
          <w:rFonts w:cs="Arial"/>
          <w:sz w:val="24"/>
          <w:szCs w:val="24"/>
          <w:lang w:val="en-US"/>
        </w:rPr>
        <w:t>) elevates economic uncertainty (</w:t>
      </w:r>
      <m:oMath>
        <m:sSub>
          <m:sSubPr>
            <m:ctrlPr>
              <w:rPr>
                <w:rFonts w:ascii="Cambria Math" w:hAnsi="Cambria Math" w:cs="Arial"/>
                <w:i/>
                <w:sz w:val="24"/>
                <w:szCs w:val="24"/>
                <w:lang w:val="en-US"/>
              </w:rPr>
            </m:ctrlPr>
          </m:sSubPr>
          <m:e>
            <m:r>
              <w:rPr>
                <w:rFonts w:ascii="Cambria Math" w:hAnsi="Cambria Math" w:cs="Arial"/>
                <w:sz w:val="24"/>
                <w:szCs w:val="24"/>
                <w:lang w:val="en-US"/>
              </w:rPr>
              <m:t>s</m:t>
            </m:r>
          </m:e>
          <m:sub>
            <m:r>
              <w:rPr>
                <w:rFonts w:ascii="Cambria Math" w:hAnsi="Cambria Math" w:cs="Arial"/>
                <w:sz w:val="24"/>
                <w:szCs w:val="24"/>
                <w:lang w:val="en-US"/>
              </w:rPr>
              <m:t>t</m:t>
            </m:r>
          </m:sub>
        </m:sSub>
      </m:oMath>
      <w:r w:rsidRPr="00495AEE">
        <w:rPr>
          <w:rFonts w:cs="Arial"/>
          <w:sz w:val="24"/>
          <w:szCs w:val="24"/>
          <w:lang w:val="en-US"/>
        </w:rPr>
        <w:t>), inducing precautionary saving that reduces aggregate demand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t</m:t>
            </m:r>
          </m:sub>
        </m:sSub>
      </m:oMath>
      <w:r w:rsidRPr="00495AEE">
        <w:rPr>
          <w:rFonts w:cs="Arial"/>
          <w:sz w:val="24"/>
          <w:szCs w:val="24"/>
          <w:lang w:val="en-US"/>
        </w:rPr>
        <w:t>) and simultaneously triggers currency depreciation (</w:t>
      </w:r>
      <m:oMath>
        <m:sSub>
          <m:sSubPr>
            <m:ctrlPr>
              <w:rPr>
                <w:rFonts w:ascii="Cambria Math" w:hAnsi="Cambria Math" w:cs="Arial"/>
                <w:i/>
                <w:sz w:val="24"/>
                <w:szCs w:val="24"/>
                <w:lang w:val="en-US"/>
              </w:rPr>
            </m:ctrlPr>
          </m:sSubPr>
          <m:e>
            <m:r>
              <w:rPr>
                <w:rFonts w:ascii="Cambria Math" w:hAnsi="Cambria Math" w:cs="Arial"/>
                <w:sz w:val="24"/>
                <w:szCs w:val="24"/>
                <w:lang w:val="en-US"/>
              </w:rPr>
              <m:t>e</m:t>
            </m:r>
          </m:e>
          <m:sub>
            <m:r>
              <w:rPr>
                <w:rFonts w:ascii="Cambria Math" w:hAnsi="Cambria Math" w:cs="Arial"/>
                <w:sz w:val="24"/>
                <w:szCs w:val="24"/>
                <w:lang w:val="en-US"/>
              </w:rPr>
              <m:t>t</m:t>
            </m:r>
          </m:sub>
        </m:sSub>
      </m:oMath>
      <w:r w:rsidRPr="00495AEE">
        <w:rPr>
          <w:rFonts w:cs="Arial"/>
          <w:sz w:val="24"/>
          <w:szCs w:val="24"/>
          <w:lang w:val="en-US"/>
        </w:rPr>
        <w:t>).</w:t>
      </w:r>
    </w:p>
    <w:p w14:paraId="256F76FC" w14:textId="059F0742" w:rsidR="00B9563D" w:rsidRPr="00495AEE" w:rsidRDefault="00B9563D" w:rsidP="00E27CA1">
      <w:pPr>
        <w:pStyle w:val="Prrafodelista"/>
        <w:numPr>
          <w:ilvl w:val="0"/>
          <w:numId w:val="6"/>
        </w:numPr>
        <w:spacing w:before="120" w:after="120" w:line="360" w:lineRule="auto"/>
        <w:jc w:val="both"/>
        <w:rPr>
          <w:rFonts w:cs="Arial"/>
          <w:sz w:val="24"/>
          <w:szCs w:val="24"/>
          <w:lang w:val="en-US"/>
        </w:rPr>
      </w:pPr>
      <w:r w:rsidRPr="00495AEE">
        <w:rPr>
          <w:rFonts w:cs="Arial"/>
          <w:sz w:val="24"/>
          <w:szCs w:val="24"/>
          <w:lang w:val="en-US"/>
        </w:rPr>
        <w:t>Currency depreciation increases import costs, raising domestic inflation (</w:t>
      </w:r>
      <m:oMath>
        <m:sSub>
          <m:sSubPr>
            <m:ctrlPr>
              <w:rPr>
                <w:rFonts w:ascii="Cambria Math" w:hAnsi="Cambria Math" w:cs="Arial"/>
                <w:i/>
                <w:sz w:val="24"/>
                <w:szCs w:val="24"/>
                <w:lang w:val="en-US"/>
              </w:rPr>
            </m:ctrlPr>
          </m:sSubPr>
          <m:e>
            <m:r>
              <w:rPr>
                <w:rFonts w:ascii="Cambria Math" w:hAnsi="Cambria Math" w:cs="Arial"/>
                <w:sz w:val="24"/>
                <w:szCs w:val="24"/>
                <w:lang w:val="en-US"/>
              </w:rPr>
              <m:t>π</m:t>
            </m:r>
            <m:ctrlPr>
              <w:rPr>
                <w:rFonts w:ascii="Cambria Math" w:hAnsi="Cambria Math" w:cs="Arial"/>
                <w:sz w:val="24"/>
                <w:szCs w:val="24"/>
                <w:lang w:val="en-US"/>
              </w:rPr>
            </m:ctrlPr>
          </m:e>
          <m:sub>
            <m:r>
              <w:rPr>
                <w:rFonts w:ascii="Cambria Math" w:hAnsi="Cambria Math" w:cs="Arial"/>
                <w:sz w:val="24"/>
                <w:szCs w:val="24"/>
                <w:lang w:val="en-US"/>
              </w:rPr>
              <m:t>t</m:t>
            </m:r>
          </m:sub>
        </m:sSub>
      </m:oMath>
      <w:r w:rsidRPr="00495AEE">
        <w:rPr>
          <w:rFonts w:cs="Arial"/>
          <w:sz w:val="24"/>
          <w:szCs w:val="24"/>
          <w:lang w:val="en-US"/>
        </w:rPr>
        <w:t>) via exchange-rate pass-through (</w:t>
      </w:r>
      <m:oMath>
        <m:sSub>
          <m:sSubPr>
            <m:ctrlPr>
              <w:rPr>
                <w:rFonts w:ascii="Cambria Math" w:hAnsi="Cambria Math" w:cs="Arial"/>
                <w:i/>
                <w:sz w:val="24"/>
                <w:szCs w:val="24"/>
                <w:lang w:val="en-US"/>
              </w:rPr>
            </m:ctrlPr>
          </m:sSubPr>
          <m:e>
            <m:r>
              <w:rPr>
                <w:rFonts w:ascii="Cambria Math" w:hAnsi="Cambria Math" w:cs="Arial"/>
                <w:sz w:val="24"/>
                <w:szCs w:val="24"/>
                <w:lang w:val="en-US"/>
              </w:rPr>
              <m:t>ϕ</m:t>
            </m:r>
            <m:ctrlPr>
              <w:rPr>
                <w:rFonts w:ascii="Cambria Math" w:hAnsi="Cambria Math" w:cs="Arial"/>
                <w:sz w:val="24"/>
                <w:szCs w:val="24"/>
                <w:lang w:val="en-US"/>
              </w:rPr>
            </m:ctrlPr>
          </m:e>
          <m:sub>
            <m:r>
              <w:rPr>
                <w:rFonts w:ascii="Cambria Math" w:hAnsi="Cambria Math" w:cs="Arial"/>
                <w:sz w:val="24"/>
                <w:szCs w:val="24"/>
                <w:lang w:val="en-US"/>
              </w:rPr>
              <m:t>e</m:t>
            </m:r>
          </m:sub>
        </m:sSub>
      </m:oMath>
      <w:r w:rsidRPr="00495AEE">
        <w:rPr>
          <w:rFonts w:cs="Arial"/>
          <w:sz w:val="24"/>
          <w:szCs w:val="24"/>
          <w:lang w:val="en-US"/>
        </w:rPr>
        <w:t xml:space="preserve">). Sticky expectations (via </w:t>
      </w:r>
      <m:oMath>
        <m:sSub>
          <m:sSubPr>
            <m:ctrlPr>
              <w:rPr>
                <w:rFonts w:ascii="Cambria Math" w:hAnsi="Cambria Math" w:cs="Arial"/>
                <w:i/>
                <w:sz w:val="24"/>
                <w:szCs w:val="24"/>
                <w:lang w:val="en-US"/>
              </w:rPr>
            </m:ctrlPr>
          </m:sSubPr>
          <m:e>
            <m:r>
              <w:rPr>
                <w:rFonts w:ascii="Cambria Math" w:hAnsi="Cambria Math" w:cs="Arial"/>
                <w:sz w:val="24"/>
                <w:szCs w:val="24"/>
                <w:lang w:val="en-US"/>
              </w:rPr>
              <m:t>γ</m:t>
            </m:r>
            <m:ctrlPr>
              <w:rPr>
                <w:rFonts w:ascii="Cambria Math" w:hAnsi="Cambria Math" w:cs="Arial"/>
                <w:sz w:val="24"/>
                <w:szCs w:val="24"/>
                <w:lang w:val="en-US"/>
              </w:rPr>
            </m:ctrlPr>
          </m:e>
          <m:sub>
            <m:r>
              <w:rPr>
                <w:rFonts w:ascii="Cambria Math" w:hAnsi="Cambria Math" w:cs="Arial"/>
                <w:sz w:val="24"/>
                <w:szCs w:val="24"/>
                <w:lang w:val="en-US"/>
              </w:rPr>
              <m:t>b</m:t>
            </m:r>
          </m:sub>
        </m:sSub>
        <m:r>
          <w:rPr>
            <w:rFonts w:ascii="Cambria Math" w:hAnsi="Cambria Math" w:cs="Arial"/>
            <w:sz w:val="24"/>
            <w:szCs w:val="24"/>
            <w:lang w:val="en-US"/>
          </w:rPr>
          <m:t>&gt;0</m:t>
        </m:r>
      </m:oMath>
      <w:r w:rsidRPr="00495AEE">
        <w:rPr>
          <w:rFonts w:cs="Arial"/>
          <w:sz w:val="24"/>
          <w:szCs w:val="24"/>
          <w:lang w:val="en-US"/>
        </w:rPr>
        <w:t>) amplify inflation persistence and inertia.</w:t>
      </w:r>
    </w:p>
    <w:p w14:paraId="3ED5636E" w14:textId="622791A0" w:rsidR="00B9563D" w:rsidRPr="00495AEE" w:rsidRDefault="00495AEE" w:rsidP="00E27CA1">
      <w:pPr>
        <w:pStyle w:val="Prrafodelista"/>
        <w:numPr>
          <w:ilvl w:val="0"/>
          <w:numId w:val="6"/>
        </w:numPr>
        <w:spacing w:before="120" w:after="120" w:line="360" w:lineRule="auto"/>
        <w:jc w:val="both"/>
        <w:rPr>
          <w:rFonts w:cs="Arial"/>
          <w:sz w:val="24"/>
          <w:szCs w:val="24"/>
          <w:lang w:val="en-US"/>
        </w:rPr>
      </w:pPr>
      <w:r w:rsidRPr="00495AEE">
        <w:rPr>
          <w:rFonts w:cs="Arial"/>
          <w:sz w:val="24"/>
          <w:szCs w:val="24"/>
          <w:lang w:val="en-US"/>
        </w:rPr>
        <w:t>Independent risk premium shocks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ε</m:t>
            </m:r>
            <m:ctrlPr>
              <w:rPr>
                <w:rFonts w:ascii="Cambria Math" w:hAnsi="Cambria Math" w:cs="Arial"/>
                <w:sz w:val="24"/>
                <w:szCs w:val="24"/>
                <w:lang w:val="en-US"/>
              </w:rPr>
            </m:ctrlPr>
          </m:e>
          <m:sub>
            <m:r>
              <w:rPr>
                <w:rFonts w:ascii="Cambria Math" w:hAnsi="Cambria Math" w:cs="Arial"/>
                <w:sz w:val="24"/>
                <w:szCs w:val="24"/>
                <w:lang w:val="en-US"/>
              </w:rPr>
              <m:t>t</m:t>
            </m:r>
          </m:sub>
          <m:sup>
            <m:r>
              <w:rPr>
                <w:rFonts w:ascii="Cambria Math" w:hAnsi="Cambria Math" w:cs="Arial"/>
                <w:sz w:val="24"/>
                <w:szCs w:val="24"/>
                <w:lang w:val="en-US"/>
              </w:rPr>
              <m:t>ψ</m:t>
            </m:r>
          </m:sup>
        </m:sSubSup>
      </m:oMath>
      <w:r w:rsidRPr="00495AEE">
        <w:rPr>
          <w:rFonts w:cs="Arial"/>
          <w:sz w:val="24"/>
          <w:szCs w:val="24"/>
          <w:lang w:val="en-US"/>
        </w:rPr>
        <w:t>) further influence exchange rate dynamics, highlighting separate exogenous channels distinct from sentiment-driven mechanisms</w:t>
      </w:r>
      <w:r w:rsidR="00B9563D" w:rsidRPr="00495AEE">
        <w:rPr>
          <w:rFonts w:cs="Arial"/>
          <w:sz w:val="24"/>
          <w:szCs w:val="24"/>
          <w:lang w:val="en-US"/>
        </w:rPr>
        <w:t>.</w:t>
      </w:r>
    </w:p>
    <w:p w14:paraId="102D7BAC" w14:textId="4D64E76B" w:rsidR="00B9563D" w:rsidRPr="00495AEE" w:rsidRDefault="00495AEE" w:rsidP="00E27CA1">
      <w:pPr>
        <w:spacing w:before="120" w:after="120" w:line="360" w:lineRule="auto"/>
        <w:jc w:val="both"/>
        <w:rPr>
          <w:rFonts w:cs="Arial"/>
          <w:sz w:val="24"/>
          <w:szCs w:val="24"/>
          <w:lang w:val="en-US"/>
        </w:rPr>
      </w:pPr>
      <w:r w:rsidRPr="00495AEE">
        <w:rPr>
          <w:rFonts w:cs="Arial"/>
          <w:sz w:val="24"/>
          <w:szCs w:val="24"/>
          <w:lang w:val="en-US"/>
        </w:rPr>
        <w:t>This theoretical setup integrates traditional New Keynesian features (forward-looking behavior, nominal rigidities, and a monetary policy rule) with empirically relevant behavioral elements (sticky expectations and uncertainty sentiment). This combination provides a coherent basis to empirically evaluate Bolivia’s recent experiences of cryptocurrency-based exchange rate instability and inflationary pressures.</w:t>
      </w:r>
    </w:p>
    <w:p w14:paraId="7EEE9618" w14:textId="2E3EF033" w:rsidR="00495AEE" w:rsidRDefault="00495AEE" w:rsidP="00E27CA1">
      <w:pPr>
        <w:pStyle w:val="Prrafodelista"/>
        <w:numPr>
          <w:ilvl w:val="0"/>
          <w:numId w:val="1"/>
        </w:numPr>
        <w:spacing w:before="120" w:after="120" w:line="360" w:lineRule="auto"/>
        <w:rPr>
          <w:rFonts w:cs="Arial"/>
          <w:b/>
          <w:bCs/>
          <w:sz w:val="24"/>
          <w:szCs w:val="24"/>
          <w:lang w:val="en-US"/>
        </w:rPr>
      </w:pPr>
      <w:r w:rsidRPr="00495AEE">
        <w:rPr>
          <w:rFonts w:cs="Arial"/>
          <w:b/>
          <w:bCs/>
          <w:sz w:val="24"/>
          <w:szCs w:val="24"/>
          <w:lang w:val="en-US"/>
        </w:rPr>
        <w:t>Simulations</w:t>
      </w:r>
    </w:p>
    <w:p w14:paraId="1B617EE9" w14:textId="60D4B9AA" w:rsidR="00CB41A3" w:rsidRDefault="00CB41A3" w:rsidP="00E27CA1">
      <w:pPr>
        <w:pStyle w:val="Prrafodelista"/>
        <w:numPr>
          <w:ilvl w:val="1"/>
          <w:numId w:val="1"/>
        </w:numPr>
        <w:spacing w:before="120" w:after="120" w:line="360" w:lineRule="auto"/>
        <w:rPr>
          <w:rFonts w:cs="Arial"/>
          <w:b/>
          <w:bCs/>
          <w:sz w:val="24"/>
          <w:szCs w:val="24"/>
          <w:lang w:val="en-US"/>
        </w:rPr>
      </w:pPr>
      <w:r>
        <w:rPr>
          <w:rFonts w:cs="Arial"/>
          <w:b/>
          <w:bCs/>
          <w:sz w:val="24"/>
          <w:szCs w:val="24"/>
          <w:lang w:val="en-US"/>
        </w:rPr>
        <w:t>DSGE Model</w:t>
      </w:r>
    </w:p>
    <w:p w14:paraId="6CEE9430" w14:textId="5BE3A67E" w:rsidR="0094715A" w:rsidRPr="0094715A" w:rsidRDefault="0094715A" w:rsidP="00E27CA1">
      <w:pPr>
        <w:spacing w:before="120" w:after="120" w:line="360" w:lineRule="auto"/>
        <w:jc w:val="both"/>
        <w:rPr>
          <w:rFonts w:cs="Arial"/>
          <w:sz w:val="24"/>
          <w:szCs w:val="24"/>
          <w:lang w:val="en-US"/>
        </w:rPr>
      </w:pPr>
      <w:r w:rsidRPr="0094715A">
        <w:rPr>
          <w:rFonts w:cs="Arial"/>
          <w:sz w:val="24"/>
          <w:szCs w:val="24"/>
          <w:lang w:val="en-US"/>
        </w:rPr>
        <w:t>To evaluate the proposed transmission mechanism within a general equilibrium framework, we calibrate and simulate a Dynamic Stochastic General Equilibrium (DSGE) model derived from the theoretical structure outlined in Section</w:t>
      </w:r>
      <w:r>
        <w:rPr>
          <w:rFonts w:cs="Arial"/>
          <w:sz w:val="24"/>
          <w:szCs w:val="24"/>
          <w:lang w:val="en-US"/>
        </w:rPr>
        <w:t xml:space="preserve"> 2</w:t>
      </w:r>
      <w:r w:rsidRPr="0094715A">
        <w:rPr>
          <w:rFonts w:cs="Arial"/>
          <w:sz w:val="24"/>
          <w:szCs w:val="24"/>
          <w:lang w:val="en-US"/>
        </w:rPr>
        <w:t>. This model captures the interactions between economic uncertainty sentiment, the parallel (digital) BOB/USDT exchange rate, and inflation, specifically tailored to Bolivia's macroeconomic environment.</w:t>
      </w:r>
    </w:p>
    <w:p w14:paraId="0699AEDD" w14:textId="7ABADBF2" w:rsidR="0094715A" w:rsidRPr="0094715A" w:rsidRDefault="0094715A" w:rsidP="00E27CA1">
      <w:pPr>
        <w:spacing w:before="120" w:after="120" w:line="360" w:lineRule="auto"/>
        <w:jc w:val="both"/>
        <w:rPr>
          <w:rFonts w:cs="Arial"/>
          <w:sz w:val="24"/>
          <w:szCs w:val="24"/>
          <w:lang w:val="en-US"/>
        </w:rPr>
      </w:pPr>
      <w:r w:rsidRPr="0094715A">
        <w:rPr>
          <w:rFonts w:cs="Arial"/>
          <w:sz w:val="24"/>
          <w:szCs w:val="24"/>
          <w:lang w:val="en-US"/>
        </w:rPr>
        <w:t>The model's endogenous variables include the output gap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t</m:t>
            </m:r>
          </m:sub>
        </m:sSub>
      </m:oMath>
      <w:r w:rsidRPr="0094715A">
        <w:rPr>
          <w:rFonts w:cs="Arial"/>
          <w:sz w:val="24"/>
          <w:szCs w:val="24"/>
          <w:lang w:val="en-US"/>
        </w:rPr>
        <w:t>), inflation (</w:t>
      </w:r>
      <m:oMath>
        <m:sSub>
          <m:sSubPr>
            <m:ctrlPr>
              <w:rPr>
                <w:rFonts w:ascii="Cambria Math" w:hAnsi="Cambria Math" w:cs="Arial"/>
                <w:i/>
                <w:sz w:val="24"/>
                <w:szCs w:val="24"/>
                <w:lang w:val="en-US"/>
              </w:rPr>
            </m:ctrlPr>
          </m:sSubPr>
          <m:e>
            <m:r>
              <m:rPr>
                <m:sty m:val="p"/>
              </m:rPr>
              <w:rPr>
                <w:rFonts w:ascii="Cambria Math" w:hAnsi="Cambria Math" w:cs="Arial"/>
                <w:sz w:val="24"/>
                <w:szCs w:val="24"/>
                <w:lang w:val="en-US"/>
              </w:rPr>
              <m:t>π</m:t>
            </m:r>
            <m:ctrlPr>
              <w:rPr>
                <w:rFonts w:ascii="Cambria Math" w:hAnsi="Cambria Math" w:cs="Arial"/>
                <w:sz w:val="24"/>
                <w:szCs w:val="24"/>
                <w:lang w:val="en-US"/>
              </w:rPr>
            </m:ctrlPr>
          </m:e>
          <m:sub>
            <m:r>
              <w:rPr>
                <w:rFonts w:ascii="Cambria Math" w:hAnsi="Cambria Math" w:cs="Arial"/>
                <w:sz w:val="24"/>
                <w:szCs w:val="24"/>
                <w:lang w:val="en-US"/>
              </w:rPr>
              <m:t>t</m:t>
            </m:r>
          </m:sub>
        </m:sSub>
      </m:oMath>
      <w:r w:rsidRPr="0094715A">
        <w:rPr>
          <w:rFonts w:cs="Arial"/>
          <w:sz w:val="24"/>
          <w:szCs w:val="24"/>
          <w:lang w:val="en-US"/>
        </w:rPr>
        <w:t>), the nominal interest rate (</w:t>
      </w:r>
      <m:oMath>
        <m:sSub>
          <m:sSubPr>
            <m:ctrlPr>
              <w:rPr>
                <w:rFonts w:ascii="Cambria Math" w:hAnsi="Cambria Math" w:cs="Arial"/>
                <w:i/>
                <w:sz w:val="24"/>
                <w:szCs w:val="24"/>
                <w:lang w:val="en-US"/>
              </w:rPr>
            </m:ctrlPr>
          </m:sSubPr>
          <m:e>
            <m:r>
              <w:rPr>
                <w:rFonts w:ascii="Cambria Math" w:hAnsi="Cambria Math" w:cs="Arial"/>
                <w:sz w:val="24"/>
                <w:szCs w:val="24"/>
                <w:lang w:val="en-US"/>
              </w:rPr>
              <m:t>i</m:t>
            </m:r>
          </m:e>
          <m:sub>
            <m:r>
              <w:rPr>
                <w:rFonts w:ascii="Cambria Math" w:hAnsi="Cambria Math" w:cs="Arial"/>
                <w:sz w:val="24"/>
                <w:szCs w:val="24"/>
                <w:lang w:val="en-US"/>
              </w:rPr>
              <m:t>t</m:t>
            </m:r>
          </m:sub>
        </m:sSub>
      </m:oMath>
      <w:r w:rsidRPr="0094715A">
        <w:rPr>
          <w:rFonts w:cs="Arial"/>
          <w:sz w:val="24"/>
          <w:szCs w:val="24"/>
          <w:lang w:val="en-US"/>
        </w:rPr>
        <w:t>), the BOB/USDT parallel digital exchange rate (</w:t>
      </w:r>
      <m:oMath>
        <m:sSub>
          <m:sSubPr>
            <m:ctrlPr>
              <w:rPr>
                <w:rFonts w:ascii="Cambria Math" w:hAnsi="Cambria Math" w:cs="Arial"/>
                <w:i/>
                <w:sz w:val="24"/>
                <w:szCs w:val="24"/>
                <w:lang w:val="en-US"/>
              </w:rPr>
            </m:ctrlPr>
          </m:sSubPr>
          <m:e>
            <m:r>
              <w:rPr>
                <w:rFonts w:ascii="Cambria Math" w:hAnsi="Cambria Math" w:cs="Arial"/>
                <w:sz w:val="24"/>
                <w:szCs w:val="24"/>
                <w:lang w:val="en-US"/>
              </w:rPr>
              <m:t>e</m:t>
            </m:r>
          </m:e>
          <m:sub>
            <m:r>
              <w:rPr>
                <w:rFonts w:ascii="Cambria Math" w:hAnsi="Cambria Math" w:cs="Arial"/>
                <w:sz w:val="24"/>
                <w:szCs w:val="24"/>
                <w:lang w:val="en-US"/>
              </w:rPr>
              <m:t>t</m:t>
            </m:r>
          </m:sub>
        </m:sSub>
      </m:oMath>
      <w:r w:rsidRPr="0094715A">
        <w:rPr>
          <w:rFonts w:cs="Arial"/>
          <w:sz w:val="24"/>
          <w:szCs w:val="24"/>
          <w:lang w:val="en-US"/>
        </w:rPr>
        <w:t>), the economic uncertainty sentiment index (</w:t>
      </w:r>
      <m:oMath>
        <m:sSub>
          <m:sSubPr>
            <m:ctrlPr>
              <w:rPr>
                <w:rFonts w:ascii="Cambria Math" w:hAnsi="Cambria Math" w:cs="Arial"/>
                <w:i/>
                <w:sz w:val="24"/>
                <w:szCs w:val="24"/>
                <w:lang w:val="en-US"/>
              </w:rPr>
            </m:ctrlPr>
          </m:sSubPr>
          <m:e>
            <m:r>
              <w:rPr>
                <w:rFonts w:ascii="Cambria Math" w:hAnsi="Cambria Math" w:cs="Arial"/>
                <w:sz w:val="24"/>
                <w:szCs w:val="24"/>
                <w:lang w:val="en-US"/>
              </w:rPr>
              <m:t>s</m:t>
            </m:r>
          </m:e>
          <m:sub>
            <m:r>
              <w:rPr>
                <w:rFonts w:ascii="Cambria Math" w:hAnsi="Cambria Math" w:cs="Arial"/>
                <w:sz w:val="24"/>
                <w:szCs w:val="24"/>
                <w:lang w:val="en-US"/>
              </w:rPr>
              <m:t>t</m:t>
            </m:r>
          </m:sub>
        </m:sSub>
      </m:oMath>
      <w:r w:rsidRPr="0094715A">
        <w:rPr>
          <w:rFonts w:cs="Arial"/>
          <w:sz w:val="24"/>
          <w:szCs w:val="24"/>
          <w:lang w:val="en-US"/>
        </w:rPr>
        <w:t>), and the risk premium component (</w:t>
      </w:r>
      <m:oMath>
        <m:sSub>
          <m:sSubPr>
            <m:ctrlPr>
              <w:rPr>
                <w:rFonts w:ascii="Cambria Math" w:hAnsi="Cambria Math" w:cs="Arial"/>
                <w:i/>
                <w:sz w:val="24"/>
                <w:szCs w:val="24"/>
                <w:lang w:val="en-US"/>
              </w:rPr>
            </m:ctrlPr>
          </m:sSubPr>
          <m:e>
            <m:r>
              <m:rPr>
                <m:sty m:val="p"/>
              </m:rPr>
              <w:rPr>
                <w:rFonts w:ascii="Cambria Math" w:hAnsi="Cambria Math" w:cs="Arial"/>
                <w:sz w:val="24"/>
                <w:szCs w:val="24"/>
                <w:lang w:val="en-US"/>
              </w:rPr>
              <m:t>ψ</m:t>
            </m:r>
            <m:ctrlPr>
              <w:rPr>
                <w:rFonts w:ascii="Cambria Math" w:hAnsi="Cambria Math" w:cs="Arial"/>
                <w:sz w:val="24"/>
                <w:szCs w:val="24"/>
                <w:lang w:val="en-US"/>
              </w:rPr>
            </m:ctrlPr>
          </m:e>
          <m:sub>
            <m:r>
              <w:rPr>
                <w:rFonts w:ascii="Cambria Math" w:hAnsi="Cambria Math" w:cs="Arial"/>
                <w:sz w:val="24"/>
                <w:szCs w:val="24"/>
                <w:lang w:val="en-US"/>
              </w:rPr>
              <m:t>t</m:t>
            </m:r>
          </m:sub>
        </m:sSub>
      </m:oMath>
      <w:r w:rsidRPr="0094715A">
        <w:rPr>
          <w:rFonts w:cs="Arial"/>
          <w:sz w:val="24"/>
          <w:szCs w:val="24"/>
          <w:lang w:val="en-US"/>
        </w:rPr>
        <w:t>). The system is driven by four exogenous shocks: (i) uncertainty sentiment shock (</w:t>
      </w:r>
      <m:oMath>
        <m:sSubSup>
          <m:sSubSupPr>
            <m:ctrlPr>
              <w:rPr>
                <w:rFonts w:ascii="Cambria Math" w:hAnsi="Cambria Math" w:cs="Arial"/>
                <w:i/>
                <w:sz w:val="24"/>
                <w:szCs w:val="24"/>
                <w:lang w:val="en-US"/>
              </w:rPr>
            </m:ctrlPr>
          </m:sSubSupPr>
          <m:e>
            <m:r>
              <m:rPr>
                <m:sty m:val="p"/>
              </m:rPr>
              <w:rPr>
                <w:rFonts w:ascii="Cambria Math" w:hAnsi="Cambria Math" w:cs="Arial"/>
                <w:sz w:val="24"/>
                <w:szCs w:val="24"/>
                <w:lang w:val="en-US"/>
              </w:rPr>
              <m:t>ε</m:t>
            </m:r>
            <m:ctrlPr>
              <w:rPr>
                <w:rFonts w:ascii="Cambria Math" w:hAnsi="Cambria Math" w:cs="Arial"/>
                <w:sz w:val="24"/>
                <w:szCs w:val="24"/>
                <w:lang w:val="en-US"/>
              </w:rPr>
            </m:ctrlPr>
          </m:e>
          <m:sub>
            <m:r>
              <w:rPr>
                <w:rFonts w:ascii="Cambria Math" w:hAnsi="Cambria Math" w:cs="Arial"/>
                <w:sz w:val="24"/>
                <w:szCs w:val="24"/>
                <w:lang w:val="en-US"/>
              </w:rPr>
              <m:t>t</m:t>
            </m:r>
          </m:sub>
          <m:sup>
            <m:r>
              <w:rPr>
                <w:rFonts w:ascii="Cambria Math" w:hAnsi="Cambria Math" w:cs="Arial"/>
                <w:sz w:val="24"/>
                <w:szCs w:val="24"/>
                <w:lang w:val="en-US"/>
              </w:rPr>
              <m:t>s</m:t>
            </m:r>
          </m:sup>
        </m:sSubSup>
      </m:oMath>
      <w:r w:rsidRPr="0094715A">
        <w:rPr>
          <w:rFonts w:cs="Arial"/>
          <w:sz w:val="24"/>
          <w:szCs w:val="24"/>
          <w:lang w:val="en-US"/>
        </w:rPr>
        <w:t>), (ii) risk premium shock (</w:t>
      </w:r>
      <m:oMath>
        <m:sSubSup>
          <m:sSubSupPr>
            <m:ctrlPr>
              <w:rPr>
                <w:rFonts w:ascii="Cambria Math" w:hAnsi="Cambria Math" w:cs="Arial"/>
                <w:i/>
                <w:sz w:val="24"/>
                <w:szCs w:val="24"/>
                <w:lang w:val="en-US"/>
              </w:rPr>
            </m:ctrlPr>
          </m:sSubSupPr>
          <m:e>
            <m:r>
              <m:rPr>
                <m:sty m:val="p"/>
              </m:rPr>
              <w:rPr>
                <w:rFonts w:ascii="Cambria Math" w:hAnsi="Cambria Math" w:cs="Arial"/>
                <w:sz w:val="24"/>
                <w:szCs w:val="24"/>
                <w:lang w:val="en-US"/>
              </w:rPr>
              <m:t>ε</m:t>
            </m:r>
            <m:ctrlPr>
              <w:rPr>
                <w:rFonts w:ascii="Cambria Math" w:hAnsi="Cambria Math" w:cs="Arial"/>
                <w:sz w:val="24"/>
                <w:szCs w:val="24"/>
                <w:lang w:val="en-US"/>
              </w:rPr>
            </m:ctrlPr>
          </m:e>
          <m:sub>
            <m:r>
              <w:rPr>
                <w:rFonts w:ascii="Cambria Math" w:hAnsi="Cambria Math" w:cs="Arial"/>
                <w:sz w:val="24"/>
                <w:szCs w:val="24"/>
                <w:lang w:val="en-US"/>
              </w:rPr>
              <m:t>t</m:t>
            </m:r>
          </m:sub>
          <m:sup>
            <m:r>
              <m:rPr>
                <m:sty m:val="p"/>
              </m:rPr>
              <w:rPr>
                <w:rFonts w:ascii="Cambria Math" w:hAnsi="Cambria Math" w:cs="Arial"/>
                <w:sz w:val="24"/>
                <w:szCs w:val="24"/>
                <w:lang w:val="en-US"/>
              </w:rPr>
              <m:t>ψ</m:t>
            </m:r>
          </m:sup>
        </m:sSubSup>
      </m:oMath>
      <w:r w:rsidRPr="0094715A">
        <w:rPr>
          <w:rFonts w:cs="Arial"/>
          <w:sz w:val="24"/>
          <w:szCs w:val="24"/>
          <w:lang w:val="en-US"/>
        </w:rPr>
        <w:t>), (iii) cost-push (markup) shock (</w:t>
      </w:r>
      <m:oMath>
        <m:sSubSup>
          <m:sSubSupPr>
            <m:ctrlPr>
              <w:rPr>
                <w:rFonts w:ascii="Cambria Math" w:hAnsi="Cambria Math" w:cs="Arial"/>
                <w:i/>
                <w:sz w:val="24"/>
                <w:szCs w:val="24"/>
                <w:lang w:val="en-US"/>
              </w:rPr>
            </m:ctrlPr>
          </m:sSubSupPr>
          <m:e>
            <m:r>
              <m:rPr>
                <m:sty m:val="p"/>
              </m:rPr>
              <w:rPr>
                <w:rFonts w:ascii="Cambria Math" w:hAnsi="Cambria Math" w:cs="Arial"/>
                <w:sz w:val="24"/>
                <w:szCs w:val="24"/>
                <w:lang w:val="en-US"/>
              </w:rPr>
              <m:t>ε</m:t>
            </m:r>
            <m:ctrlPr>
              <w:rPr>
                <w:rFonts w:ascii="Cambria Math" w:hAnsi="Cambria Math" w:cs="Arial"/>
                <w:sz w:val="24"/>
                <w:szCs w:val="24"/>
                <w:lang w:val="en-US"/>
              </w:rPr>
            </m:ctrlPr>
          </m:e>
          <m:sub>
            <m:r>
              <w:rPr>
                <w:rFonts w:ascii="Cambria Math" w:hAnsi="Cambria Math" w:cs="Arial"/>
                <w:sz w:val="24"/>
                <w:szCs w:val="24"/>
                <w:lang w:val="en-US"/>
              </w:rPr>
              <m:t>t</m:t>
            </m:r>
          </m:sub>
          <m:sup>
            <m:r>
              <w:rPr>
                <w:rFonts w:ascii="Cambria Math" w:hAnsi="Cambria Math" w:cs="Arial"/>
                <w:sz w:val="24"/>
                <w:szCs w:val="24"/>
                <w:lang w:val="en-US"/>
              </w:rPr>
              <m:t>u</m:t>
            </m:r>
          </m:sup>
        </m:sSubSup>
      </m:oMath>
      <w:r w:rsidRPr="0094715A">
        <w:rPr>
          <w:rFonts w:cs="Arial"/>
          <w:sz w:val="24"/>
          <w:szCs w:val="24"/>
          <w:lang w:val="en-US"/>
        </w:rPr>
        <w:t>), and (iv) monetary policy shock (</w:t>
      </w:r>
      <m:oMath>
        <m:sSubSup>
          <m:sSubSupPr>
            <m:ctrlPr>
              <w:rPr>
                <w:rFonts w:ascii="Cambria Math" w:hAnsi="Cambria Math" w:cs="Arial"/>
                <w:i/>
                <w:sz w:val="24"/>
                <w:szCs w:val="24"/>
                <w:lang w:val="en-US"/>
              </w:rPr>
            </m:ctrlPr>
          </m:sSubSupPr>
          <m:e>
            <m:r>
              <m:rPr>
                <m:sty m:val="p"/>
              </m:rPr>
              <w:rPr>
                <w:rFonts w:ascii="Cambria Math" w:hAnsi="Cambria Math" w:cs="Arial"/>
                <w:sz w:val="24"/>
                <w:szCs w:val="24"/>
                <w:lang w:val="en-US"/>
              </w:rPr>
              <m:t>ε</m:t>
            </m:r>
            <m:ctrlPr>
              <w:rPr>
                <w:rFonts w:ascii="Cambria Math" w:hAnsi="Cambria Math" w:cs="Arial"/>
                <w:sz w:val="24"/>
                <w:szCs w:val="24"/>
                <w:lang w:val="en-US"/>
              </w:rPr>
            </m:ctrlPr>
          </m:e>
          <m:sub>
            <m:r>
              <w:rPr>
                <w:rFonts w:ascii="Cambria Math" w:hAnsi="Cambria Math" w:cs="Arial"/>
                <w:sz w:val="24"/>
                <w:szCs w:val="24"/>
                <w:lang w:val="en-US"/>
              </w:rPr>
              <m:t>t</m:t>
            </m:r>
          </m:sub>
          <m:sup>
            <m:r>
              <w:rPr>
                <w:rFonts w:ascii="Cambria Math" w:hAnsi="Cambria Math" w:cs="Arial"/>
                <w:sz w:val="24"/>
                <w:szCs w:val="24"/>
                <w:lang w:val="en-US"/>
              </w:rPr>
              <m:t>i</m:t>
            </m:r>
          </m:sup>
        </m:sSubSup>
      </m:oMath>
      <w:r w:rsidRPr="0094715A">
        <w:rPr>
          <w:rFonts w:cs="Arial"/>
          <w:sz w:val="24"/>
          <w:szCs w:val="24"/>
          <w:lang w:val="en-US"/>
        </w:rPr>
        <w:t>).</w:t>
      </w:r>
    </w:p>
    <w:p w14:paraId="04326B5D" w14:textId="50D611BA" w:rsidR="0094715A" w:rsidRDefault="0094715A" w:rsidP="00E27CA1">
      <w:pPr>
        <w:spacing w:before="120" w:after="120" w:line="360" w:lineRule="auto"/>
        <w:jc w:val="both"/>
        <w:rPr>
          <w:rFonts w:cs="Arial"/>
          <w:sz w:val="24"/>
          <w:szCs w:val="24"/>
          <w:lang w:val="en-US"/>
        </w:rPr>
      </w:pPr>
      <w:r w:rsidRPr="0094715A">
        <w:rPr>
          <w:rFonts w:cs="Arial"/>
          <w:sz w:val="24"/>
          <w:szCs w:val="24"/>
          <w:lang w:val="en-US"/>
        </w:rPr>
        <w:lastRenderedPageBreak/>
        <w:t>The model's equilibrium conditions are summarized as follows:</w:t>
      </w:r>
    </w:p>
    <w:p w14:paraId="427CF863" w14:textId="4F8B137B" w:rsidR="0094715A" w:rsidRPr="0094715A" w:rsidRDefault="00000000" w:rsidP="00E27CA1">
      <w:pPr>
        <w:spacing w:before="120" w:after="120" w:line="360" w:lineRule="auto"/>
        <w:jc w:val="both"/>
        <w:rPr>
          <w:rFonts w:ascii="Cambria Math" w:hAnsi="Cambria Math" w:cs="Arial"/>
          <w:sz w:val="24"/>
          <w:szCs w:val="24"/>
          <w:lang w:val="en-US"/>
          <w:oMath/>
        </w:rPr>
      </w:pPr>
      <m:oMathPara>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t</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m:rPr>
                  <m:sty m:val="p"/>
                </m:rPr>
                <w:rPr>
                  <w:rFonts w:ascii="Cambria Math" w:hAnsi="Cambria Math" w:cs="Arial"/>
                  <w:sz w:val="24"/>
                  <w:szCs w:val="24"/>
                  <w:lang w:val="en-US"/>
                </w:rPr>
                <m:t>ρ</m:t>
              </m:r>
            </m:e>
            <m:sub>
              <m:r>
                <w:rPr>
                  <w:rFonts w:ascii="Cambria Math" w:hAnsi="Cambria Math" w:cs="Arial"/>
                  <w:sz w:val="24"/>
                  <w:szCs w:val="24"/>
                  <w:lang w:val="en-US"/>
                </w:rPr>
                <m:t>x</m:t>
              </m:r>
            </m:sub>
          </m:sSub>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t-1</m:t>
              </m:r>
            </m:sub>
          </m:sSub>
          <m:r>
            <w:rPr>
              <w:rFonts w:ascii="Cambria Math" w:hAnsi="Cambria Math" w:cs="Arial"/>
              <w:sz w:val="24"/>
              <w:szCs w:val="24"/>
              <w:lang w:val="en-US"/>
            </w:rPr>
            <m:t>+</m:t>
          </m:r>
          <m:d>
            <m:dPr>
              <m:ctrlPr>
                <w:rPr>
                  <w:rFonts w:ascii="Cambria Math" w:hAnsi="Cambria Math" w:cs="Arial"/>
                  <w:i/>
                  <w:sz w:val="24"/>
                  <w:szCs w:val="24"/>
                  <w:lang w:val="en-US"/>
                </w:rPr>
              </m:ctrlPr>
            </m:dPr>
            <m:e>
              <m:r>
                <w:rPr>
                  <w:rFonts w:ascii="Cambria Math" w:hAnsi="Cambria Math" w:cs="Arial"/>
                  <w:sz w:val="24"/>
                  <w:szCs w:val="24"/>
                  <w:lang w:val="en-US"/>
                </w:rPr>
                <m:t>1-</m:t>
              </m:r>
              <m:sSub>
                <m:sSubPr>
                  <m:ctrlPr>
                    <w:rPr>
                      <w:rFonts w:ascii="Cambria Math" w:hAnsi="Cambria Math" w:cs="Arial"/>
                      <w:i/>
                      <w:sz w:val="24"/>
                      <w:szCs w:val="24"/>
                      <w:lang w:val="en-US"/>
                    </w:rPr>
                  </m:ctrlPr>
                </m:sSubPr>
                <m:e>
                  <m:r>
                    <m:rPr>
                      <m:sty m:val="p"/>
                    </m:rPr>
                    <w:rPr>
                      <w:rFonts w:ascii="Cambria Math" w:hAnsi="Cambria Math" w:cs="Arial"/>
                      <w:sz w:val="24"/>
                      <w:szCs w:val="24"/>
                      <w:lang w:val="en-US"/>
                    </w:rPr>
                    <m:t>ρ</m:t>
                  </m:r>
                </m:e>
                <m:sub>
                  <m:r>
                    <w:rPr>
                      <w:rFonts w:ascii="Cambria Math" w:hAnsi="Cambria Math" w:cs="Arial"/>
                      <w:sz w:val="24"/>
                      <w:szCs w:val="24"/>
                      <w:lang w:val="en-US"/>
                    </w:rPr>
                    <m:t>x</m:t>
                  </m:r>
                </m:sub>
              </m:sSub>
            </m:e>
          </m:d>
          <m:sSub>
            <m:sSubPr>
              <m:ctrlPr>
                <w:rPr>
                  <w:rFonts w:ascii="Cambria Math" w:hAnsi="Cambria Math" w:cs="Arial"/>
                  <w:i/>
                  <w:sz w:val="24"/>
                  <w:szCs w:val="24"/>
                  <w:lang w:val="en-US"/>
                </w:rPr>
              </m:ctrlPr>
            </m:sSubPr>
            <m:e>
              <m:r>
                <w:rPr>
                  <w:rFonts w:ascii="Cambria Math" w:hAnsi="Cambria Math" w:cs="Arial"/>
                  <w:sz w:val="24"/>
                  <w:szCs w:val="24"/>
                  <w:lang w:val="en-US"/>
                </w:rPr>
                <m:t>E</m:t>
              </m:r>
            </m:e>
            <m:sub>
              <m:r>
                <w:rPr>
                  <w:rFonts w:ascii="Cambria Math" w:hAnsi="Cambria Math" w:cs="Arial"/>
                  <w:sz w:val="24"/>
                  <w:szCs w:val="24"/>
                  <w:lang w:val="en-US"/>
                </w:rPr>
                <m:t>t</m:t>
              </m:r>
            </m:sub>
          </m:sSub>
          <m:d>
            <m:dPr>
              <m:begChr m:val="["/>
              <m:endChr m:val="]"/>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t+1</m:t>
                  </m:r>
                </m:sub>
              </m:sSub>
            </m:e>
          </m:d>
          <m:r>
            <w:rPr>
              <w:rFonts w:ascii="Cambria Math" w:hAnsi="Cambria Math" w:cs="Arial"/>
              <w:sz w:val="24"/>
              <w:szCs w:val="24"/>
              <w:lang w:val="en-US"/>
            </w:rPr>
            <m:t>-</m:t>
          </m:r>
          <m:r>
            <m:rPr>
              <m:sty m:val="p"/>
            </m:rPr>
            <w:rPr>
              <w:rFonts w:ascii="Cambria Math" w:hAnsi="Cambria Math" w:cs="Arial"/>
              <w:sz w:val="24"/>
              <w:szCs w:val="24"/>
              <w:lang w:val="en-US"/>
            </w:rPr>
            <m:t>ϕ</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i</m:t>
                  </m:r>
                </m:e>
                <m:sub>
                  <m:r>
                    <w:rPr>
                      <w:rFonts w:ascii="Cambria Math" w:hAnsi="Cambria Math" w:cs="Arial"/>
                      <w:sz w:val="24"/>
                      <w:szCs w:val="24"/>
                      <w:lang w:val="en-US"/>
                    </w:rPr>
                    <m:t>t</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E</m:t>
                  </m:r>
                </m:e>
                <m:sub>
                  <m:r>
                    <w:rPr>
                      <w:rFonts w:ascii="Cambria Math" w:hAnsi="Cambria Math" w:cs="Arial"/>
                      <w:sz w:val="24"/>
                      <w:szCs w:val="24"/>
                      <w:lang w:val="en-US"/>
                    </w:rPr>
                    <m:t>t</m:t>
                  </m:r>
                </m:sub>
              </m:sSub>
              <m:d>
                <m:dPr>
                  <m:begChr m:val="["/>
                  <m:endChr m:val="]"/>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m:rPr>
                          <m:sty m:val="p"/>
                        </m:rPr>
                        <w:rPr>
                          <w:rFonts w:ascii="Cambria Math" w:hAnsi="Cambria Math" w:cs="Arial"/>
                          <w:sz w:val="24"/>
                          <w:szCs w:val="24"/>
                          <w:lang w:val="en-US"/>
                        </w:rPr>
                        <m:t>π</m:t>
                      </m:r>
                    </m:e>
                    <m:sub>
                      <m:r>
                        <w:rPr>
                          <w:rFonts w:ascii="Cambria Math" w:hAnsi="Cambria Math" w:cs="Arial"/>
                          <w:sz w:val="24"/>
                          <w:szCs w:val="24"/>
                          <w:lang w:val="en-US"/>
                        </w:rPr>
                        <m:t>t+1</m:t>
                      </m:r>
                    </m:sub>
                  </m:sSub>
                </m:e>
              </m:d>
            </m:e>
          </m:d>
          <m:r>
            <w:rPr>
              <w:rFonts w:ascii="Cambria Math" w:hAnsi="Cambria Math" w:cs="Arial"/>
              <w:sz w:val="24"/>
              <w:szCs w:val="24"/>
              <w:lang w:val="en-US"/>
            </w:rPr>
            <m:t>-</m:t>
          </m:r>
          <m:sSub>
            <m:sSubPr>
              <m:ctrlPr>
                <w:rPr>
                  <w:rFonts w:ascii="Cambria Math" w:hAnsi="Cambria Math" w:cs="Arial"/>
                  <w:i/>
                  <w:sz w:val="24"/>
                  <w:szCs w:val="24"/>
                  <w:lang w:val="en-US"/>
                </w:rPr>
              </m:ctrlPr>
            </m:sSubPr>
            <m:e>
              <m:r>
                <m:rPr>
                  <m:sty m:val="p"/>
                </m:rPr>
                <w:rPr>
                  <w:rFonts w:ascii="Cambria Math" w:hAnsi="Cambria Math" w:cs="Arial"/>
                  <w:sz w:val="24"/>
                  <w:szCs w:val="24"/>
                  <w:lang w:val="en-US"/>
                </w:rPr>
                <m:t>ϕ</m:t>
              </m:r>
            </m:e>
            <m:sub>
              <m:r>
                <w:rPr>
                  <w:rFonts w:ascii="Cambria Math" w:hAnsi="Cambria Math" w:cs="Arial"/>
                  <w:sz w:val="24"/>
                  <w:szCs w:val="24"/>
                  <w:lang w:val="en-US"/>
                </w:rPr>
                <m:t>s</m:t>
              </m:r>
            </m:sub>
          </m:sSub>
          <m:sSub>
            <m:sSubPr>
              <m:ctrlPr>
                <w:rPr>
                  <w:rFonts w:ascii="Cambria Math" w:hAnsi="Cambria Math" w:cs="Arial"/>
                  <w:i/>
                  <w:sz w:val="24"/>
                  <w:szCs w:val="24"/>
                  <w:lang w:val="en-US"/>
                </w:rPr>
              </m:ctrlPr>
            </m:sSubPr>
            <m:e>
              <m:r>
                <w:rPr>
                  <w:rFonts w:ascii="Cambria Math" w:hAnsi="Cambria Math" w:cs="Arial"/>
                  <w:sz w:val="24"/>
                  <w:szCs w:val="24"/>
                  <w:lang w:val="en-US"/>
                </w:rPr>
                <m:t>s</m:t>
              </m:r>
            </m:e>
            <m:sub>
              <m:r>
                <w:rPr>
                  <w:rFonts w:ascii="Cambria Math" w:hAnsi="Cambria Math" w:cs="Arial"/>
                  <w:sz w:val="24"/>
                  <w:szCs w:val="24"/>
                  <w:lang w:val="en-US"/>
                </w:rPr>
                <m:t>t</m:t>
              </m:r>
            </m:sub>
          </m:sSub>
          <m:r>
            <w:rPr>
              <w:rFonts w:ascii="Cambria Math" w:hAnsi="Cambria Math" w:cs="Arial"/>
              <w:sz w:val="24"/>
              <w:szCs w:val="24"/>
              <w:lang w:val="en-US"/>
            </w:rPr>
            <m:t>,</m:t>
          </m:r>
          <m:r>
            <w:rPr>
              <w:rFonts w:ascii="Cambria Math" w:eastAsiaTheme="minorEastAsia" w:hAnsi="Cambria Math" w:cs="Arial"/>
              <w:sz w:val="24"/>
              <w:szCs w:val="24"/>
              <w:lang w:val="en-US"/>
            </w:rPr>
            <m:t xml:space="preserve">             (7)</m:t>
          </m:r>
        </m:oMath>
      </m:oMathPara>
    </w:p>
    <w:p w14:paraId="4F51C422" w14:textId="1F98410D" w:rsidR="0094715A" w:rsidRPr="0094715A" w:rsidRDefault="00000000" w:rsidP="00E27CA1">
      <w:pPr>
        <w:spacing w:before="120" w:after="120" w:line="360" w:lineRule="auto"/>
        <w:jc w:val="both"/>
        <w:rPr>
          <w:rFonts w:ascii="Cambria Math" w:hAnsi="Cambria Math" w:cs="Arial"/>
          <w:sz w:val="24"/>
          <w:szCs w:val="24"/>
          <w:lang w:val="en-US"/>
          <w:oMath/>
        </w:rPr>
      </w:pPr>
      <m:oMathPara>
        <m:oMath>
          <m:sSub>
            <m:sSubPr>
              <m:ctrlPr>
                <w:rPr>
                  <w:rFonts w:ascii="Cambria Math" w:hAnsi="Cambria Math" w:cs="Arial"/>
                  <w:i/>
                  <w:sz w:val="24"/>
                  <w:szCs w:val="24"/>
                  <w:lang w:val="en-US"/>
                </w:rPr>
              </m:ctrlPr>
            </m:sSubPr>
            <m:e>
              <m:r>
                <m:rPr>
                  <m:sty m:val="p"/>
                </m:rPr>
                <w:rPr>
                  <w:rFonts w:ascii="Cambria Math" w:hAnsi="Cambria Math" w:cs="Arial"/>
                  <w:sz w:val="24"/>
                  <w:szCs w:val="24"/>
                  <w:lang w:val="en-US"/>
                </w:rPr>
                <m:t>π</m:t>
              </m:r>
              <m:ctrlPr>
                <w:rPr>
                  <w:rFonts w:ascii="Cambria Math" w:hAnsi="Cambria Math" w:cs="Arial"/>
                  <w:sz w:val="24"/>
                  <w:szCs w:val="24"/>
                  <w:lang w:val="en-US"/>
                </w:rPr>
              </m:ctrlPr>
            </m:e>
            <m:sub>
              <m:r>
                <w:rPr>
                  <w:rFonts w:ascii="Cambria Math" w:hAnsi="Cambria Math" w:cs="Arial"/>
                  <w:sz w:val="24"/>
                  <w:szCs w:val="24"/>
                  <w:lang w:val="en-US"/>
                </w:rPr>
                <m:t>t</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m:rPr>
                  <m:sty m:val="p"/>
                </m:rPr>
                <w:rPr>
                  <w:rFonts w:ascii="Cambria Math" w:hAnsi="Cambria Math" w:cs="Arial"/>
                  <w:sz w:val="24"/>
                  <w:szCs w:val="24"/>
                  <w:lang w:val="en-US"/>
                </w:rPr>
                <m:t>γ</m:t>
              </m:r>
            </m:e>
            <m:sub>
              <m:r>
                <w:rPr>
                  <w:rFonts w:ascii="Cambria Math" w:hAnsi="Cambria Math" w:cs="Arial"/>
                  <w:sz w:val="24"/>
                  <w:szCs w:val="24"/>
                  <w:lang w:val="en-US"/>
                </w:rPr>
                <m:t>f</m:t>
              </m:r>
            </m:sub>
          </m:sSub>
          <m:r>
            <m:rPr>
              <m:sty m:val="p"/>
            </m:rPr>
            <w:rPr>
              <w:rFonts w:ascii="Cambria Math" w:hAnsi="Cambria Math" w:cs="Arial"/>
              <w:sz w:val="24"/>
              <w:szCs w:val="24"/>
              <w:lang w:val="en-US"/>
            </w:rPr>
            <m:t>β</m:t>
          </m:r>
          <m:sSub>
            <m:sSubPr>
              <m:ctrlPr>
                <w:rPr>
                  <w:rFonts w:ascii="Cambria Math" w:hAnsi="Cambria Math" w:cs="Arial"/>
                  <w:i/>
                  <w:sz w:val="24"/>
                  <w:szCs w:val="24"/>
                  <w:lang w:val="en-US"/>
                </w:rPr>
              </m:ctrlPr>
            </m:sSubPr>
            <m:e>
              <m:r>
                <w:rPr>
                  <w:rFonts w:ascii="Cambria Math" w:hAnsi="Cambria Math" w:cs="Arial"/>
                  <w:sz w:val="24"/>
                  <w:szCs w:val="24"/>
                  <w:lang w:val="en-US"/>
                </w:rPr>
                <m:t>E</m:t>
              </m:r>
            </m:e>
            <m:sub>
              <m:r>
                <w:rPr>
                  <w:rFonts w:ascii="Cambria Math" w:hAnsi="Cambria Math" w:cs="Arial"/>
                  <w:sz w:val="24"/>
                  <w:szCs w:val="24"/>
                  <w:lang w:val="en-US"/>
                </w:rPr>
                <m:t>t</m:t>
              </m:r>
            </m:sub>
          </m:sSub>
          <m:d>
            <m:dPr>
              <m:begChr m:val="["/>
              <m:endChr m:val="]"/>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m:rPr>
                      <m:sty m:val="p"/>
                    </m:rPr>
                    <w:rPr>
                      <w:rFonts w:ascii="Cambria Math" w:hAnsi="Cambria Math" w:cs="Arial"/>
                      <w:sz w:val="24"/>
                      <w:szCs w:val="24"/>
                      <w:lang w:val="en-US"/>
                    </w:rPr>
                    <m:t>π</m:t>
                  </m:r>
                </m:e>
                <m:sub>
                  <m:r>
                    <w:rPr>
                      <w:rFonts w:ascii="Cambria Math" w:hAnsi="Cambria Math" w:cs="Arial"/>
                      <w:sz w:val="24"/>
                      <w:szCs w:val="24"/>
                      <w:lang w:val="en-US"/>
                    </w:rPr>
                    <m:t>t+1</m:t>
                  </m:r>
                </m:sub>
              </m:sSub>
            </m:e>
          </m:d>
          <m:r>
            <w:rPr>
              <w:rFonts w:ascii="Cambria Math" w:hAnsi="Cambria Math" w:cs="Arial"/>
              <w:sz w:val="24"/>
              <w:szCs w:val="24"/>
              <w:lang w:val="en-US"/>
            </w:rPr>
            <m:t>+</m:t>
          </m:r>
          <m:sSub>
            <m:sSubPr>
              <m:ctrlPr>
                <w:rPr>
                  <w:rFonts w:ascii="Cambria Math" w:hAnsi="Cambria Math" w:cs="Arial"/>
                  <w:i/>
                  <w:sz w:val="24"/>
                  <w:szCs w:val="24"/>
                  <w:lang w:val="en-US"/>
                </w:rPr>
              </m:ctrlPr>
            </m:sSubPr>
            <m:e>
              <m:r>
                <m:rPr>
                  <m:sty m:val="p"/>
                </m:rPr>
                <w:rPr>
                  <w:rFonts w:ascii="Cambria Math" w:hAnsi="Cambria Math" w:cs="Arial"/>
                  <w:sz w:val="24"/>
                  <w:szCs w:val="24"/>
                  <w:lang w:val="en-US"/>
                </w:rPr>
                <m:t>γ</m:t>
              </m:r>
            </m:e>
            <m:sub>
              <m:r>
                <w:rPr>
                  <w:rFonts w:ascii="Cambria Math" w:hAnsi="Cambria Math" w:cs="Arial"/>
                  <w:sz w:val="24"/>
                  <w:szCs w:val="24"/>
                  <w:lang w:val="en-US"/>
                </w:rPr>
                <m:t>b</m:t>
              </m:r>
            </m:sub>
          </m:sSub>
          <m:sSub>
            <m:sSubPr>
              <m:ctrlPr>
                <w:rPr>
                  <w:rFonts w:ascii="Cambria Math" w:hAnsi="Cambria Math" w:cs="Arial"/>
                  <w:i/>
                  <w:sz w:val="24"/>
                  <w:szCs w:val="24"/>
                  <w:lang w:val="en-US"/>
                </w:rPr>
              </m:ctrlPr>
            </m:sSubPr>
            <m:e>
              <m:r>
                <m:rPr>
                  <m:sty m:val="p"/>
                </m:rPr>
                <w:rPr>
                  <w:rFonts w:ascii="Cambria Math" w:hAnsi="Cambria Math" w:cs="Arial"/>
                  <w:sz w:val="24"/>
                  <w:szCs w:val="24"/>
                  <w:lang w:val="en-US"/>
                </w:rPr>
                <m:t>π</m:t>
              </m:r>
              <m:ctrlPr>
                <w:rPr>
                  <w:rFonts w:ascii="Cambria Math" w:hAnsi="Cambria Math" w:cs="Arial"/>
                  <w:sz w:val="24"/>
                  <w:szCs w:val="24"/>
                  <w:lang w:val="en-US"/>
                </w:rPr>
              </m:ctrlPr>
            </m:e>
            <m:sub>
              <m:r>
                <w:rPr>
                  <w:rFonts w:ascii="Cambria Math" w:hAnsi="Cambria Math" w:cs="Arial"/>
                  <w:sz w:val="24"/>
                  <w:szCs w:val="24"/>
                  <w:lang w:val="en-US"/>
                </w:rPr>
                <m:t>t-1</m:t>
              </m:r>
            </m:sub>
          </m:sSub>
          <m:r>
            <w:rPr>
              <w:rFonts w:ascii="Cambria Math" w:hAnsi="Cambria Math" w:cs="Arial"/>
              <w:sz w:val="24"/>
              <w:szCs w:val="24"/>
              <w:lang w:val="en-US"/>
            </w:rPr>
            <m:t>+</m:t>
          </m:r>
          <m:r>
            <m:rPr>
              <m:sty m:val="p"/>
            </m:rPr>
            <w:rPr>
              <w:rFonts w:ascii="Cambria Math" w:hAnsi="Cambria Math" w:cs="Arial"/>
              <w:sz w:val="24"/>
              <w:szCs w:val="24"/>
              <w:lang w:val="en-US"/>
            </w:rPr>
            <m:t>κ</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t</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m:rPr>
                  <m:sty m:val="p"/>
                </m:rPr>
                <w:rPr>
                  <w:rFonts w:ascii="Cambria Math" w:hAnsi="Cambria Math" w:cs="Arial"/>
                  <w:sz w:val="24"/>
                  <w:szCs w:val="24"/>
                  <w:lang w:val="en-US"/>
                </w:rPr>
                <m:t>ϕ</m:t>
              </m:r>
            </m:e>
            <m:sub>
              <m:r>
                <w:rPr>
                  <w:rFonts w:ascii="Cambria Math" w:hAnsi="Cambria Math" w:cs="Arial"/>
                  <w:sz w:val="24"/>
                  <w:szCs w:val="24"/>
                  <w:lang w:val="en-US"/>
                </w:rPr>
                <m:t>e</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e</m:t>
                  </m:r>
                </m:e>
                <m:sub>
                  <m:r>
                    <w:rPr>
                      <w:rFonts w:ascii="Cambria Math" w:hAnsi="Cambria Math" w:cs="Arial"/>
                      <w:sz w:val="24"/>
                      <w:szCs w:val="24"/>
                      <w:lang w:val="en-US"/>
                    </w:rPr>
                    <m:t>t</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e</m:t>
                  </m:r>
                </m:e>
                <m:sub>
                  <m:r>
                    <w:rPr>
                      <w:rFonts w:ascii="Cambria Math" w:hAnsi="Cambria Math" w:cs="Arial"/>
                      <w:sz w:val="24"/>
                      <w:szCs w:val="24"/>
                      <w:lang w:val="en-US"/>
                    </w:rPr>
                    <m:t>t-1</m:t>
                  </m:r>
                </m:sub>
              </m:sSub>
            </m:e>
          </m:d>
          <m:r>
            <w:rPr>
              <w:rFonts w:ascii="Cambria Math" w:hAnsi="Cambria Math" w:cs="Arial"/>
              <w:sz w:val="24"/>
              <w:szCs w:val="24"/>
              <w:lang w:val="en-US"/>
            </w:rPr>
            <m:t>+</m:t>
          </m:r>
          <m:sSubSup>
            <m:sSubSupPr>
              <m:ctrlPr>
                <w:rPr>
                  <w:rFonts w:ascii="Cambria Math" w:hAnsi="Cambria Math" w:cs="Arial"/>
                  <w:i/>
                  <w:sz w:val="24"/>
                  <w:szCs w:val="24"/>
                  <w:lang w:val="en-US"/>
                </w:rPr>
              </m:ctrlPr>
            </m:sSubSupPr>
            <m:e>
              <m:r>
                <m:rPr>
                  <m:sty m:val="p"/>
                </m:rPr>
                <w:rPr>
                  <w:rFonts w:ascii="Cambria Math" w:hAnsi="Cambria Math" w:cs="Arial"/>
                  <w:sz w:val="24"/>
                  <w:szCs w:val="24"/>
                  <w:lang w:val="en-US"/>
                </w:rPr>
                <m:t>ε</m:t>
              </m:r>
            </m:e>
            <m:sub>
              <m:r>
                <w:rPr>
                  <w:rFonts w:ascii="Cambria Math" w:hAnsi="Cambria Math" w:cs="Arial"/>
                  <w:sz w:val="24"/>
                  <w:szCs w:val="24"/>
                  <w:lang w:val="en-US"/>
                </w:rPr>
                <m:t>t</m:t>
              </m:r>
            </m:sub>
            <m:sup>
              <m:r>
                <w:rPr>
                  <w:rFonts w:ascii="Cambria Math" w:hAnsi="Cambria Math" w:cs="Arial"/>
                  <w:sz w:val="24"/>
                  <w:szCs w:val="24"/>
                  <w:lang w:val="en-US"/>
                </w:rPr>
                <m:t>u</m:t>
              </m:r>
            </m:sup>
          </m:sSubSup>
          <m:r>
            <w:rPr>
              <w:rFonts w:ascii="Cambria Math" w:hAnsi="Cambria Math" w:cs="Arial"/>
              <w:sz w:val="24"/>
              <w:szCs w:val="24"/>
              <w:lang w:val="en-US"/>
            </w:rPr>
            <m:t>,</m:t>
          </m:r>
          <m:r>
            <w:rPr>
              <w:rFonts w:ascii="Cambria Math" w:eastAsiaTheme="minorEastAsia" w:hAnsi="Cambria Math" w:cs="Arial"/>
              <w:sz w:val="24"/>
              <w:szCs w:val="24"/>
              <w:lang w:val="en-US"/>
            </w:rPr>
            <m:t xml:space="preserve">             (8)</m:t>
          </m:r>
        </m:oMath>
      </m:oMathPara>
    </w:p>
    <w:p w14:paraId="0EDE21D9" w14:textId="27C8E448" w:rsidR="0094715A" w:rsidRPr="0094715A" w:rsidRDefault="00000000" w:rsidP="00E27CA1">
      <w:pPr>
        <w:spacing w:before="120" w:after="120" w:line="360" w:lineRule="auto"/>
        <w:jc w:val="both"/>
        <w:rPr>
          <w:rFonts w:ascii="Cambria Math" w:hAnsi="Cambria Math" w:cs="Arial"/>
          <w:sz w:val="24"/>
          <w:szCs w:val="24"/>
          <w:lang w:val="en-US"/>
          <w:oMath/>
        </w:rPr>
      </w:pPr>
      <m:oMathPara>
        <m:oMath>
          <m:sSub>
            <m:sSubPr>
              <m:ctrlPr>
                <w:rPr>
                  <w:rFonts w:ascii="Cambria Math" w:hAnsi="Cambria Math" w:cs="Arial"/>
                  <w:i/>
                  <w:sz w:val="24"/>
                  <w:szCs w:val="24"/>
                  <w:lang w:val="en-US"/>
                </w:rPr>
              </m:ctrlPr>
            </m:sSubPr>
            <m:e>
              <m:r>
                <w:rPr>
                  <w:rFonts w:ascii="Cambria Math" w:hAnsi="Cambria Math" w:cs="Arial"/>
                  <w:sz w:val="24"/>
                  <w:szCs w:val="24"/>
                  <w:lang w:val="en-US"/>
                </w:rPr>
                <m:t>i</m:t>
              </m:r>
            </m:e>
            <m:sub>
              <m:r>
                <w:rPr>
                  <w:rFonts w:ascii="Cambria Math" w:hAnsi="Cambria Math" w:cs="Arial"/>
                  <w:sz w:val="24"/>
                  <w:szCs w:val="24"/>
                  <w:lang w:val="en-US"/>
                </w:rPr>
                <m:t>t</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m:rPr>
                  <m:sty m:val="p"/>
                </m:rPr>
                <w:rPr>
                  <w:rFonts w:ascii="Cambria Math" w:hAnsi="Cambria Math" w:cs="Arial"/>
                  <w:sz w:val="24"/>
                  <w:szCs w:val="24"/>
                  <w:lang w:val="en-US"/>
                </w:rPr>
                <m:t>ρ</m:t>
              </m:r>
            </m:e>
            <m:sub>
              <m:r>
                <w:rPr>
                  <w:rFonts w:ascii="Cambria Math" w:hAnsi="Cambria Math" w:cs="Arial"/>
                  <w:sz w:val="24"/>
                  <w:szCs w:val="24"/>
                  <w:lang w:val="en-US"/>
                </w:rPr>
                <m:t>i</m:t>
              </m:r>
            </m:sub>
          </m:sSub>
          <m:sSub>
            <m:sSubPr>
              <m:ctrlPr>
                <w:rPr>
                  <w:rFonts w:ascii="Cambria Math" w:hAnsi="Cambria Math" w:cs="Arial"/>
                  <w:i/>
                  <w:sz w:val="24"/>
                  <w:szCs w:val="24"/>
                  <w:lang w:val="en-US"/>
                </w:rPr>
              </m:ctrlPr>
            </m:sSubPr>
            <m:e>
              <m:r>
                <w:rPr>
                  <w:rFonts w:ascii="Cambria Math" w:hAnsi="Cambria Math" w:cs="Arial"/>
                  <w:sz w:val="24"/>
                  <w:szCs w:val="24"/>
                  <w:lang w:val="en-US"/>
                </w:rPr>
                <m:t>i</m:t>
              </m:r>
            </m:e>
            <m:sub>
              <m:r>
                <w:rPr>
                  <w:rFonts w:ascii="Cambria Math" w:hAnsi="Cambria Math" w:cs="Arial"/>
                  <w:sz w:val="24"/>
                  <w:szCs w:val="24"/>
                  <w:lang w:val="en-US"/>
                </w:rPr>
                <m:t>t-1</m:t>
              </m:r>
            </m:sub>
          </m:sSub>
          <m:r>
            <w:rPr>
              <w:rFonts w:ascii="Cambria Math" w:hAnsi="Cambria Math" w:cs="Arial"/>
              <w:sz w:val="24"/>
              <w:szCs w:val="24"/>
              <w:lang w:val="en-US"/>
            </w:rPr>
            <m:t>+</m:t>
          </m:r>
          <m:d>
            <m:dPr>
              <m:ctrlPr>
                <w:rPr>
                  <w:rFonts w:ascii="Cambria Math" w:hAnsi="Cambria Math" w:cs="Arial"/>
                  <w:i/>
                  <w:sz w:val="24"/>
                  <w:szCs w:val="24"/>
                  <w:lang w:val="en-US"/>
                </w:rPr>
              </m:ctrlPr>
            </m:dPr>
            <m:e>
              <m:r>
                <w:rPr>
                  <w:rFonts w:ascii="Cambria Math" w:hAnsi="Cambria Math" w:cs="Arial"/>
                  <w:sz w:val="24"/>
                  <w:szCs w:val="24"/>
                  <w:lang w:val="en-US"/>
                </w:rPr>
                <m:t>1-</m:t>
              </m:r>
              <m:sSub>
                <m:sSubPr>
                  <m:ctrlPr>
                    <w:rPr>
                      <w:rFonts w:ascii="Cambria Math" w:hAnsi="Cambria Math" w:cs="Arial"/>
                      <w:i/>
                      <w:sz w:val="24"/>
                      <w:szCs w:val="24"/>
                      <w:lang w:val="en-US"/>
                    </w:rPr>
                  </m:ctrlPr>
                </m:sSubPr>
                <m:e>
                  <m:r>
                    <m:rPr>
                      <m:sty m:val="p"/>
                    </m:rPr>
                    <w:rPr>
                      <w:rFonts w:ascii="Cambria Math" w:hAnsi="Cambria Math" w:cs="Arial"/>
                      <w:sz w:val="24"/>
                      <w:szCs w:val="24"/>
                      <w:lang w:val="en-US"/>
                    </w:rPr>
                    <m:t>ρ</m:t>
                  </m:r>
                </m:e>
                <m:sub>
                  <m:r>
                    <w:rPr>
                      <w:rFonts w:ascii="Cambria Math" w:hAnsi="Cambria Math" w:cs="Arial"/>
                      <w:sz w:val="24"/>
                      <w:szCs w:val="24"/>
                      <w:lang w:val="en-US"/>
                    </w:rPr>
                    <m:t>i</m:t>
                  </m:r>
                </m:sub>
              </m:sSub>
            </m:e>
          </m:d>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m:rPr>
                      <m:sty m:val="p"/>
                    </m:rPr>
                    <w:rPr>
                      <w:rFonts w:ascii="Cambria Math" w:hAnsi="Cambria Math" w:cs="Arial"/>
                      <w:sz w:val="24"/>
                      <w:szCs w:val="24"/>
                      <w:lang w:val="en-US"/>
                    </w:rPr>
                    <m:t>ϕ</m:t>
                  </m:r>
                </m:e>
                <m:sub>
                  <m:r>
                    <m:rPr>
                      <m:sty m:val="p"/>
                    </m:rPr>
                    <w:rPr>
                      <w:rFonts w:ascii="Cambria Math" w:hAnsi="Cambria Math" w:cs="Arial"/>
                      <w:sz w:val="24"/>
                      <w:szCs w:val="24"/>
                      <w:lang w:val="en-US"/>
                    </w:rPr>
                    <m:t>π</m:t>
                  </m:r>
                </m:sub>
              </m:sSub>
              <m:sSub>
                <m:sSubPr>
                  <m:ctrlPr>
                    <w:rPr>
                      <w:rFonts w:ascii="Cambria Math" w:hAnsi="Cambria Math" w:cs="Arial"/>
                      <w:i/>
                      <w:sz w:val="24"/>
                      <w:szCs w:val="24"/>
                      <w:lang w:val="en-US"/>
                    </w:rPr>
                  </m:ctrlPr>
                </m:sSubPr>
                <m:e>
                  <m:r>
                    <m:rPr>
                      <m:sty m:val="p"/>
                    </m:rPr>
                    <w:rPr>
                      <w:rFonts w:ascii="Cambria Math" w:hAnsi="Cambria Math" w:cs="Arial"/>
                      <w:sz w:val="24"/>
                      <w:szCs w:val="24"/>
                      <w:lang w:val="en-US"/>
                    </w:rPr>
                    <m:t>π</m:t>
                  </m:r>
                  <m:ctrlPr>
                    <w:rPr>
                      <w:rFonts w:ascii="Cambria Math" w:hAnsi="Cambria Math" w:cs="Arial"/>
                      <w:sz w:val="24"/>
                      <w:szCs w:val="24"/>
                      <w:lang w:val="en-US"/>
                    </w:rPr>
                  </m:ctrlPr>
                </m:e>
                <m:sub>
                  <m:r>
                    <w:rPr>
                      <w:rFonts w:ascii="Cambria Math" w:hAnsi="Cambria Math" w:cs="Arial"/>
                      <w:sz w:val="24"/>
                      <w:szCs w:val="24"/>
                      <w:lang w:val="en-US"/>
                    </w:rPr>
                    <m:t>t</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m:rPr>
                      <m:sty m:val="p"/>
                    </m:rPr>
                    <w:rPr>
                      <w:rFonts w:ascii="Cambria Math" w:hAnsi="Cambria Math" w:cs="Arial"/>
                      <w:sz w:val="24"/>
                      <w:szCs w:val="24"/>
                      <w:lang w:val="en-US"/>
                    </w:rPr>
                    <m:t>ϕ</m:t>
                  </m:r>
                </m:e>
                <m:sub>
                  <m:r>
                    <w:rPr>
                      <w:rFonts w:ascii="Cambria Math" w:hAnsi="Cambria Math" w:cs="Arial"/>
                      <w:sz w:val="24"/>
                      <w:szCs w:val="24"/>
                      <w:lang w:val="en-US"/>
                    </w:rPr>
                    <m:t>x</m:t>
                  </m:r>
                </m:sub>
              </m:sSub>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t</m:t>
                  </m:r>
                </m:sub>
              </m:sSub>
            </m:e>
          </m:d>
          <m:r>
            <w:rPr>
              <w:rFonts w:ascii="Cambria Math" w:hAnsi="Cambria Math" w:cs="Arial"/>
              <w:sz w:val="24"/>
              <w:szCs w:val="24"/>
              <w:lang w:val="en-US"/>
            </w:rPr>
            <m:t>+</m:t>
          </m:r>
          <m:sSubSup>
            <m:sSubSupPr>
              <m:ctrlPr>
                <w:rPr>
                  <w:rFonts w:ascii="Cambria Math" w:hAnsi="Cambria Math" w:cs="Arial"/>
                  <w:i/>
                  <w:sz w:val="24"/>
                  <w:szCs w:val="24"/>
                  <w:lang w:val="en-US"/>
                </w:rPr>
              </m:ctrlPr>
            </m:sSubSupPr>
            <m:e>
              <m:r>
                <m:rPr>
                  <m:sty m:val="p"/>
                </m:rPr>
                <w:rPr>
                  <w:rFonts w:ascii="Cambria Math" w:hAnsi="Cambria Math" w:cs="Arial"/>
                  <w:sz w:val="24"/>
                  <w:szCs w:val="24"/>
                  <w:lang w:val="en-US"/>
                </w:rPr>
                <m:t>ε</m:t>
              </m:r>
            </m:e>
            <m:sub>
              <m:r>
                <w:rPr>
                  <w:rFonts w:ascii="Cambria Math" w:hAnsi="Cambria Math" w:cs="Arial"/>
                  <w:sz w:val="24"/>
                  <w:szCs w:val="24"/>
                  <w:lang w:val="en-US"/>
                </w:rPr>
                <m:t>t</m:t>
              </m:r>
            </m:sub>
            <m:sup>
              <m:r>
                <w:rPr>
                  <w:rFonts w:ascii="Cambria Math" w:hAnsi="Cambria Math" w:cs="Arial"/>
                  <w:sz w:val="24"/>
                  <w:szCs w:val="24"/>
                  <w:lang w:val="en-US"/>
                </w:rPr>
                <m:t>i</m:t>
              </m:r>
            </m:sup>
          </m:sSubSup>
          <m:r>
            <w:rPr>
              <w:rFonts w:ascii="Cambria Math" w:hAnsi="Cambria Math" w:cs="Arial"/>
              <w:sz w:val="24"/>
              <w:szCs w:val="24"/>
              <w:lang w:val="en-US"/>
            </w:rPr>
            <m:t>,</m:t>
          </m:r>
          <m:r>
            <w:rPr>
              <w:rFonts w:ascii="Cambria Math" w:eastAsiaTheme="minorEastAsia" w:hAnsi="Cambria Math" w:cs="Arial"/>
              <w:sz w:val="24"/>
              <w:szCs w:val="24"/>
              <w:lang w:val="en-US"/>
            </w:rPr>
            <m:t xml:space="preserve">             (9)</m:t>
          </m:r>
        </m:oMath>
      </m:oMathPara>
    </w:p>
    <w:p w14:paraId="7AC53EF8" w14:textId="01BF2413" w:rsidR="0094715A" w:rsidRPr="0094715A" w:rsidRDefault="00000000" w:rsidP="00E27CA1">
      <w:pPr>
        <w:spacing w:before="120" w:after="120" w:line="360" w:lineRule="auto"/>
        <w:jc w:val="both"/>
        <w:rPr>
          <w:rFonts w:ascii="Cambria Math" w:hAnsi="Cambria Math" w:cs="Arial"/>
          <w:sz w:val="24"/>
          <w:szCs w:val="24"/>
          <w:lang w:val="en-US"/>
          <w:oMath/>
        </w:rPr>
      </w:pPr>
      <m:oMathPara>
        <m:oMath>
          <m:sSub>
            <m:sSubPr>
              <m:ctrlPr>
                <w:rPr>
                  <w:rFonts w:ascii="Cambria Math" w:hAnsi="Cambria Math" w:cs="Arial"/>
                  <w:i/>
                  <w:sz w:val="24"/>
                  <w:szCs w:val="24"/>
                  <w:lang w:val="en-US"/>
                </w:rPr>
              </m:ctrlPr>
            </m:sSubPr>
            <m:e>
              <m:r>
                <w:rPr>
                  <w:rFonts w:ascii="Cambria Math" w:hAnsi="Cambria Math" w:cs="Arial"/>
                  <w:sz w:val="24"/>
                  <w:szCs w:val="24"/>
                  <w:lang w:val="en-US"/>
                </w:rPr>
                <m:t>e</m:t>
              </m:r>
            </m:e>
            <m:sub>
              <m:r>
                <w:rPr>
                  <w:rFonts w:ascii="Cambria Math" w:hAnsi="Cambria Math" w:cs="Arial"/>
                  <w:sz w:val="24"/>
                  <w:szCs w:val="24"/>
                  <w:lang w:val="en-US"/>
                </w:rPr>
                <m:t>t</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e</m:t>
              </m:r>
            </m:e>
            <m:sub>
              <m:r>
                <w:rPr>
                  <w:rFonts w:ascii="Cambria Math" w:hAnsi="Cambria Math" w:cs="Arial"/>
                  <w:sz w:val="24"/>
                  <w:szCs w:val="24"/>
                  <w:lang w:val="en-US"/>
                </w:rPr>
                <m:t>t-1</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m:rPr>
                  <m:sty m:val="p"/>
                </m:rPr>
                <w:rPr>
                  <w:rFonts w:ascii="Cambria Math" w:hAnsi="Cambria Math" w:cs="Arial"/>
                  <w:sz w:val="24"/>
                  <w:szCs w:val="24"/>
                  <w:lang w:val="en-US"/>
                </w:rPr>
                <m:t>γ</m:t>
              </m:r>
            </m:e>
            <m:sub>
              <m:r>
                <w:rPr>
                  <w:rFonts w:ascii="Cambria Math" w:hAnsi="Cambria Math" w:cs="Arial"/>
                  <w:sz w:val="24"/>
                  <w:szCs w:val="24"/>
                  <w:lang w:val="en-US"/>
                </w:rPr>
                <m:t>s</m:t>
              </m:r>
            </m:sub>
          </m:sSub>
          <m:sSub>
            <m:sSubPr>
              <m:ctrlPr>
                <w:rPr>
                  <w:rFonts w:ascii="Cambria Math" w:hAnsi="Cambria Math" w:cs="Arial"/>
                  <w:i/>
                  <w:sz w:val="24"/>
                  <w:szCs w:val="24"/>
                  <w:lang w:val="en-US"/>
                </w:rPr>
              </m:ctrlPr>
            </m:sSubPr>
            <m:e>
              <m:r>
                <w:rPr>
                  <w:rFonts w:ascii="Cambria Math" w:hAnsi="Cambria Math" w:cs="Arial"/>
                  <w:sz w:val="24"/>
                  <w:szCs w:val="24"/>
                  <w:lang w:val="en-US"/>
                </w:rPr>
                <m:t>s</m:t>
              </m:r>
            </m:e>
            <m:sub>
              <m:r>
                <w:rPr>
                  <w:rFonts w:ascii="Cambria Math" w:hAnsi="Cambria Math" w:cs="Arial"/>
                  <w:sz w:val="24"/>
                  <w:szCs w:val="24"/>
                  <w:lang w:val="en-US"/>
                </w:rPr>
                <m:t>t</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m:rPr>
                  <m:sty m:val="p"/>
                </m:rPr>
                <w:rPr>
                  <w:rFonts w:ascii="Cambria Math" w:hAnsi="Cambria Math" w:cs="Arial"/>
                  <w:sz w:val="24"/>
                  <w:szCs w:val="24"/>
                  <w:lang w:val="en-US"/>
                </w:rPr>
                <m:t>ψ</m:t>
              </m:r>
            </m:e>
            <m:sub>
              <m:r>
                <w:rPr>
                  <w:rFonts w:ascii="Cambria Math" w:hAnsi="Cambria Math" w:cs="Arial"/>
                  <w:sz w:val="24"/>
                  <w:szCs w:val="24"/>
                  <w:lang w:val="en-US"/>
                </w:rPr>
                <m:t>t</m:t>
              </m:r>
            </m:sub>
          </m:sSub>
          <m:r>
            <w:rPr>
              <w:rFonts w:ascii="Cambria Math" w:hAnsi="Cambria Math" w:cs="Arial"/>
              <w:sz w:val="24"/>
              <w:szCs w:val="24"/>
              <w:lang w:val="en-US"/>
            </w:rPr>
            <m:t>,</m:t>
          </m:r>
          <m:r>
            <w:rPr>
              <w:rFonts w:ascii="Cambria Math" w:eastAsiaTheme="minorEastAsia" w:hAnsi="Cambria Math" w:cs="Arial"/>
              <w:sz w:val="24"/>
              <w:szCs w:val="24"/>
              <w:lang w:val="en-US"/>
            </w:rPr>
            <m:t xml:space="preserve">             (10)</m:t>
          </m:r>
        </m:oMath>
      </m:oMathPara>
    </w:p>
    <w:p w14:paraId="7C0DB8AF" w14:textId="3EB14A73" w:rsidR="0094715A" w:rsidRPr="0094715A" w:rsidRDefault="00000000" w:rsidP="00E27CA1">
      <w:pPr>
        <w:spacing w:before="120" w:after="120" w:line="360" w:lineRule="auto"/>
        <w:jc w:val="both"/>
        <w:rPr>
          <w:rFonts w:ascii="Cambria Math" w:hAnsi="Cambria Math" w:cs="Arial"/>
          <w:sz w:val="24"/>
          <w:szCs w:val="24"/>
          <w:lang w:val="en-US"/>
          <w:oMath/>
        </w:rPr>
      </w:pPr>
      <m:oMathPara>
        <m:oMath>
          <m:sSub>
            <m:sSubPr>
              <m:ctrlPr>
                <w:rPr>
                  <w:rFonts w:ascii="Cambria Math" w:hAnsi="Cambria Math" w:cs="Arial"/>
                  <w:i/>
                  <w:sz w:val="24"/>
                  <w:szCs w:val="24"/>
                  <w:lang w:val="en-US"/>
                </w:rPr>
              </m:ctrlPr>
            </m:sSubPr>
            <m:e>
              <m:r>
                <m:rPr>
                  <m:sty m:val="p"/>
                </m:rPr>
                <w:rPr>
                  <w:rFonts w:ascii="Cambria Math" w:hAnsi="Cambria Math" w:cs="Arial"/>
                  <w:sz w:val="24"/>
                  <w:szCs w:val="24"/>
                  <w:lang w:val="en-US"/>
                </w:rPr>
                <m:t>s</m:t>
              </m:r>
              <m:ctrlPr>
                <w:rPr>
                  <w:rFonts w:ascii="Cambria Math" w:hAnsi="Cambria Math" w:cs="Arial"/>
                  <w:sz w:val="24"/>
                  <w:szCs w:val="24"/>
                  <w:lang w:val="en-US"/>
                </w:rPr>
              </m:ctrlPr>
            </m:e>
            <m:sub>
              <m:r>
                <m:rPr>
                  <m:sty m:val="p"/>
                </m:rPr>
                <w:rPr>
                  <w:rFonts w:ascii="Cambria Math" w:hAnsi="Cambria Math" w:cs="Arial"/>
                  <w:sz w:val="24"/>
                  <w:szCs w:val="24"/>
                  <w:lang w:val="en-US"/>
                </w:rPr>
                <m:t>t</m:t>
              </m:r>
            </m:sub>
          </m:sSub>
          <m:r>
            <w:rPr>
              <w:rFonts w:ascii="Cambria Math" w:hAnsi="Cambria Math" w:cs="Arial"/>
              <w:sz w:val="24"/>
              <w:szCs w:val="24"/>
              <w:lang w:val="en-US"/>
            </w:rPr>
            <m:t> = </m:t>
          </m:r>
          <m:sSub>
            <m:sSubPr>
              <m:ctrlPr>
                <w:rPr>
                  <w:rFonts w:ascii="Cambria Math" w:hAnsi="Cambria Math" w:cs="Arial"/>
                  <w:i/>
                  <w:sz w:val="24"/>
                  <w:szCs w:val="24"/>
                  <w:lang w:val="en-US"/>
                </w:rPr>
              </m:ctrlPr>
            </m:sSubPr>
            <m:e>
              <m:r>
                <m:rPr>
                  <m:sty m:val="p"/>
                </m:rPr>
                <w:rPr>
                  <w:rFonts w:ascii="Cambria Math" w:hAnsi="Cambria Math" w:cs="Arial"/>
                  <w:sz w:val="24"/>
                  <w:szCs w:val="24"/>
                  <w:lang w:val="en-US"/>
                </w:rPr>
                <m:t>ρ</m:t>
              </m:r>
            </m:e>
            <m:sub>
              <m:r>
                <m:rPr>
                  <m:sty m:val="p"/>
                </m:rPr>
                <w:rPr>
                  <w:rFonts w:ascii="Cambria Math" w:hAnsi="Cambria Math" w:cs="Arial"/>
                  <w:sz w:val="24"/>
                  <w:szCs w:val="24"/>
                  <w:lang w:val="en-US"/>
                </w:rPr>
                <m:t>s</m:t>
              </m:r>
            </m:sub>
          </m:sSub>
          <m:r>
            <w:rPr>
              <w:rFonts w:ascii="Cambria Math" w:hAnsi="Cambria Math" w:cs="Arial"/>
              <w:sz w:val="24"/>
              <w:szCs w:val="24"/>
              <w:lang w:val="en-US"/>
            </w:rPr>
            <m:t> </m:t>
          </m:r>
          <m:sSub>
            <m:sSubPr>
              <m:ctrlPr>
                <w:rPr>
                  <w:rFonts w:ascii="Cambria Math" w:hAnsi="Cambria Math" w:cs="Arial"/>
                  <w:i/>
                  <w:sz w:val="24"/>
                  <w:szCs w:val="24"/>
                  <w:lang w:val="en-US"/>
                </w:rPr>
              </m:ctrlPr>
            </m:sSubPr>
            <m:e>
              <m:r>
                <m:rPr>
                  <m:sty m:val="p"/>
                </m:rPr>
                <w:rPr>
                  <w:rFonts w:ascii="Cambria Math" w:hAnsi="Cambria Math" w:cs="Arial"/>
                  <w:sz w:val="24"/>
                  <w:szCs w:val="24"/>
                  <w:lang w:val="en-US"/>
                </w:rPr>
                <m:t>s</m:t>
              </m:r>
            </m:e>
            <m:sub>
              <m:r>
                <m:rPr>
                  <m:sty m:val="p"/>
                </m:rPr>
                <w:rPr>
                  <w:rFonts w:ascii="Cambria Math" w:hAnsi="Cambria Math" w:cs="Arial"/>
                  <w:sz w:val="24"/>
                  <w:szCs w:val="24"/>
                  <w:lang w:val="en-US"/>
                </w:rPr>
                <m:t>t</m:t>
              </m:r>
              <m:r>
                <w:rPr>
                  <w:rFonts w:ascii="Cambria Math" w:hAnsi="Cambria Math" w:cs="Arial"/>
                  <w:sz w:val="24"/>
                  <w:szCs w:val="24"/>
                  <w:lang w:val="en-US"/>
                </w:rPr>
                <m:t>-1</m:t>
              </m:r>
            </m:sub>
          </m:sSub>
          <m:r>
            <w:rPr>
              <w:rFonts w:ascii="Cambria Math" w:hAnsi="Cambria Math" w:cs="Arial"/>
              <w:sz w:val="24"/>
              <w:szCs w:val="24"/>
              <w:lang w:val="en-US"/>
            </w:rPr>
            <m:t> + </m:t>
          </m:r>
          <m:sSubSup>
            <m:sSubSupPr>
              <m:ctrlPr>
                <w:rPr>
                  <w:rFonts w:ascii="Cambria Math" w:hAnsi="Cambria Math" w:cs="Arial"/>
                  <w:i/>
                  <w:sz w:val="24"/>
                  <w:szCs w:val="24"/>
                  <w:lang w:val="en-US"/>
                </w:rPr>
              </m:ctrlPr>
            </m:sSubSupPr>
            <m:e>
              <m:r>
                <m:rPr>
                  <m:sty m:val="p"/>
                </m:rPr>
                <w:rPr>
                  <w:rFonts w:ascii="Cambria Math" w:hAnsi="Cambria Math" w:cs="Arial"/>
                  <w:sz w:val="24"/>
                  <w:szCs w:val="24"/>
                  <w:lang w:val="en-US"/>
                </w:rPr>
                <m:t>ε</m:t>
              </m:r>
            </m:e>
            <m:sub>
              <m:r>
                <m:rPr>
                  <m:sty m:val="p"/>
                </m:rPr>
                <w:rPr>
                  <w:rFonts w:ascii="Cambria Math" w:hAnsi="Cambria Math" w:cs="Arial"/>
                  <w:sz w:val="24"/>
                  <w:szCs w:val="24"/>
                  <w:lang w:val="en-US"/>
                </w:rPr>
                <m:t>t</m:t>
              </m:r>
            </m:sub>
            <m:sup>
              <m:r>
                <m:rPr>
                  <m:sty m:val="p"/>
                </m:rPr>
                <w:rPr>
                  <w:rFonts w:ascii="Cambria Math" w:hAnsi="Cambria Math" w:cs="Arial"/>
                  <w:sz w:val="24"/>
                  <w:szCs w:val="24"/>
                  <w:lang w:val="en-US"/>
                </w:rPr>
                <m:t>s</m:t>
              </m:r>
            </m:sup>
          </m:sSubSup>
          <m:r>
            <w:rPr>
              <w:rFonts w:ascii="Cambria Math" w:hAnsi="Cambria Math" w:cs="Arial"/>
              <w:sz w:val="24"/>
              <w:szCs w:val="24"/>
              <w:lang w:val="en-US"/>
            </w:rPr>
            <m:t>, </m:t>
          </m:r>
          <m:r>
            <w:rPr>
              <w:rFonts w:ascii="Cambria Math" w:eastAsiaTheme="minorEastAsia" w:hAnsi="Cambria Math" w:cs="Arial"/>
              <w:sz w:val="24"/>
              <w:szCs w:val="24"/>
              <w:lang w:val="en-US"/>
            </w:rPr>
            <m:t xml:space="preserve">             (11)</m:t>
          </m:r>
        </m:oMath>
      </m:oMathPara>
    </w:p>
    <w:p w14:paraId="019C35D7" w14:textId="3D612E65" w:rsidR="0094715A" w:rsidRPr="00CB41A3" w:rsidRDefault="00000000" w:rsidP="00E27CA1">
      <w:pPr>
        <w:spacing w:before="120" w:after="120" w:line="360" w:lineRule="auto"/>
        <w:jc w:val="both"/>
        <w:rPr>
          <w:rFonts w:eastAsiaTheme="minorEastAsia" w:cs="Arial"/>
          <w:sz w:val="24"/>
          <w:szCs w:val="24"/>
          <w:lang w:val="en-US"/>
        </w:rPr>
      </w:pPr>
      <m:oMathPara>
        <m:oMath>
          <m:sSub>
            <m:sSubPr>
              <m:ctrlPr>
                <w:rPr>
                  <w:rFonts w:ascii="Cambria Math" w:hAnsi="Cambria Math" w:cs="Arial"/>
                  <w:i/>
                  <w:sz w:val="24"/>
                  <w:szCs w:val="24"/>
                  <w:lang w:val="en-US"/>
                </w:rPr>
              </m:ctrlPr>
            </m:sSubPr>
            <m:e>
              <m:r>
                <m:rPr>
                  <m:sty m:val="p"/>
                </m:rPr>
                <w:rPr>
                  <w:rFonts w:ascii="Cambria Math" w:hAnsi="Cambria Math" w:cs="Arial"/>
                  <w:sz w:val="24"/>
                  <w:szCs w:val="24"/>
                  <w:lang w:val="en-US"/>
                </w:rPr>
                <m:t>ψ</m:t>
              </m:r>
              <m:ctrlPr>
                <w:rPr>
                  <w:rFonts w:ascii="Cambria Math" w:hAnsi="Cambria Math" w:cs="Arial"/>
                  <w:sz w:val="24"/>
                  <w:szCs w:val="24"/>
                  <w:lang w:val="en-US"/>
                </w:rPr>
              </m:ctrlPr>
            </m:e>
            <m:sub>
              <m:r>
                <w:rPr>
                  <w:rFonts w:ascii="Cambria Math" w:hAnsi="Cambria Math" w:cs="Arial"/>
                  <w:sz w:val="24"/>
                  <w:szCs w:val="24"/>
                  <w:lang w:val="en-US"/>
                </w:rPr>
                <m:t>t</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m:rPr>
                  <m:sty m:val="p"/>
                </m:rPr>
                <w:rPr>
                  <w:rFonts w:ascii="Cambria Math" w:hAnsi="Cambria Math" w:cs="Arial"/>
                  <w:sz w:val="24"/>
                  <w:szCs w:val="24"/>
                  <w:lang w:val="en-US"/>
                </w:rPr>
                <m:t>ρ</m:t>
              </m:r>
            </m:e>
            <m:sub>
              <m:r>
                <m:rPr>
                  <m:sty m:val="p"/>
                </m:rPr>
                <w:rPr>
                  <w:rFonts w:ascii="Cambria Math" w:hAnsi="Cambria Math" w:cs="Arial"/>
                  <w:sz w:val="24"/>
                  <w:szCs w:val="24"/>
                  <w:lang w:val="en-US"/>
                </w:rPr>
                <m:t>ψ</m:t>
              </m:r>
            </m:sub>
          </m:sSub>
          <m:sSub>
            <m:sSubPr>
              <m:ctrlPr>
                <w:rPr>
                  <w:rFonts w:ascii="Cambria Math" w:hAnsi="Cambria Math" w:cs="Arial"/>
                  <w:i/>
                  <w:sz w:val="24"/>
                  <w:szCs w:val="24"/>
                  <w:lang w:val="en-US"/>
                </w:rPr>
              </m:ctrlPr>
            </m:sSubPr>
            <m:e>
              <m:r>
                <m:rPr>
                  <m:sty m:val="p"/>
                </m:rPr>
                <w:rPr>
                  <w:rFonts w:ascii="Cambria Math" w:hAnsi="Cambria Math" w:cs="Arial"/>
                  <w:sz w:val="24"/>
                  <w:szCs w:val="24"/>
                  <w:lang w:val="en-US"/>
                </w:rPr>
                <m:t>ψ</m:t>
              </m:r>
              <m:ctrlPr>
                <w:rPr>
                  <w:rFonts w:ascii="Cambria Math" w:hAnsi="Cambria Math" w:cs="Arial"/>
                  <w:sz w:val="24"/>
                  <w:szCs w:val="24"/>
                  <w:lang w:val="en-US"/>
                </w:rPr>
              </m:ctrlPr>
            </m:e>
            <m:sub>
              <m:r>
                <w:rPr>
                  <w:rFonts w:ascii="Cambria Math" w:hAnsi="Cambria Math" w:cs="Arial"/>
                  <w:sz w:val="24"/>
                  <w:szCs w:val="24"/>
                  <w:lang w:val="en-US"/>
                </w:rPr>
                <m:t>t-1</m:t>
              </m:r>
            </m:sub>
          </m:sSub>
          <m:r>
            <w:rPr>
              <w:rFonts w:ascii="Cambria Math" w:hAnsi="Cambria Math" w:cs="Arial"/>
              <w:sz w:val="24"/>
              <w:szCs w:val="24"/>
              <w:lang w:val="en-US"/>
            </w:rPr>
            <m:t>+</m:t>
          </m:r>
          <m:sSubSup>
            <m:sSubSupPr>
              <m:ctrlPr>
                <w:rPr>
                  <w:rFonts w:ascii="Cambria Math" w:hAnsi="Cambria Math" w:cs="Arial"/>
                  <w:i/>
                  <w:sz w:val="24"/>
                  <w:szCs w:val="24"/>
                  <w:lang w:val="en-US"/>
                </w:rPr>
              </m:ctrlPr>
            </m:sSubSupPr>
            <m:e>
              <m:r>
                <m:rPr>
                  <m:sty m:val="p"/>
                </m:rPr>
                <w:rPr>
                  <w:rFonts w:ascii="Cambria Math" w:hAnsi="Cambria Math" w:cs="Arial"/>
                  <w:sz w:val="24"/>
                  <w:szCs w:val="24"/>
                  <w:lang w:val="en-US"/>
                </w:rPr>
                <m:t>ε</m:t>
              </m:r>
            </m:e>
            <m:sub>
              <m:r>
                <w:rPr>
                  <w:rFonts w:ascii="Cambria Math" w:hAnsi="Cambria Math" w:cs="Arial"/>
                  <w:sz w:val="24"/>
                  <w:szCs w:val="24"/>
                  <w:lang w:val="en-US"/>
                </w:rPr>
                <m:t>t</m:t>
              </m:r>
            </m:sub>
            <m:sup>
              <m:r>
                <m:rPr>
                  <m:sty m:val="p"/>
                </m:rPr>
                <w:rPr>
                  <w:rFonts w:ascii="Cambria Math" w:hAnsi="Cambria Math" w:cs="Arial"/>
                  <w:sz w:val="24"/>
                  <w:szCs w:val="24"/>
                  <w:lang w:val="en-US"/>
                </w:rPr>
                <m:t>ψ</m:t>
              </m:r>
            </m:sup>
          </m:sSubSup>
          <m:r>
            <w:rPr>
              <w:rFonts w:ascii="Cambria Math" w:hAnsi="Cambria Math" w:cs="Arial"/>
              <w:sz w:val="24"/>
              <w:szCs w:val="24"/>
              <w:lang w:val="en-US"/>
            </w:rPr>
            <m:t>.</m:t>
          </m:r>
          <m:r>
            <w:rPr>
              <w:rFonts w:ascii="Cambria Math" w:eastAsiaTheme="minorEastAsia" w:hAnsi="Cambria Math" w:cs="Arial"/>
              <w:sz w:val="24"/>
              <w:szCs w:val="24"/>
              <w:lang w:val="en-US"/>
            </w:rPr>
            <m:t xml:space="preserve">             (12)</m:t>
          </m:r>
        </m:oMath>
      </m:oMathPara>
    </w:p>
    <w:p w14:paraId="15983A77" w14:textId="1DACD690" w:rsidR="00CB41A3" w:rsidRPr="00CB41A3" w:rsidRDefault="00CB41A3" w:rsidP="00E27CA1">
      <w:pPr>
        <w:spacing w:before="120" w:after="120" w:line="360" w:lineRule="auto"/>
        <w:jc w:val="both"/>
        <w:rPr>
          <w:rFonts w:eastAsiaTheme="minorEastAsia" w:cs="Arial"/>
          <w:sz w:val="24"/>
          <w:szCs w:val="24"/>
          <w:lang w:val="en-US"/>
        </w:rPr>
      </w:pPr>
      <w:r w:rsidRPr="00CB41A3">
        <w:rPr>
          <w:rFonts w:eastAsiaTheme="minorEastAsia" w:cs="Arial"/>
          <w:sz w:val="24"/>
          <w:szCs w:val="24"/>
          <w:lang w:val="en-US"/>
        </w:rPr>
        <w:t>These equations describe the dynamics of aggregate demand (</w:t>
      </w:r>
      <w:r>
        <w:rPr>
          <w:rFonts w:eastAsiaTheme="minorEastAsia" w:cs="Arial"/>
          <w:sz w:val="24"/>
          <w:szCs w:val="24"/>
          <w:lang w:val="en-US"/>
        </w:rPr>
        <w:t>7</w:t>
      </w:r>
      <w:r w:rsidRPr="00CB41A3">
        <w:rPr>
          <w:rFonts w:eastAsiaTheme="minorEastAsia" w:cs="Arial"/>
          <w:sz w:val="24"/>
          <w:szCs w:val="24"/>
          <w:lang w:val="en-US"/>
        </w:rPr>
        <w:t>), inflation (</w:t>
      </w:r>
      <w:r>
        <w:rPr>
          <w:rFonts w:eastAsiaTheme="minorEastAsia" w:cs="Arial"/>
          <w:sz w:val="24"/>
          <w:szCs w:val="24"/>
          <w:lang w:val="en-US"/>
        </w:rPr>
        <w:t>8</w:t>
      </w:r>
      <w:r w:rsidRPr="00CB41A3">
        <w:rPr>
          <w:rFonts w:eastAsiaTheme="minorEastAsia" w:cs="Arial"/>
          <w:sz w:val="24"/>
          <w:szCs w:val="24"/>
          <w:lang w:val="en-US"/>
        </w:rPr>
        <w:t>), monetary policy (</w:t>
      </w:r>
      <w:r>
        <w:rPr>
          <w:rFonts w:eastAsiaTheme="minorEastAsia" w:cs="Arial"/>
          <w:sz w:val="24"/>
          <w:szCs w:val="24"/>
          <w:lang w:val="en-US"/>
        </w:rPr>
        <w:t>9</w:t>
      </w:r>
      <w:r w:rsidRPr="00CB41A3">
        <w:rPr>
          <w:rFonts w:eastAsiaTheme="minorEastAsia" w:cs="Arial"/>
          <w:sz w:val="24"/>
          <w:szCs w:val="24"/>
          <w:lang w:val="en-US"/>
        </w:rPr>
        <w:t>), exchange rate determination (</w:t>
      </w:r>
      <w:r>
        <w:rPr>
          <w:rFonts w:eastAsiaTheme="minorEastAsia" w:cs="Arial"/>
          <w:sz w:val="24"/>
          <w:szCs w:val="24"/>
          <w:lang w:val="en-US"/>
        </w:rPr>
        <w:t>10</w:t>
      </w:r>
      <w:r w:rsidRPr="00CB41A3">
        <w:rPr>
          <w:rFonts w:eastAsiaTheme="minorEastAsia" w:cs="Arial"/>
          <w:sz w:val="24"/>
          <w:szCs w:val="24"/>
          <w:lang w:val="en-US"/>
        </w:rPr>
        <w:t xml:space="preserve">), sentiment </w:t>
      </w:r>
      <w:r>
        <w:rPr>
          <w:rFonts w:eastAsiaTheme="minorEastAsia" w:cs="Arial"/>
          <w:sz w:val="24"/>
          <w:szCs w:val="24"/>
          <w:lang w:val="en-US"/>
        </w:rPr>
        <w:t>(11</w:t>
      </w:r>
      <w:r w:rsidRPr="00CB41A3">
        <w:rPr>
          <w:rFonts w:eastAsiaTheme="minorEastAsia" w:cs="Arial"/>
          <w:sz w:val="24"/>
          <w:szCs w:val="24"/>
          <w:lang w:val="en-US"/>
        </w:rPr>
        <w:t>), and the risk premium (</w:t>
      </w:r>
      <w:r>
        <w:rPr>
          <w:rFonts w:eastAsiaTheme="minorEastAsia" w:cs="Arial"/>
          <w:sz w:val="24"/>
          <w:szCs w:val="24"/>
          <w:lang w:val="en-US"/>
        </w:rPr>
        <w:t>12</w:t>
      </w:r>
      <w:r w:rsidRPr="00CB41A3">
        <w:rPr>
          <w:rFonts w:eastAsiaTheme="minorEastAsia" w:cs="Arial"/>
          <w:sz w:val="24"/>
          <w:szCs w:val="24"/>
          <w:lang w:val="en-US"/>
        </w:rPr>
        <w:t>).</w:t>
      </w:r>
    </w:p>
    <w:p w14:paraId="25C3CF13" w14:textId="4E565182" w:rsidR="00CB41A3" w:rsidRDefault="00CB41A3" w:rsidP="00E27CA1">
      <w:pPr>
        <w:spacing w:before="120" w:after="120" w:line="360" w:lineRule="auto"/>
        <w:jc w:val="both"/>
        <w:rPr>
          <w:rFonts w:eastAsiaTheme="minorEastAsia" w:cs="Arial"/>
          <w:sz w:val="24"/>
          <w:szCs w:val="24"/>
          <w:lang w:val="en-US"/>
        </w:rPr>
      </w:pPr>
      <w:r w:rsidRPr="00CB41A3">
        <w:rPr>
          <w:rFonts w:eastAsiaTheme="minorEastAsia" w:cs="Arial"/>
          <w:sz w:val="24"/>
          <w:szCs w:val="24"/>
          <w:lang w:val="en-US"/>
        </w:rPr>
        <w:t>Parameters are calibrated using empirical studies on Bolivia and broader emerging market economies (for a monthly-frequency model). Table</w:t>
      </w:r>
      <w:r>
        <w:rPr>
          <w:rFonts w:eastAsiaTheme="minorEastAsia" w:cs="Arial"/>
          <w:sz w:val="24"/>
          <w:szCs w:val="24"/>
          <w:lang w:val="en-US"/>
        </w:rPr>
        <w:t xml:space="preserve"> 1</w:t>
      </w:r>
      <w:r w:rsidRPr="00CB41A3">
        <w:rPr>
          <w:rFonts w:eastAsiaTheme="minorEastAsia" w:cs="Arial"/>
          <w:sz w:val="24"/>
          <w:szCs w:val="24"/>
          <w:lang w:val="en-US"/>
        </w:rPr>
        <w:t xml:space="preserve"> summarizes the calibrated values:</w:t>
      </w:r>
    </w:p>
    <w:tbl>
      <w:tblPr>
        <w:tblStyle w:val="TableNormal"/>
        <w:tblW w:w="9452" w:type="dxa"/>
        <w:tblInd w:w="284" w:type="dxa"/>
        <w:tblLayout w:type="fixed"/>
        <w:tblLook w:val="01E0" w:firstRow="1" w:lastRow="1" w:firstColumn="1" w:lastColumn="1" w:noHBand="0" w:noVBand="0"/>
      </w:tblPr>
      <w:tblGrid>
        <w:gridCol w:w="4490"/>
        <w:gridCol w:w="851"/>
        <w:gridCol w:w="4111"/>
      </w:tblGrid>
      <w:tr w:rsidR="00CB41A3" w:rsidRPr="00CB41A3" w14:paraId="6FBF6A1A" w14:textId="77777777" w:rsidTr="007B3C7D">
        <w:trPr>
          <w:trHeight w:val="402"/>
        </w:trPr>
        <w:tc>
          <w:tcPr>
            <w:tcW w:w="4490" w:type="dxa"/>
            <w:tcBorders>
              <w:top w:val="single" w:sz="8" w:space="0" w:color="000000"/>
              <w:bottom w:val="single" w:sz="6" w:space="0" w:color="000000"/>
            </w:tcBorders>
            <w:shd w:val="clear" w:color="auto" w:fill="D9D9D9" w:themeFill="background1" w:themeFillShade="D9"/>
          </w:tcPr>
          <w:p w14:paraId="2899645A" w14:textId="77777777" w:rsidR="00CB41A3" w:rsidRPr="00CB41A3" w:rsidRDefault="00CB41A3" w:rsidP="002B00D4">
            <w:pPr>
              <w:pStyle w:val="TableParagraph"/>
              <w:spacing w:before="83"/>
              <w:rPr>
                <w:rFonts w:ascii="Arial" w:hAnsi="Arial" w:cs="Arial"/>
              </w:rPr>
            </w:pPr>
            <w:r w:rsidRPr="00CB41A3">
              <w:rPr>
                <w:rFonts w:ascii="Arial" w:hAnsi="Arial" w:cs="Arial"/>
                <w:spacing w:val="-2"/>
                <w:w w:val="105"/>
              </w:rPr>
              <w:t>Parameter</w:t>
            </w:r>
          </w:p>
        </w:tc>
        <w:tc>
          <w:tcPr>
            <w:tcW w:w="851" w:type="dxa"/>
            <w:tcBorders>
              <w:top w:val="single" w:sz="8" w:space="0" w:color="000000"/>
              <w:bottom w:val="single" w:sz="6" w:space="0" w:color="000000"/>
            </w:tcBorders>
            <w:shd w:val="clear" w:color="auto" w:fill="D9D9D9" w:themeFill="background1" w:themeFillShade="D9"/>
          </w:tcPr>
          <w:p w14:paraId="1FAB9C60" w14:textId="77777777" w:rsidR="00CB41A3" w:rsidRPr="00CB41A3" w:rsidRDefault="00CB41A3" w:rsidP="002B00D4">
            <w:pPr>
              <w:pStyle w:val="TableParagraph"/>
              <w:spacing w:before="83"/>
              <w:ind w:left="6"/>
              <w:jc w:val="center"/>
              <w:rPr>
                <w:rFonts w:ascii="Arial" w:hAnsi="Arial" w:cs="Arial"/>
              </w:rPr>
            </w:pPr>
            <w:r w:rsidRPr="00CB41A3">
              <w:rPr>
                <w:rFonts w:ascii="Arial" w:hAnsi="Arial" w:cs="Arial"/>
                <w:spacing w:val="-2"/>
                <w:w w:val="110"/>
              </w:rPr>
              <w:t>Value</w:t>
            </w:r>
          </w:p>
        </w:tc>
        <w:tc>
          <w:tcPr>
            <w:tcW w:w="4111" w:type="dxa"/>
            <w:tcBorders>
              <w:top w:val="single" w:sz="8" w:space="0" w:color="000000"/>
              <w:bottom w:val="single" w:sz="6" w:space="0" w:color="000000"/>
            </w:tcBorders>
            <w:shd w:val="clear" w:color="auto" w:fill="D9D9D9" w:themeFill="background1" w:themeFillShade="D9"/>
          </w:tcPr>
          <w:p w14:paraId="159AD3E3" w14:textId="77777777" w:rsidR="00CB41A3" w:rsidRPr="00CB41A3" w:rsidRDefault="00CB41A3" w:rsidP="002B00D4">
            <w:pPr>
              <w:pStyle w:val="TableParagraph"/>
              <w:spacing w:before="83"/>
              <w:ind w:left="120"/>
              <w:rPr>
                <w:rFonts w:ascii="Arial" w:hAnsi="Arial" w:cs="Arial"/>
              </w:rPr>
            </w:pPr>
            <w:r w:rsidRPr="00CB41A3">
              <w:rPr>
                <w:rFonts w:ascii="Arial" w:hAnsi="Arial" w:cs="Arial"/>
                <w:spacing w:val="-2"/>
              </w:rPr>
              <w:t>Reference</w:t>
            </w:r>
          </w:p>
        </w:tc>
      </w:tr>
      <w:tr w:rsidR="00CB41A3" w:rsidRPr="00CB41A3" w14:paraId="13478C53" w14:textId="77777777" w:rsidTr="007B3C7D">
        <w:trPr>
          <w:trHeight w:val="371"/>
        </w:trPr>
        <w:tc>
          <w:tcPr>
            <w:tcW w:w="4490" w:type="dxa"/>
            <w:tcBorders>
              <w:top w:val="single" w:sz="6" w:space="0" w:color="000000"/>
            </w:tcBorders>
          </w:tcPr>
          <w:p w14:paraId="1D5661F5" w14:textId="3B9B86C4" w:rsidR="00CB41A3" w:rsidRPr="00CB41A3" w:rsidRDefault="00CB41A3" w:rsidP="002B00D4">
            <w:pPr>
              <w:pStyle w:val="TableParagraph"/>
              <w:spacing w:before="82"/>
              <w:rPr>
                <w:rFonts w:ascii="Arial" w:hAnsi="Arial" w:cs="Arial"/>
                <w:i/>
              </w:rPr>
            </w:pPr>
            <w:r w:rsidRPr="00CB41A3">
              <w:rPr>
                <w:rFonts w:ascii="Arial" w:hAnsi="Arial" w:cs="Arial"/>
                <w:w w:val="105"/>
              </w:rPr>
              <w:t>Monthly</w:t>
            </w:r>
            <w:r w:rsidRPr="00CB41A3">
              <w:rPr>
                <w:rFonts w:ascii="Arial" w:hAnsi="Arial" w:cs="Arial"/>
                <w:spacing w:val="14"/>
                <w:w w:val="105"/>
              </w:rPr>
              <w:t xml:space="preserve"> </w:t>
            </w:r>
            <w:r w:rsidRPr="00CB41A3">
              <w:rPr>
                <w:rFonts w:ascii="Arial" w:hAnsi="Arial" w:cs="Arial"/>
                <w:w w:val="105"/>
              </w:rPr>
              <w:t>discount</w:t>
            </w:r>
            <w:r w:rsidRPr="00CB41A3">
              <w:rPr>
                <w:rFonts w:ascii="Arial" w:hAnsi="Arial" w:cs="Arial"/>
                <w:spacing w:val="15"/>
                <w:w w:val="105"/>
              </w:rPr>
              <w:t xml:space="preserve"> </w:t>
            </w:r>
            <w:r w:rsidRPr="00CB41A3">
              <w:rPr>
                <w:rFonts w:ascii="Arial" w:hAnsi="Arial" w:cs="Arial"/>
                <w:w w:val="105"/>
              </w:rPr>
              <w:t>factor</w:t>
            </w:r>
            <w:r w:rsidRPr="00CB41A3">
              <w:rPr>
                <w:rFonts w:ascii="Arial" w:hAnsi="Arial" w:cs="Arial"/>
                <w:spacing w:val="13"/>
                <w:w w:val="105"/>
              </w:rPr>
              <w:t xml:space="preserve"> </w:t>
            </w:r>
            <m:oMath>
              <m:r>
                <w:rPr>
                  <w:rFonts w:ascii="Cambria Math" w:hAnsi="Cambria Math" w:cs="Arial"/>
                  <w:spacing w:val="-10"/>
                  <w:w w:val="105"/>
                </w:rPr>
                <m:t>β</m:t>
              </m:r>
            </m:oMath>
          </w:p>
        </w:tc>
        <w:tc>
          <w:tcPr>
            <w:tcW w:w="851" w:type="dxa"/>
            <w:tcBorders>
              <w:top w:val="single" w:sz="6" w:space="0" w:color="000000"/>
            </w:tcBorders>
          </w:tcPr>
          <w:p w14:paraId="15F8A6E2" w14:textId="77777777" w:rsidR="00CB41A3" w:rsidRPr="00CB41A3" w:rsidRDefault="00CB41A3" w:rsidP="002B00D4">
            <w:pPr>
              <w:pStyle w:val="TableParagraph"/>
              <w:spacing w:before="82"/>
              <w:ind w:left="6" w:right="1"/>
              <w:jc w:val="center"/>
              <w:rPr>
                <w:rFonts w:ascii="Arial" w:hAnsi="Arial" w:cs="Arial"/>
              </w:rPr>
            </w:pPr>
            <w:r w:rsidRPr="00CB41A3">
              <w:rPr>
                <w:rFonts w:ascii="Arial" w:hAnsi="Arial" w:cs="Arial"/>
                <w:spacing w:val="-2"/>
              </w:rPr>
              <w:t>0.997</w:t>
            </w:r>
          </w:p>
        </w:tc>
        <w:tc>
          <w:tcPr>
            <w:tcW w:w="4111" w:type="dxa"/>
            <w:tcBorders>
              <w:top w:val="single" w:sz="6" w:space="0" w:color="000000"/>
            </w:tcBorders>
          </w:tcPr>
          <w:p w14:paraId="7F26EC63" w14:textId="0CE3407C" w:rsidR="00CB41A3" w:rsidRPr="00CB41A3" w:rsidRDefault="00E27CA1" w:rsidP="002B00D4">
            <w:pPr>
              <w:pStyle w:val="TableParagraph"/>
              <w:spacing w:before="82"/>
              <w:rPr>
                <w:rFonts w:ascii="Arial" w:hAnsi="Arial" w:cs="Arial"/>
              </w:rPr>
            </w:pPr>
            <w:hyperlink w:anchor="_bookmark48" w:history="1">
              <w:r>
                <w:rPr>
                  <w:rFonts w:ascii="Arial" w:hAnsi="Arial" w:cs="Arial"/>
                  <w:color w:val="0021D1"/>
                  <w:spacing w:val="-15"/>
                  <w:w w:val="120"/>
                </w:rPr>
                <w:t>Galí</w:t>
              </w:r>
            </w:hyperlink>
            <w:r w:rsidR="00CB41A3" w:rsidRPr="00CB41A3">
              <w:rPr>
                <w:rFonts w:ascii="Arial" w:hAnsi="Arial" w:cs="Arial"/>
                <w:color w:val="0021D1"/>
                <w:spacing w:val="5"/>
                <w:w w:val="120"/>
              </w:rPr>
              <w:t xml:space="preserve"> </w:t>
            </w:r>
            <w:r w:rsidR="00CB41A3" w:rsidRPr="00CB41A3">
              <w:rPr>
                <w:rFonts w:ascii="Arial" w:hAnsi="Arial" w:cs="Arial"/>
                <w:spacing w:val="-2"/>
                <w:w w:val="120"/>
              </w:rPr>
              <w:t>(</w:t>
            </w:r>
            <w:hyperlink w:anchor="_bookmark48" w:history="1">
              <w:r w:rsidR="00CB41A3" w:rsidRPr="00CB41A3">
                <w:rPr>
                  <w:rFonts w:ascii="Arial" w:hAnsi="Arial" w:cs="Arial"/>
                  <w:color w:val="0021D1"/>
                  <w:spacing w:val="-2"/>
                  <w:w w:val="120"/>
                </w:rPr>
                <w:t>2015</w:t>
              </w:r>
            </w:hyperlink>
            <w:r w:rsidR="00CB41A3" w:rsidRPr="00CB41A3">
              <w:rPr>
                <w:rFonts w:ascii="Arial" w:hAnsi="Arial" w:cs="Arial"/>
                <w:spacing w:val="-2"/>
                <w:w w:val="120"/>
              </w:rPr>
              <w:t>)</w:t>
            </w:r>
          </w:p>
        </w:tc>
      </w:tr>
      <w:tr w:rsidR="00CB41A3" w:rsidRPr="00CB41A3" w14:paraId="0ABCA23A" w14:textId="77777777" w:rsidTr="007B3C7D">
        <w:trPr>
          <w:trHeight w:val="296"/>
        </w:trPr>
        <w:tc>
          <w:tcPr>
            <w:tcW w:w="4490" w:type="dxa"/>
          </w:tcPr>
          <w:p w14:paraId="3ADF1775" w14:textId="5378AA1D" w:rsidR="00CB41A3" w:rsidRPr="00CB41A3" w:rsidRDefault="00CB41A3" w:rsidP="002B00D4">
            <w:pPr>
              <w:pStyle w:val="TableParagraph"/>
              <w:spacing w:before="7"/>
              <w:rPr>
                <w:rFonts w:ascii="Arial" w:hAnsi="Arial" w:cs="Arial"/>
                <w:i/>
              </w:rPr>
            </w:pPr>
            <w:r w:rsidRPr="00CB41A3">
              <w:rPr>
                <w:rFonts w:ascii="Arial" w:hAnsi="Arial" w:cs="Arial"/>
                <w:w w:val="115"/>
              </w:rPr>
              <w:t>CRRA</w:t>
            </w:r>
            <w:r w:rsidRPr="00CB41A3">
              <w:rPr>
                <w:rFonts w:ascii="Arial" w:hAnsi="Arial" w:cs="Arial"/>
                <w:spacing w:val="25"/>
                <w:w w:val="115"/>
              </w:rPr>
              <w:t xml:space="preserve"> </w:t>
            </w:r>
            <w:r w:rsidRPr="00CB41A3">
              <w:rPr>
                <w:rFonts w:ascii="Arial" w:hAnsi="Arial" w:cs="Arial"/>
                <w:w w:val="115"/>
              </w:rPr>
              <w:t>elasticity</w:t>
            </w:r>
            <w:r w:rsidRPr="00CB41A3">
              <w:rPr>
                <w:rFonts w:ascii="Arial" w:hAnsi="Arial" w:cs="Arial"/>
                <w:spacing w:val="26"/>
                <w:w w:val="115"/>
              </w:rPr>
              <w:t xml:space="preserve"> </w:t>
            </w:r>
            <m:oMath>
              <m:r>
                <w:rPr>
                  <w:rFonts w:ascii="Cambria Math" w:hAnsi="Cambria Math" w:cs="Arial"/>
                  <w:spacing w:val="-10"/>
                  <w:w w:val="115"/>
                </w:rPr>
                <m:t>σ</m:t>
              </m:r>
            </m:oMath>
          </w:p>
        </w:tc>
        <w:tc>
          <w:tcPr>
            <w:tcW w:w="851" w:type="dxa"/>
          </w:tcPr>
          <w:p w14:paraId="1B93AC09" w14:textId="77777777" w:rsidR="00CB41A3" w:rsidRPr="00CB41A3" w:rsidRDefault="00CB41A3" w:rsidP="002B00D4">
            <w:pPr>
              <w:pStyle w:val="TableParagraph"/>
              <w:spacing w:before="7"/>
              <w:ind w:left="6" w:right="1"/>
              <w:jc w:val="center"/>
              <w:rPr>
                <w:rFonts w:ascii="Arial" w:hAnsi="Arial" w:cs="Arial"/>
              </w:rPr>
            </w:pPr>
            <w:r w:rsidRPr="00CB41A3">
              <w:rPr>
                <w:rFonts w:ascii="Arial" w:hAnsi="Arial" w:cs="Arial"/>
                <w:spacing w:val="-2"/>
              </w:rPr>
              <w:t>2.225</w:t>
            </w:r>
          </w:p>
        </w:tc>
        <w:tc>
          <w:tcPr>
            <w:tcW w:w="4111" w:type="dxa"/>
          </w:tcPr>
          <w:p w14:paraId="0B3BA885" w14:textId="77777777" w:rsidR="00CB41A3" w:rsidRPr="00CB41A3" w:rsidRDefault="00CB41A3" w:rsidP="002B00D4">
            <w:pPr>
              <w:pStyle w:val="TableParagraph"/>
              <w:spacing w:before="7"/>
              <w:rPr>
                <w:rFonts w:ascii="Arial" w:hAnsi="Arial" w:cs="Arial"/>
              </w:rPr>
            </w:pPr>
            <w:hyperlink w:anchor="_bookmark59" w:history="1">
              <w:r w:rsidRPr="00CB41A3">
                <w:rPr>
                  <w:rFonts w:ascii="Arial" w:hAnsi="Arial" w:cs="Arial"/>
                  <w:color w:val="0021D1"/>
                  <w:w w:val="110"/>
                </w:rPr>
                <w:t>Valdivia</w:t>
              </w:r>
            </w:hyperlink>
            <w:r w:rsidRPr="00CB41A3">
              <w:rPr>
                <w:rFonts w:ascii="Arial" w:hAnsi="Arial" w:cs="Arial"/>
                <w:color w:val="0021D1"/>
                <w:spacing w:val="23"/>
                <w:w w:val="110"/>
              </w:rPr>
              <w:t xml:space="preserve"> </w:t>
            </w:r>
            <w:r w:rsidRPr="00CB41A3">
              <w:rPr>
                <w:rFonts w:ascii="Arial" w:hAnsi="Arial" w:cs="Arial"/>
                <w:spacing w:val="-2"/>
                <w:w w:val="110"/>
              </w:rPr>
              <w:t>(</w:t>
            </w:r>
            <w:hyperlink w:anchor="_bookmark59" w:history="1">
              <w:r w:rsidRPr="00CB41A3">
                <w:rPr>
                  <w:rFonts w:ascii="Arial" w:hAnsi="Arial" w:cs="Arial"/>
                  <w:color w:val="0021D1"/>
                  <w:spacing w:val="-2"/>
                  <w:w w:val="110"/>
                </w:rPr>
                <w:t>2016</w:t>
              </w:r>
            </w:hyperlink>
            <w:r w:rsidRPr="00CB41A3">
              <w:rPr>
                <w:rFonts w:ascii="Arial" w:hAnsi="Arial" w:cs="Arial"/>
                <w:spacing w:val="-2"/>
                <w:w w:val="110"/>
              </w:rPr>
              <w:t>)</w:t>
            </w:r>
          </w:p>
        </w:tc>
      </w:tr>
      <w:tr w:rsidR="00CB41A3" w:rsidRPr="00CB41A3" w14:paraId="5616ADA9" w14:textId="77777777" w:rsidTr="007B3C7D">
        <w:trPr>
          <w:trHeight w:val="296"/>
        </w:trPr>
        <w:tc>
          <w:tcPr>
            <w:tcW w:w="4490" w:type="dxa"/>
          </w:tcPr>
          <w:p w14:paraId="01A84F7C" w14:textId="0864F5F7" w:rsidR="00CB41A3" w:rsidRPr="00CB41A3" w:rsidRDefault="00CB41A3" w:rsidP="002B00D4">
            <w:pPr>
              <w:pStyle w:val="TableParagraph"/>
              <w:spacing w:before="7"/>
              <w:rPr>
                <w:rFonts w:ascii="Arial" w:hAnsi="Arial" w:cs="Arial"/>
                <w:i/>
                <w:iCs/>
              </w:rPr>
            </w:pPr>
            <w:r w:rsidRPr="00CB41A3">
              <w:rPr>
                <w:rFonts w:ascii="Arial" w:hAnsi="Arial" w:cs="Arial"/>
                <w:w w:val="110"/>
              </w:rPr>
              <w:t>Sensitivity to real</w:t>
            </w:r>
            <w:r w:rsidRPr="00CB41A3">
              <w:rPr>
                <w:rFonts w:ascii="Arial" w:hAnsi="Arial" w:cs="Arial"/>
                <w:spacing w:val="1"/>
                <w:w w:val="110"/>
              </w:rPr>
              <w:t xml:space="preserve"> </w:t>
            </w:r>
            <w:r w:rsidRPr="00CB41A3">
              <w:rPr>
                <w:rFonts w:ascii="Arial" w:hAnsi="Arial" w:cs="Arial"/>
                <w:w w:val="110"/>
              </w:rPr>
              <w:t xml:space="preserve">interest rate </w:t>
            </w:r>
            <m:oMath>
              <m:r>
                <w:rPr>
                  <w:rFonts w:ascii="Cambria Math" w:hAnsi="Cambria Math" w:cs="Arial"/>
                  <w:w w:val="110"/>
                </w:rPr>
                <m:t>ϕ</m:t>
              </m:r>
              <m:r>
                <w:rPr>
                  <w:rFonts w:ascii="Cambria Math" w:hAnsi="Cambria Math" w:cs="Arial"/>
                  <w:spacing w:val="-8"/>
                  <w:w w:val="110"/>
                </w:rPr>
                <m:t xml:space="preserve"> </m:t>
              </m:r>
              <m:r>
                <w:rPr>
                  <w:rFonts w:ascii="Cambria Math" w:hAnsi="Cambria Math" w:cs="Arial"/>
                  <w:w w:val="125"/>
                </w:rPr>
                <m:t>=</m:t>
              </m:r>
              <m:r>
                <w:rPr>
                  <w:rFonts w:ascii="Cambria Math" w:hAnsi="Cambria Math" w:cs="Arial"/>
                  <w:spacing w:val="-14"/>
                  <w:w w:val="125"/>
                </w:rPr>
                <m:t xml:space="preserve"> </m:t>
              </m:r>
              <m:r>
                <w:rPr>
                  <w:rFonts w:ascii="Cambria Math" w:hAnsi="Cambria Math" w:cs="Arial"/>
                  <w:spacing w:val="-5"/>
                  <w:w w:val="110"/>
                </w:rPr>
                <m:t>1/σ</m:t>
              </m:r>
            </m:oMath>
          </w:p>
        </w:tc>
        <w:tc>
          <w:tcPr>
            <w:tcW w:w="851" w:type="dxa"/>
          </w:tcPr>
          <w:p w14:paraId="30FDF54E" w14:textId="77777777" w:rsidR="00CB41A3" w:rsidRPr="00CB41A3" w:rsidRDefault="00CB41A3" w:rsidP="002B00D4">
            <w:pPr>
              <w:pStyle w:val="TableParagraph"/>
              <w:spacing w:before="7"/>
              <w:ind w:left="6" w:right="1"/>
              <w:jc w:val="center"/>
              <w:rPr>
                <w:rFonts w:ascii="Arial" w:hAnsi="Arial" w:cs="Arial"/>
              </w:rPr>
            </w:pPr>
            <w:r w:rsidRPr="00CB41A3">
              <w:rPr>
                <w:rFonts w:ascii="Arial" w:hAnsi="Arial" w:cs="Arial"/>
                <w:spacing w:val="-2"/>
              </w:rPr>
              <w:t>0.449</w:t>
            </w:r>
          </w:p>
        </w:tc>
        <w:tc>
          <w:tcPr>
            <w:tcW w:w="4111" w:type="dxa"/>
          </w:tcPr>
          <w:p w14:paraId="19B88017" w14:textId="77777777" w:rsidR="00CB41A3" w:rsidRPr="00CB41A3" w:rsidRDefault="00CB41A3" w:rsidP="002B00D4">
            <w:pPr>
              <w:pStyle w:val="TableParagraph"/>
              <w:spacing w:before="7"/>
              <w:rPr>
                <w:rFonts w:ascii="Arial" w:hAnsi="Arial" w:cs="Arial"/>
              </w:rPr>
            </w:pPr>
            <w:r w:rsidRPr="00CB41A3">
              <w:rPr>
                <w:rFonts w:ascii="Arial" w:hAnsi="Arial" w:cs="Arial"/>
                <w:spacing w:val="-10"/>
                <w:w w:val="110"/>
              </w:rPr>
              <w:t>—</w:t>
            </w:r>
          </w:p>
        </w:tc>
      </w:tr>
      <w:tr w:rsidR="00CB41A3" w:rsidRPr="00CB41A3" w14:paraId="0E75839A" w14:textId="77777777" w:rsidTr="007B3C7D">
        <w:trPr>
          <w:trHeight w:val="304"/>
        </w:trPr>
        <w:tc>
          <w:tcPr>
            <w:tcW w:w="4490" w:type="dxa"/>
          </w:tcPr>
          <w:p w14:paraId="3F111089" w14:textId="04CDE9D8" w:rsidR="00CB41A3" w:rsidRPr="00CB41A3" w:rsidRDefault="00CB41A3" w:rsidP="002B00D4">
            <w:pPr>
              <w:pStyle w:val="TableParagraph"/>
              <w:spacing w:before="7"/>
              <w:rPr>
                <w:rFonts w:ascii="Arial" w:eastAsia="Trebuchet MS" w:hAnsi="Arial" w:cs="Arial"/>
                <w:i/>
                <w:iCs/>
              </w:rPr>
            </w:pPr>
            <w:r w:rsidRPr="00CB41A3">
              <w:rPr>
                <w:rFonts w:ascii="Arial" w:hAnsi="Arial" w:cs="Arial"/>
                <w:w w:val="105"/>
              </w:rPr>
              <w:t>Taylor</w:t>
            </w:r>
            <w:r w:rsidRPr="00CB41A3">
              <w:rPr>
                <w:rFonts w:ascii="Arial" w:hAnsi="Arial" w:cs="Arial"/>
                <w:spacing w:val="11"/>
                <w:w w:val="105"/>
              </w:rPr>
              <w:t xml:space="preserve"> </w:t>
            </w:r>
            <w:r w:rsidRPr="00CB41A3">
              <w:rPr>
                <w:rFonts w:ascii="Arial" w:hAnsi="Arial" w:cs="Arial"/>
                <w:w w:val="105"/>
              </w:rPr>
              <w:t>rule</w:t>
            </w:r>
            <w:r w:rsidRPr="00CB41A3">
              <w:rPr>
                <w:rFonts w:ascii="Arial" w:hAnsi="Arial" w:cs="Arial"/>
                <w:spacing w:val="12"/>
                <w:w w:val="105"/>
              </w:rPr>
              <w:t xml:space="preserve"> </w:t>
            </w:r>
            <w:r w:rsidRPr="00CB41A3">
              <w:rPr>
                <w:rFonts w:ascii="Arial" w:hAnsi="Arial" w:cs="Arial"/>
                <w:w w:val="105"/>
              </w:rPr>
              <w:t>output</w:t>
            </w:r>
            <w:r w:rsidRPr="00CB41A3">
              <w:rPr>
                <w:rFonts w:ascii="Arial" w:hAnsi="Arial" w:cs="Arial"/>
                <w:spacing w:val="12"/>
                <w:w w:val="105"/>
              </w:rPr>
              <w:t xml:space="preserve"> </w:t>
            </w:r>
            <w:r w:rsidRPr="00CB41A3">
              <w:rPr>
                <w:rFonts w:ascii="Arial" w:hAnsi="Arial" w:cs="Arial"/>
                <w:w w:val="105"/>
              </w:rPr>
              <w:t>response</w:t>
            </w:r>
            <w:r w:rsidRPr="00CB41A3">
              <w:rPr>
                <w:rFonts w:ascii="Arial" w:hAnsi="Arial" w:cs="Arial"/>
                <w:spacing w:val="10"/>
                <w:w w:val="105"/>
              </w:rPr>
              <w:t xml:space="preserve"> </w:t>
            </w:r>
            <m:oMath>
              <m:sSub>
                <m:sSubPr>
                  <m:ctrlPr>
                    <w:rPr>
                      <w:rFonts w:ascii="Cambria Math" w:hAnsi="Cambria Math" w:cs="Arial"/>
                      <w:i/>
                      <w:iCs/>
                      <w:spacing w:val="-5"/>
                      <w:w w:val="105"/>
                    </w:rPr>
                  </m:ctrlPr>
                </m:sSubPr>
                <m:e>
                  <m:r>
                    <w:rPr>
                      <w:rFonts w:ascii="Cambria Math" w:hAnsi="Cambria Math" w:cs="Arial"/>
                      <w:spacing w:val="-5"/>
                      <w:w w:val="105"/>
                    </w:rPr>
                    <m:t>ϕ</m:t>
                  </m:r>
                </m:e>
                <m:sub>
                  <m:r>
                    <w:rPr>
                      <w:rFonts w:ascii="Cambria Math" w:eastAsia="Trebuchet MS" w:hAnsi="Cambria Math" w:cs="Arial"/>
                      <w:spacing w:val="-5"/>
                      <w:w w:val="105"/>
                      <w:vertAlign w:val="subscript"/>
                    </w:rPr>
                    <m:t>x</m:t>
                  </m:r>
                </m:sub>
              </m:sSub>
            </m:oMath>
          </w:p>
        </w:tc>
        <w:tc>
          <w:tcPr>
            <w:tcW w:w="851" w:type="dxa"/>
          </w:tcPr>
          <w:p w14:paraId="0CB43BBA" w14:textId="77777777" w:rsidR="00CB41A3" w:rsidRPr="00CB41A3" w:rsidRDefault="00CB41A3" w:rsidP="002B00D4">
            <w:pPr>
              <w:pStyle w:val="TableParagraph"/>
              <w:spacing w:before="7"/>
              <w:ind w:left="6" w:right="1"/>
              <w:jc w:val="center"/>
              <w:rPr>
                <w:rFonts w:ascii="Arial" w:hAnsi="Arial" w:cs="Arial"/>
              </w:rPr>
            </w:pPr>
            <w:r w:rsidRPr="00CB41A3">
              <w:rPr>
                <w:rFonts w:ascii="Arial" w:hAnsi="Arial" w:cs="Arial"/>
                <w:spacing w:val="-2"/>
              </w:rPr>
              <w:t>6.907</w:t>
            </w:r>
          </w:p>
        </w:tc>
        <w:tc>
          <w:tcPr>
            <w:tcW w:w="4111" w:type="dxa"/>
          </w:tcPr>
          <w:p w14:paraId="79640DE2" w14:textId="77777777" w:rsidR="00CB41A3" w:rsidRPr="00CB41A3" w:rsidRDefault="00CB41A3" w:rsidP="002B00D4">
            <w:pPr>
              <w:pStyle w:val="TableParagraph"/>
              <w:spacing w:before="7"/>
              <w:rPr>
                <w:rFonts w:ascii="Arial" w:hAnsi="Arial" w:cs="Arial"/>
              </w:rPr>
            </w:pPr>
            <w:hyperlink w:anchor="_bookmark58" w:history="1">
              <w:r w:rsidRPr="00CB41A3">
                <w:rPr>
                  <w:rFonts w:ascii="Arial" w:hAnsi="Arial" w:cs="Arial"/>
                  <w:color w:val="0021D1"/>
                </w:rPr>
                <w:t>Valdivia</w:t>
              </w:r>
              <w:r w:rsidRPr="00CB41A3">
                <w:rPr>
                  <w:rFonts w:ascii="Arial" w:hAnsi="Arial" w:cs="Arial"/>
                  <w:color w:val="0021D1"/>
                  <w:spacing w:val="49"/>
                </w:rPr>
                <w:t xml:space="preserve"> </w:t>
              </w:r>
              <w:r w:rsidRPr="00CB41A3">
                <w:rPr>
                  <w:rFonts w:ascii="Arial" w:hAnsi="Arial" w:cs="Arial"/>
                  <w:color w:val="0021D1"/>
                </w:rPr>
                <w:t>and</w:t>
              </w:r>
              <w:r w:rsidRPr="00CB41A3">
                <w:rPr>
                  <w:rFonts w:ascii="Arial" w:hAnsi="Arial" w:cs="Arial"/>
                  <w:color w:val="0021D1"/>
                  <w:spacing w:val="49"/>
                </w:rPr>
                <w:t xml:space="preserve"> </w:t>
              </w:r>
              <w:r w:rsidRPr="00CB41A3">
                <w:rPr>
                  <w:rFonts w:ascii="Arial" w:hAnsi="Arial" w:cs="Arial"/>
                  <w:color w:val="0021D1"/>
                </w:rPr>
                <w:t>Montenegro</w:t>
              </w:r>
            </w:hyperlink>
            <w:r w:rsidRPr="00CB41A3">
              <w:rPr>
                <w:rFonts w:ascii="Arial" w:hAnsi="Arial" w:cs="Arial"/>
                <w:color w:val="0021D1"/>
                <w:spacing w:val="49"/>
              </w:rPr>
              <w:t xml:space="preserve"> </w:t>
            </w:r>
            <w:r w:rsidRPr="00CB41A3">
              <w:rPr>
                <w:rFonts w:ascii="Arial" w:hAnsi="Arial" w:cs="Arial"/>
                <w:spacing w:val="-2"/>
              </w:rPr>
              <w:t>(</w:t>
            </w:r>
            <w:hyperlink w:anchor="_bookmark58" w:history="1">
              <w:r w:rsidRPr="00CB41A3">
                <w:rPr>
                  <w:rFonts w:ascii="Arial" w:hAnsi="Arial" w:cs="Arial"/>
                  <w:color w:val="0021D1"/>
                  <w:spacing w:val="-2"/>
                </w:rPr>
                <w:t>2009</w:t>
              </w:r>
            </w:hyperlink>
            <w:r w:rsidRPr="00CB41A3">
              <w:rPr>
                <w:rFonts w:ascii="Arial" w:hAnsi="Arial" w:cs="Arial"/>
                <w:spacing w:val="-2"/>
              </w:rPr>
              <w:t>)</w:t>
            </w:r>
          </w:p>
        </w:tc>
      </w:tr>
      <w:tr w:rsidR="00CB41A3" w:rsidRPr="00CB41A3" w14:paraId="4FB7F555" w14:textId="77777777" w:rsidTr="007B3C7D">
        <w:trPr>
          <w:trHeight w:val="296"/>
        </w:trPr>
        <w:tc>
          <w:tcPr>
            <w:tcW w:w="4490" w:type="dxa"/>
          </w:tcPr>
          <w:p w14:paraId="4D465F05" w14:textId="6862BAEA" w:rsidR="00CB41A3" w:rsidRPr="00CB41A3" w:rsidRDefault="00CB41A3" w:rsidP="002B00D4">
            <w:pPr>
              <w:pStyle w:val="TableParagraph"/>
              <w:rPr>
                <w:rFonts w:ascii="Arial" w:eastAsia="Trebuchet MS" w:hAnsi="Arial" w:cs="Arial"/>
                <w:i/>
                <w:iCs/>
              </w:rPr>
            </w:pPr>
            <w:r w:rsidRPr="00CB41A3">
              <w:rPr>
                <w:rFonts w:ascii="Arial" w:hAnsi="Arial" w:cs="Arial"/>
                <w:w w:val="105"/>
              </w:rPr>
              <w:t>Taylor</w:t>
            </w:r>
            <w:r w:rsidRPr="00CB41A3">
              <w:rPr>
                <w:rFonts w:ascii="Arial" w:hAnsi="Arial" w:cs="Arial"/>
                <w:spacing w:val="14"/>
                <w:w w:val="105"/>
              </w:rPr>
              <w:t xml:space="preserve"> </w:t>
            </w:r>
            <w:r w:rsidRPr="00CB41A3">
              <w:rPr>
                <w:rFonts w:ascii="Arial" w:hAnsi="Arial" w:cs="Arial"/>
                <w:w w:val="105"/>
              </w:rPr>
              <w:t>rule</w:t>
            </w:r>
            <w:r w:rsidRPr="00CB41A3">
              <w:rPr>
                <w:rFonts w:ascii="Arial" w:hAnsi="Arial" w:cs="Arial"/>
                <w:spacing w:val="14"/>
                <w:w w:val="105"/>
              </w:rPr>
              <w:t xml:space="preserve"> </w:t>
            </w:r>
            <w:r w:rsidRPr="00CB41A3">
              <w:rPr>
                <w:rFonts w:ascii="Arial" w:hAnsi="Arial" w:cs="Arial"/>
                <w:w w:val="105"/>
              </w:rPr>
              <w:t>inflation</w:t>
            </w:r>
            <w:r w:rsidRPr="00CB41A3">
              <w:rPr>
                <w:rFonts w:ascii="Arial" w:hAnsi="Arial" w:cs="Arial"/>
                <w:spacing w:val="14"/>
                <w:w w:val="105"/>
              </w:rPr>
              <w:t xml:space="preserve"> </w:t>
            </w:r>
            <w:r w:rsidRPr="00CB41A3">
              <w:rPr>
                <w:rFonts w:ascii="Arial" w:hAnsi="Arial" w:cs="Arial"/>
                <w:w w:val="105"/>
              </w:rPr>
              <w:t>response</w:t>
            </w:r>
            <w:r w:rsidRPr="00CB41A3">
              <w:rPr>
                <w:rFonts w:ascii="Arial" w:hAnsi="Arial" w:cs="Arial"/>
                <w:spacing w:val="14"/>
                <w:w w:val="105"/>
              </w:rPr>
              <w:t xml:space="preserve"> </w:t>
            </w:r>
            <m:oMath>
              <m:sSub>
                <m:sSubPr>
                  <m:ctrlPr>
                    <w:rPr>
                      <w:rFonts w:ascii="Cambria Math" w:hAnsi="Cambria Math" w:cs="Arial"/>
                      <w:i/>
                      <w:iCs/>
                      <w:spacing w:val="-5"/>
                      <w:w w:val="105"/>
                    </w:rPr>
                  </m:ctrlPr>
                </m:sSubPr>
                <m:e>
                  <m:r>
                    <w:rPr>
                      <w:rFonts w:ascii="Cambria Math" w:hAnsi="Cambria Math" w:cs="Arial"/>
                      <w:spacing w:val="-5"/>
                      <w:w w:val="105"/>
                    </w:rPr>
                    <m:t>ϕ</m:t>
                  </m:r>
                </m:e>
                <m:sub>
                  <m:r>
                    <w:rPr>
                      <w:rFonts w:ascii="Cambria Math" w:eastAsia="Trebuchet MS" w:hAnsi="Cambria Math" w:cs="Arial"/>
                      <w:spacing w:val="-5"/>
                      <w:w w:val="105"/>
                      <w:vertAlign w:val="subscript"/>
                    </w:rPr>
                    <m:t>π</m:t>
                  </m:r>
                </m:sub>
              </m:sSub>
            </m:oMath>
          </w:p>
        </w:tc>
        <w:tc>
          <w:tcPr>
            <w:tcW w:w="851" w:type="dxa"/>
          </w:tcPr>
          <w:p w14:paraId="1FB825E0" w14:textId="77777777" w:rsidR="00CB41A3" w:rsidRPr="00CB41A3" w:rsidRDefault="00CB41A3" w:rsidP="002B00D4">
            <w:pPr>
              <w:pStyle w:val="TableParagraph"/>
              <w:ind w:left="6" w:right="1"/>
              <w:jc w:val="center"/>
              <w:rPr>
                <w:rFonts w:ascii="Arial" w:hAnsi="Arial" w:cs="Arial"/>
              </w:rPr>
            </w:pPr>
            <w:r w:rsidRPr="00CB41A3">
              <w:rPr>
                <w:rFonts w:ascii="Arial" w:hAnsi="Arial" w:cs="Arial"/>
                <w:spacing w:val="-4"/>
              </w:rPr>
              <w:t>1.25</w:t>
            </w:r>
          </w:p>
        </w:tc>
        <w:tc>
          <w:tcPr>
            <w:tcW w:w="4111" w:type="dxa"/>
          </w:tcPr>
          <w:p w14:paraId="7691BACB" w14:textId="77777777" w:rsidR="00CB41A3" w:rsidRPr="00CB41A3" w:rsidRDefault="00CB41A3" w:rsidP="002B00D4">
            <w:pPr>
              <w:pStyle w:val="TableParagraph"/>
              <w:rPr>
                <w:rFonts w:ascii="Arial" w:hAnsi="Arial" w:cs="Arial"/>
              </w:rPr>
            </w:pPr>
            <w:hyperlink w:anchor="_bookmark58" w:history="1">
              <w:r w:rsidRPr="00CB41A3">
                <w:rPr>
                  <w:rFonts w:ascii="Arial" w:hAnsi="Arial" w:cs="Arial"/>
                  <w:color w:val="0021D1"/>
                </w:rPr>
                <w:t>Valdivia</w:t>
              </w:r>
              <w:r w:rsidRPr="00CB41A3">
                <w:rPr>
                  <w:rFonts w:ascii="Arial" w:hAnsi="Arial" w:cs="Arial"/>
                  <w:color w:val="0021D1"/>
                  <w:spacing w:val="49"/>
                </w:rPr>
                <w:t xml:space="preserve"> </w:t>
              </w:r>
              <w:r w:rsidRPr="00CB41A3">
                <w:rPr>
                  <w:rFonts w:ascii="Arial" w:hAnsi="Arial" w:cs="Arial"/>
                  <w:color w:val="0021D1"/>
                </w:rPr>
                <w:t>and</w:t>
              </w:r>
              <w:r w:rsidRPr="00CB41A3">
                <w:rPr>
                  <w:rFonts w:ascii="Arial" w:hAnsi="Arial" w:cs="Arial"/>
                  <w:color w:val="0021D1"/>
                  <w:spacing w:val="49"/>
                </w:rPr>
                <w:t xml:space="preserve"> </w:t>
              </w:r>
              <w:r w:rsidRPr="00CB41A3">
                <w:rPr>
                  <w:rFonts w:ascii="Arial" w:hAnsi="Arial" w:cs="Arial"/>
                  <w:color w:val="0021D1"/>
                </w:rPr>
                <w:t>Montenegro</w:t>
              </w:r>
            </w:hyperlink>
            <w:r w:rsidRPr="00CB41A3">
              <w:rPr>
                <w:rFonts w:ascii="Arial" w:hAnsi="Arial" w:cs="Arial"/>
                <w:color w:val="0021D1"/>
                <w:spacing w:val="49"/>
              </w:rPr>
              <w:t xml:space="preserve"> </w:t>
            </w:r>
            <w:r w:rsidRPr="00CB41A3">
              <w:rPr>
                <w:rFonts w:ascii="Arial" w:hAnsi="Arial" w:cs="Arial"/>
                <w:spacing w:val="-2"/>
              </w:rPr>
              <w:t>(</w:t>
            </w:r>
            <w:hyperlink w:anchor="_bookmark58" w:history="1">
              <w:r w:rsidRPr="00CB41A3">
                <w:rPr>
                  <w:rFonts w:ascii="Arial" w:hAnsi="Arial" w:cs="Arial"/>
                  <w:color w:val="0021D1"/>
                  <w:spacing w:val="-2"/>
                </w:rPr>
                <w:t>2009</w:t>
              </w:r>
            </w:hyperlink>
            <w:r w:rsidRPr="00CB41A3">
              <w:rPr>
                <w:rFonts w:ascii="Arial" w:hAnsi="Arial" w:cs="Arial"/>
                <w:spacing w:val="-2"/>
              </w:rPr>
              <w:t>)</w:t>
            </w:r>
          </w:p>
        </w:tc>
      </w:tr>
      <w:tr w:rsidR="00CB41A3" w:rsidRPr="00CB41A3" w14:paraId="4256A7BA" w14:textId="77777777" w:rsidTr="007B3C7D">
        <w:trPr>
          <w:trHeight w:val="296"/>
        </w:trPr>
        <w:tc>
          <w:tcPr>
            <w:tcW w:w="4490" w:type="dxa"/>
          </w:tcPr>
          <w:p w14:paraId="5F4B93D2" w14:textId="7B82F152" w:rsidR="00CB41A3" w:rsidRPr="00CB41A3" w:rsidRDefault="00CB41A3" w:rsidP="002B00D4">
            <w:pPr>
              <w:pStyle w:val="TableParagraph"/>
              <w:rPr>
                <w:rFonts w:ascii="Arial" w:hAnsi="Arial" w:cs="Arial"/>
                <w:i/>
              </w:rPr>
            </w:pPr>
            <w:r w:rsidRPr="00CB41A3">
              <w:rPr>
                <w:rFonts w:ascii="Arial" w:hAnsi="Arial" w:cs="Arial"/>
                <w:w w:val="105"/>
              </w:rPr>
              <w:t>Interest-rate</w:t>
            </w:r>
            <w:r w:rsidRPr="00CB41A3">
              <w:rPr>
                <w:rFonts w:ascii="Arial" w:hAnsi="Arial" w:cs="Arial"/>
                <w:spacing w:val="5"/>
                <w:w w:val="105"/>
              </w:rPr>
              <w:t xml:space="preserve"> </w:t>
            </w:r>
            <w:r w:rsidRPr="00CB41A3">
              <w:rPr>
                <w:rFonts w:ascii="Arial" w:hAnsi="Arial" w:cs="Arial"/>
                <w:w w:val="105"/>
              </w:rPr>
              <w:t>smoothing</w:t>
            </w:r>
            <w:r w:rsidRPr="00CB41A3">
              <w:rPr>
                <w:rFonts w:ascii="Arial" w:hAnsi="Arial" w:cs="Arial"/>
                <w:spacing w:val="5"/>
                <w:w w:val="105"/>
              </w:rPr>
              <w:t xml:space="preserve"> </w:t>
            </w:r>
            <m:oMath>
              <m:sSub>
                <m:sSubPr>
                  <m:ctrlPr>
                    <w:rPr>
                      <w:rFonts w:ascii="Cambria Math" w:hAnsi="Cambria Math" w:cs="Arial"/>
                      <w:i/>
                      <w:spacing w:val="-5"/>
                      <w:w w:val="105"/>
                    </w:rPr>
                  </m:ctrlPr>
                </m:sSubPr>
                <m:e>
                  <m:r>
                    <w:rPr>
                      <w:rFonts w:ascii="Cambria Math" w:hAnsi="Cambria Math" w:cs="Arial"/>
                      <w:spacing w:val="-5"/>
                      <w:w w:val="105"/>
                    </w:rPr>
                    <m:t>ρ</m:t>
                  </m:r>
                </m:e>
                <m:sub>
                  <m:r>
                    <w:rPr>
                      <w:rFonts w:ascii="Cambria Math" w:hAnsi="Cambria Math" w:cs="Arial"/>
                      <w:spacing w:val="-5"/>
                      <w:w w:val="105"/>
                      <w:vertAlign w:val="subscript"/>
                    </w:rPr>
                    <m:t>i</m:t>
                  </m:r>
                </m:sub>
              </m:sSub>
            </m:oMath>
          </w:p>
        </w:tc>
        <w:tc>
          <w:tcPr>
            <w:tcW w:w="851" w:type="dxa"/>
          </w:tcPr>
          <w:p w14:paraId="7172C63D" w14:textId="77777777" w:rsidR="00CB41A3" w:rsidRPr="00CB41A3" w:rsidRDefault="00CB41A3" w:rsidP="002B00D4">
            <w:pPr>
              <w:pStyle w:val="TableParagraph"/>
              <w:ind w:left="6" w:right="1"/>
              <w:jc w:val="center"/>
              <w:rPr>
                <w:rFonts w:ascii="Arial" w:hAnsi="Arial" w:cs="Arial"/>
              </w:rPr>
            </w:pPr>
            <w:r w:rsidRPr="00CB41A3">
              <w:rPr>
                <w:rFonts w:ascii="Arial" w:hAnsi="Arial" w:cs="Arial"/>
                <w:spacing w:val="-2"/>
              </w:rPr>
              <w:t>0.846</w:t>
            </w:r>
          </w:p>
        </w:tc>
        <w:tc>
          <w:tcPr>
            <w:tcW w:w="4111" w:type="dxa"/>
          </w:tcPr>
          <w:p w14:paraId="5B2C0207" w14:textId="77777777" w:rsidR="00CB41A3" w:rsidRPr="00CB41A3" w:rsidRDefault="00CB41A3" w:rsidP="002B00D4">
            <w:pPr>
              <w:pStyle w:val="TableParagraph"/>
              <w:rPr>
                <w:rFonts w:ascii="Arial" w:hAnsi="Arial" w:cs="Arial"/>
              </w:rPr>
            </w:pPr>
            <w:hyperlink w:anchor="_bookmark53" w:history="1">
              <w:r w:rsidRPr="00CB41A3">
                <w:rPr>
                  <w:rFonts w:ascii="Arial" w:hAnsi="Arial" w:cs="Arial"/>
                  <w:color w:val="0021D1"/>
                  <w:w w:val="105"/>
                </w:rPr>
                <w:t>Mendieta-Ossio</w:t>
              </w:r>
            </w:hyperlink>
            <w:r w:rsidRPr="00CB41A3">
              <w:rPr>
                <w:rFonts w:ascii="Arial" w:hAnsi="Arial" w:cs="Arial"/>
                <w:color w:val="0021D1"/>
                <w:spacing w:val="5"/>
                <w:w w:val="105"/>
              </w:rPr>
              <w:t xml:space="preserve"> </w:t>
            </w:r>
            <w:r w:rsidRPr="00CB41A3">
              <w:rPr>
                <w:rFonts w:ascii="Arial" w:hAnsi="Arial" w:cs="Arial"/>
                <w:spacing w:val="-2"/>
                <w:w w:val="105"/>
              </w:rPr>
              <w:t>(</w:t>
            </w:r>
            <w:hyperlink w:anchor="_bookmark53" w:history="1">
              <w:r w:rsidRPr="00CB41A3">
                <w:rPr>
                  <w:rFonts w:ascii="Arial" w:hAnsi="Arial" w:cs="Arial"/>
                  <w:color w:val="0021D1"/>
                  <w:spacing w:val="-2"/>
                  <w:w w:val="105"/>
                </w:rPr>
                <w:t>2010</w:t>
              </w:r>
            </w:hyperlink>
            <w:r w:rsidRPr="00CB41A3">
              <w:rPr>
                <w:rFonts w:ascii="Arial" w:hAnsi="Arial" w:cs="Arial"/>
                <w:spacing w:val="-2"/>
                <w:w w:val="105"/>
              </w:rPr>
              <w:t>)</w:t>
            </w:r>
          </w:p>
        </w:tc>
      </w:tr>
      <w:tr w:rsidR="00CB41A3" w:rsidRPr="00CB41A3" w14:paraId="1A671EDF" w14:textId="77777777" w:rsidTr="007B3C7D">
        <w:trPr>
          <w:trHeight w:val="289"/>
        </w:trPr>
        <w:tc>
          <w:tcPr>
            <w:tcW w:w="4490" w:type="dxa"/>
          </w:tcPr>
          <w:p w14:paraId="116D549A" w14:textId="53A1C7E1" w:rsidR="00CB41A3" w:rsidRPr="00CB41A3" w:rsidRDefault="00CB41A3" w:rsidP="002B00D4">
            <w:pPr>
              <w:pStyle w:val="TableParagraph"/>
              <w:rPr>
                <w:rFonts w:ascii="Arial" w:hAnsi="Arial" w:cs="Arial"/>
                <w:i/>
              </w:rPr>
            </w:pPr>
            <w:r w:rsidRPr="00CB41A3">
              <w:rPr>
                <w:rFonts w:ascii="Arial" w:hAnsi="Arial" w:cs="Arial"/>
                <w:w w:val="120"/>
              </w:rPr>
              <w:t>NKPC</w:t>
            </w:r>
            <w:r w:rsidRPr="00CB41A3">
              <w:rPr>
                <w:rFonts w:ascii="Arial" w:hAnsi="Arial" w:cs="Arial"/>
                <w:spacing w:val="-8"/>
                <w:w w:val="120"/>
              </w:rPr>
              <w:t xml:space="preserve"> </w:t>
            </w:r>
            <w:r w:rsidRPr="00CB41A3">
              <w:rPr>
                <w:rFonts w:ascii="Arial" w:hAnsi="Arial" w:cs="Arial"/>
                <w:w w:val="120"/>
              </w:rPr>
              <w:t>slope</w:t>
            </w:r>
            <w:r w:rsidRPr="00CB41A3">
              <w:rPr>
                <w:rFonts w:ascii="Arial" w:hAnsi="Arial" w:cs="Arial"/>
                <w:spacing w:val="-7"/>
                <w:w w:val="120"/>
              </w:rPr>
              <w:t xml:space="preserve"> </w:t>
            </w:r>
            <m:oMath>
              <m:r>
                <w:rPr>
                  <w:rFonts w:ascii="Cambria Math" w:hAnsi="Cambria Math" w:cs="Arial"/>
                  <w:spacing w:val="-10"/>
                  <w:w w:val="120"/>
                </w:rPr>
                <m:t>κ</m:t>
              </m:r>
            </m:oMath>
          </w:p>
        </w:tc>
        <w:tc>
          <w:tcPr>
            <w:tcW w:w="851" w:type="dxa"/>
          </w:tcPr>
          <w:p w14:paraId="2A535D1B" w14:textId="77777777" w:rsidR="00CB41A3" w:rsidRPr="00CB41A3" w:rsidRDefault="00CB41A3" w:rsidP="002B00D4">
            <w:pPr>
              <w:pStyle w:val="TableParagraph"/>
              <w:ind w:left="6" w:right="1"/>
              <w:jc w:val="center"/>
              <w:rPr>
                <w:rFonts w:ascii="Arial" w:hAnsi="Arial" w:cs="Arial"/>
              </w:rPr>
            </w:pPr>
            <w:r w:rsidRPr="00CB41A3">
              <w:rPr>
                <w:rFonts w:ascii="Arial" w:hAnsi="Arial" w:cs="Arial"/>
                <w:spacing w:val="-2"/>
              </w:rPr>
              <w:t>0.242</w:t>
            </w:r>
          </w:p>
        </w:tc>
        <w:tc>
          <w:tcPr>
            <w:tcW w:w="4111" w:type="dxa"/>
          </w:tcPr>
          <w:p w14:paraId="5B27A162" w14:textId="77777777" w:rsidR="00CB41A3" w:rsidRPr="00CB41A3" w:rsidRDefault="00CB41A3" w:rsidP="002B00D4">
            <w:pPr>
              <w:pStyle w:val="TableParagraph"/>
              <w:rPr>
                <w:rFonts w:ascii="Arial" w:hAnsi="Arial" w:cs="Arial"/>
              </w:rPr>
            </w:pPr>
            <w:hyperlink w:anchor="_bookmark53" w:history="1">
              <w:r w:rsidRPr="00CB41A3">
                <w:rPr>
                  <w:rFonts w:ascii="Arial" w:hAnsi="Arial" w:cs="Arial"/>
                  <w:color w:val="0021D1"/>
                  <w:w w:val="105"/>
                </w:rPr>
                <w:t>Mendieta-Ossio</w:t>
              </w:r>
            </w:hyperlink>
            <w:r w:rsidRPr="00CB41A3">
              <w:rPr>
                <w:rFonts w:ascii="Arial" w:hAnsi="Arial" w:cs="Arial"/>
                <w:color w:val="0021D1"/>
                <w:spacing w:val="5"/>
                <w:w w:val="105"/>
              </w:rPr>
              <w:t xml:space="preserve"> </w:t>
            </w:r>
            <w:r w:rsidRPr="00CB41A3">
              <w:rPr>
                <w:rFonts w:ascii="Arial" w:hAnsi="Arial" w:cs="Arial"/>
                <w:spacing w:val="-2"/>
                <w:w w:val="105"/>
              </w:rPr>
              <w:t>(</w:t>
            </w:r>
            <w:hyperlink w:anchor="_bookmark53" w:history="1">
              <w:r w:rsidRPr="00CB41A3">
                <w:rPr>
                  <w:rFonts w:ascii="Arial" w:hAnsi="Arial" w:cs="Arial"/>
                  <w:color w:val="0021D1"/>
                  <w:spacing w:val="-2"/>
                  <w:w w:val="105"/>
                </w:rPr>
                <w:t>2010</w:t>
              </w:r>
            </w:hyperlink>
            <w:r w:rsidRPr="00CB41A3">
              <w:rPr>
                <w:rFonts w:ascii="Arial" w:hAnsi="Arial" w:cs="Arial"/>
                <w:spacing w:val="-2"/>
                <w:w w:val="105"/>
              </w:rPr>
              <w:t>)</w:t>
            </w:r>
          </w:p>
        </w:tc>
      </w:tr>
      <w:tr w:rsidR="00CB41A3" w:rsidRPr="00CB41A3" w14:paraId="317A55BF" w14:textId="77777777" w:rsidTr="007B3C7D">
        <w:trPr>
          <w:trHeight w:val="304"/>
        </w:trPr>
        <w:tc>
          <w:tcPr>
            <w:tcW w:w="4490" w:type="dxa"/>
          </w:tcPr>
          <w:p w14:paraId="01180491" w14:textId="1618415D" w:rsidR="00CB41A3" w:rsidRPr="00CB41A3" w:rsidRDefault="00CB41A3" w:rsidP="002B00D4">
            <w:pPr>
              <w:pStyle w:val="TableParagraph"/>
              <w:spacing w:before="7"/>
              <w:rPr>
                <w:rFonts w:ascii="Arial" w:eastAsia="Trebuchet MS" w:hAnsi="Arial" w:cs="Arial"/>
                <w:i/>
                <w:iCs/>
              </w:rPr>
            </w:pPr>
            <w:r w:rsidRPr="00CB41A3">
              <w:rPr>
                <w:rFonts w:ascii="Arial" w:hAnsi="Arial" w:cs="Arial"/>
                <w:w w:val="105"/>
              </w:rPr>
              <w:t>Exchange-rate</w:t>
            </w:r>
            <w:r w:rsidRPr="00CB41A3">
              <w:rPr>
                <w:rFonts w:ascii="Arial" w:hAnsi="Arial" w:cs="Arial"/>
                <w:spacing w:val="19"/>
                <w:w w:val="105"/>
              </w:rPr>
              <w:t xml:space="preserve"> </w:t>
            </w:r>
            <w:r w:rsidRPr="00CB41A3">
              <w:rPr>
                <w:rFonts w:ascii="Arial" w:hAnsi="Arial" w:cs="Arial"/>
                <w:w w:val="105"/>
              </w:rPr>
              <w:t>passthrough</w:t>
            </w:r>
            <w:r w:rsidRPr="00CB41A3">
              <w:rPr>
                <w:rFonts w:ascii="Arial" w:hAnsi="Arial" w:cs="Arial"/>
                <w:spacing w:val="20"/>
                <w:w w:val="105"/>
              </w:rPr>
              <w:t xml:space="preserve"> </w:t>
            </w:r>
            <w:r w:rsidRPr="00CB41A3">
              <w:rPr>
                <w:rFonts w:ascii="Arial" w:hAnsi="Arial" w:cs="Arial"/>
                <w:w w:val="105"/>
              </w:rPr>
              <w:t>to</w:t>
            </w:r>
            <w:r w:rsidRPr="00CB41A3">
              <w:rPr>
                <w:rFonts w:ascii="Arial" w:hAnsi="Arial" w:cs="Arial"/>
                <w:spacing w:val="20"/>
                <w:w w:val="105"/>
              </w:rPr>
              <w:t xml:space="preserve"> </w:t>
            </w:r>
            <w:r w:rsidRPr="00CB41A3">
              <w:rPr>
                <w:rFonts w:ascii="Arial" w:hAnsi="Arial" w:cs="Arial"/>
                <w:w w:val="105"/>
              </w:rPr>
              <w:t>inflation</w:t>
            </w:r>
            <w:r w:rsidRPr="00CB41A3">
              <w:rPr>
                <w:rFonts w:ascii="Arial" w:hAnsi="Arial" w:cs="Arial"/>
                <w:spacing w:val="20"/>
                <w:w w:val="105"/>
              </w:rPr>
              <w:t xml:space="preserve"> </w:t>
            </w:r>
            <m:oMath>
              <m:sSub>
                <m:sSubPr>
                  <m:ctrlPr>
                    <w:rPr>
                      <w:rFonts w:ascii="Cambria Math" w:hAnsi="Cambria Math" w:cs="Arial"/>
                      <w:i/>
                      <w:iCs/>
                      <w:spacing w:val="-5"/>
                      <w:w w:val="105"/>
                    </w:rPr>
                  </m:ctrlPr>
                </m:sSubPr>
                <m:e>
                  <m:r>
                    <w:rPr>
                      <w:rFonts w:ascii="Cambria Math" w:hAnsi="Cambria Math" w:cs="Arial"/>
                      <w:spacing w:val="-5"/>
                      <w:w w:val="105"/>
                    </w:rPr>
                    <m:t>ϕ</m:t>
                  </m:r>
                </m:e>
                <m:sub>
                  <m:r>
                    <w:rPr>
                      <w:rFonts w:ascii="Cambria Math" w:eastAsia="Trebuchet MS" w:hAnsi="Cambria Math" w:cs="Arial"/>
                      <w:spacing w:val="-5"/>
                      <w:w w:val="105"/>
                      <w:vertAlign w:val="subscript"/>
                    </w:rPr>
                    <m:t>e</m:t>
                  </m:r>
                </m:sub>
              </m:sSub>
            </m:oMath>
          </w:p>
        </w:tc>
        <w:tc>
          <w:tcPr>
            <w:tcW w:w="851" w:type="dxa"/>
          </w:tcPr>
          <w:p w14:paraId="1173E0F5" w14:textId="77777777" w:rsidR="00CB41A3" w:rsidRPr="00CB41A3" w:rsidRDefault="00CB41A3" w:rsidP="002B00D4">
            <w:pPr>
              <w:pStyle w:val="TableParagraph"/>
              <w:spacing w:before="7"/>
              <w:ind w:left="6" w:right="1"/>
              <w:jc w:val="center"/>
              <w:rPr>
                <w:rFonts w:ascii="Arial" w:hAnsi="Arial" w:cs="Arial"/>
              </w:rPr>
            </w:pPr>
            <w:r w:rsidRPr="00CB41A3">
              <w:rPr>
                <w:rFonts w:ascii="Arial" w:hAnsi="Arial" w:cs="Arial"/>
                <w:spacing w:val="-2"/>
              </w:rPr>
              <w:t>0.193</w:t>
            </w:r>
          </w:p>
        </w:tc>
        <w:tc>
          <w:tcPr>
            <w:tcW w:w="4111" w:type="dxa"/>
          </w:tcPr>
          <w:p w14:paraId="2589C5EA" w14:textId="77777777" w:rsidR="00CB41A3" w:rsidRPr="00CB41A3" w:rsidRDefault="00CB41A3" w:rsidP="002B00D4">
            <w:pPr>
              <w:pStyle w:val="TableParagraph"/>
              <w:spacing w:before="7"/>
              <w:rPr>
                <w:rFonts w:ascii="Arial" w:hAnsi="Arial" w:cs="Arial"/>
              </w:rPr>
            </w:pPr>
            <w:hyperlink w:anchor="_bookmark53" w:history="1">
              <w:r w:rsidRPr="00CB41A3">
                <w:rPr>
                  <w:rFonts w:ascii="Arial" w:hAnsi="Arial" w:cs="Arial"/>
                  <w:color w:val="0021D1"/>
                  <w:w w:val="105"/>
                </w:rPr>
                <w:t>Mendieta-Ossio</w:t>
              </w:r>
            </w:hyperlink>
            <w:r w:rsidRPr="00CB41A3">
              <w:rPr>
                <w:rFonts w:ascii="Arial" w:hAnsi="Arial" w:cs="Arial"/>
                <w:color w:val="0021D1"/>
                <w:spacing w:val="5"/>
                <w:w w:val="105"/>
              </w:rPr>
              <w:t xml:space="preserve"> </w:t>
            </w:r>
            <w:r w:rsidRPr="00CB41A3">
              <w:rPr>
                <w:rFonts w:ascii="Arial" w:hAnsi="Arial" w:cs="Arial"/>
                <w:spacing w:val="-2"/>
                <w:w w:val="105"/>
              </w:rPr>
              <w:t>(</w:t>
            </w:r>
            <w:hyperlink w:anchor="_bookmark53" w:history="1">
              <w:r w:rsidRPr="00CB41A3">
                <w:rPr>
                  <w:rFonts w:ascii="Arial" w:hAnsi="Arial" w:cs="Arial"/>
                  <w:color w:val="0021D1"/>
                  <w:spacing w:val="-2"/>
                  <w:w w:val="105"/>
                </w:rPr>
                <w:t>2010</w:t>
              </w:r>
            </w:hyperlink>
            <w:r w:rsidRPr="00CB41A3">
              <w:rPr>
                <w:rFonts w:ascii="Arial" w:hAnsi="Arial" w:cs="Arial"/>
                <w:spacing w:val="-2"/>
                <w:w w:val="105"/>
              </w:rPr>
              <w:t>)</w:t>
            </w:r>
          </w:p>
        </w:tc>
      </w:tr>
      <w:tr w:rsidR="00CB41A3" w:rsidRPr="00CF0423" w14:paraId="624D5EA8" w14:textId="77777777" w:rsidTr="007B3C7D">
        <w:trPr>
          <w:trHeight w:val="296"/>
        </w:trPr>
        <w:tc>
          <w:tcPr>
            <w:tcW w:w="4490" w:type="dxa"/>
          </w:tcPr>
          <w:p w14:paraId="3D385744" w14:textId="06595668" w:rsidR="00CB41A3" w:rsidRPr="00CB41A3" w:rsidRDefault="00CB41A3" w:rsidP="002B00D4">
            <w:pPr>
              <w:pStyle w:val="TableParagraph"/>
              <w:rPr>
                <w:rFonts w:ascii="Arial" w:eastAsia="Trebuchet MS" w:hAnsi="Arial" w:cs="Arial"/>
                <w:i/>
                <w:iCs/>
              </w:rPr>
            </w:pPr>
            <w:r w:rsidRPr="00CB41A3">
              <w:rPr>
                <w:rFonts w:ascii="Arial" w:hAnsi="Arial" w:cs="Arial"/>
                <w:w w:val="105"/>
              </w:rPr>
              <w:t>Sentiment</w:t>
            </w:r>
            <w:r w:rsidRPr="00CB41A3">
              <w:rPr>
                <w:rFonts w:ascii="Arial" w:hAnsi="Arial" w:cs="Arial"/>
                <w:spacing w:val="3"/>
                <w:w w:val="105"/>
              </w:rPr>
              <w:t xml:space="preserve"> </w:t>
            </w:r>
            <w:r w:rsidRPr="00CB41A3">
              <w:rPr>
                <w:rFonts w:ascii="Arial" w:hAnsi="Arial" w:cs="Arial"/>
                <w:w w:val="105"/>
              </w:rPr>
              <w:t>effect</w:t>
            </w:r>
            <w:r w:rsidRPr="00CB41A3">
              <w:rPr>
                <w:rFonts w:ascii="Arial" w:hAnsi="Arial" w:cs="Arial"/>
                <w:spacing w:val="3"/>
                <w:w w:val="105"/>
              </w:rPr>
              <w:t xml:space="preserve"> </w:t>
            </w:r>
            <w:r w:rsidRPr="00CB41A3">
              <w:rPr>
                <w:rFonts w:ascii="Arial" w:hAnsi="Arial" w:cs="Arial"/>
                <w:w w:val="105"/>
              </w:rPr>
              <w:t>on</w:t>
            </w:r>
            <w:r w:rsidRPr="00CB41A3">
              <w:rPr>
                <w:rFonts w:ascii="Arial" w:hAnsi="Arial" w:cs="Arial"/>
                <w:spacing w:val="3"/>
                <w:w w:val="105"/>
              </w:rPr>
              <w:t xml:space="preserve"> </w:t>
            </w:r>
            <w:r w:rsidRPr="00CB41A3">
              <w:rPr>
                <w:rFonts w:ascii="Arial" w:hAnsi="Arial" w:cs="Arial"/>
                <w:w w:val="105"/>
              </w:rPr>
              <w:t>output</w:t>
            </w:r>
            <w:r w:rsidRPr="00CB41A3">
              <w:rPr>
                <w:rFonts w:ascii="Arial" w:hAnsi="Arial" w:cs="Arial"/>
                <w:spacing w:val="3"/>
                <w:w w:val="105"/>
              </w:rPr>
              <w:t xml:space="preserve"> </w:t>
            </w:r>
            <m:oMath>
              <m:sSub>
                <m:sSubPr>
                  <m:ctrlPr>
                    <w:rPr>
                      <w:rFonts w:ascii="Cambria Math" w:hAnsi="Cambria Math" w:cs="Arial"/>
                      <w:i/>
                      <w:iCs/>
                      <w:spacing w:val="-5"/>
                      <w:w w:val="105"/>
                    </w:rPr>
                  </m:ctrlPr>
                </m:sSubPr>
                <m:e>
                  <m:r>
                    <w:rPr>
                      <w:rFonts w:ascii="Cambria Math" w:hAnsi="Cambria Math" w:cs="Arial"/>
                      <w:spacing w:val="-5"/>
                      <w:w w:val="105"/>
                    </w:rPr>
                    <m:t>ϕ</m:t>
                  </m:r>
                </m:e>
                <m:sub>
                  <m:r>
                    <w:rPr>
                      <w:rFonts w:ascii="Cambria Math" w:eastAsia="Trebuchet MS" w:hAnsi="Cambria Math" w:cs="Arial"/>
                      <w:spacing w:val="-5"/>
                      <w:w w:val="105"/>
                      <w:vertAlign w:val="subscript"/>
                    </w:rPr>
                    <m:t>s</m:t>
                  </m:r>
                </m:sub>
              </m:sSub>
            </m:oMath>
          </w:p>
        </w:tc>
        <w:tc>
          <w:tcPr>
            <w:tcW w:w="851" w:type="dxa"/>
          </w:tcPr>
          <w:p w14:paraId="3578A9DA" w14:textId="77777777" w:rsidR="00CB41A3" w:rsidRPr="00CB41A3" w:rsidRDefault="00CB41A3" w:rsidP="002B00D4">
            <w:pPr>
              <w:pStyle w:val="TableParagraph"/>
              <w:ind w:left="6" w:right="1"/>
              <w:jc w:val="center"/>
              <w:rPr>
                <w:rFonts w:ascii="Arial" w:hAnsi="Arial" w:cs="Arial"/>
              </w:rPr>
            </w:pPr>
            <w:r w:rsidRPr="00CB41A3">
              <w:rPr>
                <w:rFonts w:ascii="Arial" w:hAnsi="Arial" w:cs="Arial"/>
                <w:spacing w:val="-2"/>
              </w:rPr>
              <w:t>0.074</w:t>
            </w:r>
          </w:p>
        </w:tc>
        <w:tc>
          <w:tcPr>
            <w:tcW w:w="4111" w:type="dxa"/>
          </w:tcPr>
          <w:p w14:paraId="7118DFC4" w14:textId="77777777" w:rsidR="00CB41A3" w:rsidRPr="00CB41A3" w:rsidRDefault="00CB41A3" w:rsidP="002B00D4">
            <w:pPr>
              <w:pStyle w:val="TableParagraph"/>
              <w:rPr>
                <w:rFonts w:ascii="Arial" w:hAnsi="Arial" w:cs="Arial"/>
              </w:rPr>
            </w:pPr>
            <w:r w:rsidRPr="00CB41A3">
              <w:rPr>
                <w:rFonts w:ascii="Arial" w:hAnsi="Arial" w:cs="Arial"/>
                <w:w w:val="105"/>
              </w:rPr>
              <w:t>Calibrated</w:t>
            </w:r>
            <w:r w:rsidRPr="00CB41A3">
              <w:rPr>
                <w:rFonts w:ascii="Arial" w:hAnsi="Arial" w:cs="Arial"/>
                <w:spacing w:val="27"/>
                <w:w w:val="105"/>
              </w:rPr>
              <w:t xml:space="preserve"> </w:t>
            </w:r>
            <w:r w:rsidRPr="00CB41A3">
              <w:rPr>
                <w:rFonts w:ascii="Arial" w:hAnsi="Arial" w:cs="Arial"/>
                <w:w w:val="105"/>
              </w:rPr>
              <w:t>to</w:t>
            </w:r>
            <w:r w:rsidRPr="00CB41A3">
              <w:rPr>
                <w:rFonts w:ascii="Arial" w:hAnsi="Arial" w:cs="Arial"/>
                <w:spacing w:val="27"/>
                <w:w w:val="105"/>
              </w:rPr>
              <w:t xml:space="preserve"> </w:t>
            </w:r>
            <w:r w:rsidRPr="00CB41A3">
              <w:rPr>
                <w:rFonts w:ascii="Arial" w:hAnsi="Arial" w:cs="Arial"/>
                <w:w w:val="105"/>
              </w:rPr>
              <w:t>fit</w:t>
            </w:r>
            <w:r w:rsidRPr="00CB41A3">
              <w:rPr>
                <w:rFonts w:ascii="Arial" w:hAnsi="Arial" w:cs="Arial"/>
                <w:spacing w:val="27"/>
                <w:w w:val="105"/>
              </w:rPr>
              <w:t xml:space="preserve"> </w:t>
            </w:r>
            <w:r w:rsidRPr="00CB41A3">
              <w:rPr>
                <w:rFonts w:ascii="Arial" w:hAnsi="Arial" w:cs="Arial"/>
                <w:w w:val="105"/>
              </w:rPr>
              <w:t>empirical</w:t>
            </w:r>
            <w:r w:rsidRPr="00CB41A3">
              <w:rPr>
                <w:rFonts w:ascii="Arial" w:hAnsi="Arial" w:cs="Arial"/>
                <w:spacing w:val="27"/>
                <w:w w:val="105"/>
              </w:rPr>
              <w:t xml:space="preserve"> </w:t>
            </w:r>
            <w:r w:rsidRPr="00CB41A3">
              <w:rPr>
                <w:rFonts w:ascii="Arial" w:hAnsi="Arial" w:cs="Arial"/>
                <w:spacing w:val="-2"/>
                <w:w w:val="105"/>
              </w:rPr>
              <w:t>correlation</w:t>
            </w:r>
          </w:p>
        </w:tc>
      </w:tr>
      <w:tr w:rsidR="00CB41A3" w:rsidRPr="00CF0423" w14:paraId="7CFBBD5B" w14:textId="77777777" w:rsidTr="007B3C7D">
        <w:trPr>
          <w:trHeight w:val="296"/>
        </w:trPr>
        <w:tc>
          <w:tcPr>
            <w:tcW w:w="4490" w:type="dxa"/>
          </w:tcPr>
          <w:p w14:paraId="4D3547FE" w14:textId="6E25B34D" w:rsidR="00CB41A3" w:rsidRPr="00CB41A3" w:rsidRDefault="00CB41A3" w:rsidP="002B00D4">
            <w:pPr>
              <w:pStyle w:val="TableParagraph"/>
              <w:rPr>
                <w:rFonts w:ascii="Arial" w:hAnsi="Arial" w:cs="Arial"/>
                <w:i/>
              </w:rPr>
            </w:pPr>
            <w:r w:rsidRPr="00CB41A3">
              <w:rPr>
                <w:rFonts w:ascii="Arial" w:hAnsi="Arial" w:cs="Arial"/>
                <w:w w:val="105"/>
              </w:rPr>
              <w:t>Sentiment</w:t>
            </w:r>
            <w:r w:rsidRPr="00CB41A3">
              <w:rPr>
                <w:rFonts w:ascii="Arial" w:hAnsi="Arial" w:cs="Arial"/>
                <w:spacing w:val="-2"/>
                <w:w w:val="105"/>
              </w:rPr>
              <w:t xml:space="preserve"> </w:t>
            </w:r>
            <w:r w:rsidRPr="00CB41A3">
              <w:rPr>
                <w:rFonts w:ascii="Arial" w:hAnsi="Arial" w:cs="Arial"/>
                <w:w w:val="105"/>
              </w:rPr>
              <w:t>effect</w:t>
            </w:r>
            <w:r w:rsidRPr="00CB41A3">
              <w:rPr>
                <w:rFonts w:ascii="Arial" w:hAnsi="Arial" w:cs="Arial"/>
                <w:spacing w:val="-1"/>
                <w:w w:val="105"/>
              </w:rPr>
              <w:t xml:space="preserve"> </w:t>
            </w:r>
            <w:r w:rsidRPr="00CB41A3">
              <w:rPr>
                <w:rFonts w:ascii="Arial" w:hAnsi="Arial" w:cs="Arial"/>
                <w:w w:val="105"/>
              </w:rPr>
              <w:t>on</w:t>
            </w:r>
            <w:r w:rsidRPr="00CB41A3">
              <w:rPr>
                <w:rFonts w:ascii="Arial" w:hAnsi="Arial" w:cs="Arial"/>
                <w:spacing w:val="-1"/>
                <w:w w:val="105"/>
              </w:rPr>
              <w:t xml:space="preserve"> </w:t>
            </w:r>
            <w:r w:rsidRPr="00CB41A3">
              <w:rPr>
                <w:rFonts w:ascii="Arial" w:hAnsi="Arial" w:cs="Arial"/>
                <w:w w:val="105"/>
              </w:rPr>
              <w:t>exchange</w:t>
            </w:r>
            <w:r w:rsidRPr="00CB41A3">
              <w:rPr>
                <w:rFonts w:ascii="Arial" w:hAnsi="Arial" w:cs="Arial"/>
                <w:spacing w:val="-1"/>
                <w:w w:val="105"/>
              </w:rPr>
              <w:t xml:space="preserve"> </w:t>
            </w:r>
            <w:r w:rsidRPr="00CB41A3">
              <w:rPr>
                <w:rFonts w:ascii="Arial" w:hAnsi="Arial" w:cs="Arial"/>
                <w:w w:val="105"/>
              </w:rPr>
              <w:t>rate</w:t>
            </w:r>
            <w:r w:rsidRPr="00CB41A3">
              <w:rPr>
                <w:rFonts w:ascii="Arial" w:hAnsi="Arial" w:cs="Arial"/>
                <w:spacing w:val="-2"/>
                <w:w w:val="105"/>
              </w:rPr>
              <w:t xml:space="preserve"> </w:t>
            </w:r>
            <m:oMath>
              <m:sSub>
                <m:sSubPr>
                  <m:ctrlPr>
                    <w:rPr>
                      <w:rFonts w:ascii="Cambria Math" w:hAnsi="Cambria Math" w:cs="Arial"/>
                      <w:i/>
                      <w:spacing w:val="-5"/>
                      <w:w w:val="105"/>
                    </w:rPr>
                  </m:ctrlPr>
                </m:sSubPr>
                <m:e>
                  <m:r>
                    <w:rPr>
                      <w:rFonts w:ascii="Cambria Math" w:hAnsi="Cambria Math" w:cs="Arial"/>
                      <w:spacing w:val="-5"/>
                      <w:w w:val="105"/>
                    </w:rPr>
                    <m:t>γ</m:t>
                  </m:r>
                </m:e>
                <m:sub>
                  <m:r>
                    <w:rPr>
                      <w:rFonts w:ascii="Cambria Math" w:hAnsi="Cambria Math" w:cs="Arial"/>
                      <w:spacing w:val="-5"/>
                      <w:w w:val="105"/>
                      <w:vertAlign w:val="subscript"/>
                    </w:rPr>
                    <m:t>s</m:t>
                  </m:r>
                </m:sub>
              </m:sSub>
            </m:oMath>
          </w:p>
        </w:tc>
        <w:tc>
          <w:tcPr>
            <w:tcW w:w="851" w:type="dxa"/>
          </w:tcPr>
          <w:p w14:paraId="1017C9DF" w14:textId="77777777" w:rsidR="00CB41A3" w:rsidRPr="00CB41A3" w:rsidRDefault="00CB41A3" w:rsidP="002B00D4">
            <w:pPr>
              <w:pStyle w:val="TableParagraph"/>
              <w:ind w:left="6" w:right="1"/>
              <w:jc w:val="center"/>
              <w:rPr>
                <w:rFonts w:ascii="Arial" w:hAnsi="Arial" w:cs="Arial"/>
              </w:rPr>
            </w:pPr>
            <w:r w:rsidRPr="00CB41A3">
              <w:rPr>
                <w:rFonts w:ascii="Arial" w:hAnsi="Arial" w:cs="Arial"/>
                <w:spacing w:val="-2"/>
              </w:rPr>
              <w:t>0.100</w:t>
            </w:r>
          </w:p>
        </w:tc>
        <w:tc>
          <w:tcPr>
            <w:tcW w:w="4111" w:type="dxa"/>
          </w:tcPr>
          <w:p w14:paraId="7BA82761" w14:textId="77777777" w:rsidR="00CB41A3" w:rsidRPr="00CB41A3" w:rsidRDefault="00CB41A3" w:rsidP="002B00D4">
            <w:pPr>
              <w:pStyle w:val="TableParagraph"/>
              <w:rPr>
                <w:rFonts w:ascii="Arial" w:hAnsi="Arial" w:cs="Arial"/>
              </w:rPr>
            </w:pPr>
            <w:r w:rsidRPr="00CB41A3">
              <w:rPr>
                <w:rFonts w:ascii="Arial" w:hAnsi="Arial" w:cs="Arial"/>
                <w:w w:val="105"/>
              </w:rPr>
              <w:t>Calibrated</w:t>
            </w:r>
            <w:r w:rsidRPr="00CB41A3">
              <w:rPr>
                <w:rFonts w:ascii="Arial" w:hAnsi="Arial" w:cs="Arial"/>
                <w:spacing w:val="27"/>
                <w:w w:val="105"/>
              </w:rPr>
              <w:t xml:space="preserve"> </w:t>
            </w:r>
            <w:r w:rsidRPr="00CB41A3">
              <w:rPr>
                <w:rFonts w:ascii="Arial" w:hAnsi="Arial" w:cs="Arial"/>
                <w:w w:val="105"/>
              </w:rPr>
              <w:t>to</w:t>
            </w:r>
            <w:r w:rsidRPr="00CB41A3">
              <w:rPr>
                <w:rFonts w:ascii="Arial" w:hAnsi="Arial" w:cs="Arial"/>
                <w:spacing w:val="27"/>
                <w:w w:val="105"/>
              </w:rPr>
              <w:t xml:space="preserve"> </w:t>
            </w:r>
            <w:r w:rsidRPr="00CB41A3">
              <w:rPr>
                <w:rFonts w:ascii="Arial" w:hAnsi="Arial" w:cs="Arial"/>
                <w:w w:val="105"/>
              </w:rPr>
              <w:t>fit</w:t>
            </w:r>
            <w:r w:rsidRPr="00CB41A3">
              <w:rPr>
                <w:rFonts w:ascii="Arial" w:hAnsi="Arial" w:cs="Arial"/>
                <w:spacing w:val="27"/>
                <w:w w:val="105"/>
              </w:rPr>
              <w:t xml:space="preserve"> </w:t>
            </w:r>
            <w:r w:rsidRPr="00CB41A3">
              <w:rPr>
                <w:rFonts w:ascii="Arial" w:hAnsi="Arial" w:cs="Arial"/>
                <w:w w:val="105"/>
              </w:rPr>
              <w:t>empirical</w:t>
            </w:r>
            <w:r w:rsidRPr="00CB41A3">
              <w:rPr>
                <w:rFonts w:ascii="Arial" w:hAnsi="Arial" w:cs="Arial"/>
                <w:spacing w:val="27"/>
                <w:w w:val="105"/>
              </w:rPr>
              <w:t xml:space="preserve"> </w:t>
            </w:r>
            <w:r w:rsidRPr="00CB41A3">
              <w:rPr>
                <w:rFonts w:ascii="Arial" w:hAnsi="Arial" w:cs="Arial"/>
                <w:spacing w:val="-2"/>
                <w:w w:val="105"/>
              </w:rPr>
              <w:t>correlation</w:t>
            </w:r>
          </w:p>
        </w:tc>
      </w:tr>
      <w:tr w:rsidR="00CB41A3" w:rsidRPr="00CB41A3" w14:paraId="57AF3D28" w14:textId="77777777" w:rsidTr="007B3C7D">
        <w:trPr>
          <w:trHeight w:val="296"/>
        </w:trPr>
        <w:tc>
          <w:tcPr>
            <w:tcW w:w="4490" w:type="dxa"/>
          </w:tcPr>
          <w:p w14:paraId="609C357B" w14:textId="3125659A" w:rsidR="00CB41A3" w:rsidRPr="00CB41A3" w:rsidRDefault="00CB41A3" w:rsidP="002B00D4">
            <w:pPr>
              <w:pStyle w:val="TableParagraph"/>
              <w:rPr>
                <w:rFonts w:ascii="Arial" w:hAnsi="Arial" w:cs="Arial"/>
                <w:i/>
              </w:rPr>
            </w:pPr>
            <w:r w:rsidRPr="00CB41A3">
              <w:rPr>
                <w:rFonts w:ascii="Arial" w:hAnsi="Arial" w:cs="Arial"/>
                <w:spacing w:val="-2"/>
                <w:w w:val="110"/>
              </w:rPr>
              <w:t>Persistence</w:t>
            </w:r>
            <w:r w:rsidRPr="00CB41A3">
              <w:rPr>
                <w:rFonts w:ascii="Arial" w:hAnsi="Arial" w:cs="Arial"/>
                <w:spacing w:val="4"/>
                <w:w w:val="110"/>
              </w:rPr>
              <w:t xml:space="preserve"> </w:t>
            </w:r>
            <w:r w:rsidRPr="00CB41A3">
              <w:rPr>
                <w:rFonts w:ascii="Arial" w:hAnsi="Arial" w:cs="Arial"/>
                <w:spacing w:val="-2"/>
                <w:w w:val="110"/>
              </w:rPr>
              <w:t>of</w:t>
            </w:r>
            <w:r w:rsidRPr="00CB41A3">
              <w:rPr>
                <w:rFonts w:ascii="Arial" w:hAnsi="Arial" w:cs="Arial"/>
                <w:spacing w:val="4"/>
                <w:w w:val="110"/>
              </w:rPr>
              <w:t xml:space="preserve"> </w:t>
            </w:r>
            <w:r w:rsidRPr="00CB41A3">
              <w:rPr>
                <w:rFonts w:ascii="Arial" w:hAnsi="Arial" w:cs="Arial"/>
                <w:spacing w:val="-2"/>
                <w:w w:val="110"/>
              </w:rPr>
              <w:t>sentiment</w:t>
            </w:r>
            <w:r w:rsidRPr="00CB41A3">
              <w:rPr>
                <w:rFonts w:ascii="Arial" w:hAnsi="Arial" w:cs="Arial"/>
                <w:spacing w:val="4"/>
                <w:w w:val="110"/>
              </w:rPr>
              <w:t xml:space="preserve"> </w:t>
            </w:r>
            <w:r w:rsidRPr="00CB41A3">
              <w:rPr>
                <w:rFonts w:ascii="Arial" w:hAnsi="Arial" w:cs="Arial"/>
                <w:spacing w:val="-2"/>
                <w:w w:val="110"/>
              </w:rPr>
              <w:t>AR(1)</w:t>
            </w:r>
            <w:r w:rsidRPr="00CB41A3">
              <w:rPr>
                <w:rFonts w:ascii="Arial" w:hAnsi="Arial" w:cs="Arial"/>
                <w:spacing w:val="3"/>
                <w:w w:val="110"/>
              </w:rPr>
              <w:t xml:space="preserve"> </w:t>
            </w:r>
            <m:oMath>
              <m:sSub>
                <m:sSubPr>
                  <m:ctrlPr>
                    <w:rPr>
                      <w:rFonts w:ascii="Cambria Math" w:hAnsi="Cambria Math" w:cs="Arial"/>
                      <w:i/>
                      <w:spacing w:val="-5"/>
                      <w:w w:val="110"/>
                    </w:rPr>
                  </m:ctrlPr>
                </m:sSubPr>
                <m:e>
                  <m:r>
                    <w:rPr>
                      <w:rFonts w:ascii="Cambria Math" w:hAnsi="Cambria Math" w:cs="Arial"/>
                      <w:spacing w:val="-5"/>
                      <w:w w:val="110"/>
                    </w:rPr>
                    <m:t>ρ</m:t>
                  </m:r>
                </m:e>
                <m:sub>
                  <m:r>
                    <w:rPr>
                      <w:rFonts w:ascii="Cambria Math" w:hAnsi="Cambria Math" w:cs="Arial"/>
                      <w:spacing w:val="-5"/>
                      <w:w w:val="110"/>
                      <w:vertAlign w:val="subscript"/>
                    </w:rPr>
                    <m:t>s</m:t>
                  </m:r>
                </m:sub>
              </m:sSub>
            </m:oMath>
          </w:p>
        </w:tc>
        <w:tc>
          <w:tcPr>
            <w:tcW w:w="851" w:type="dxa"/>
          </w:tcPr>
          <w:p w14:paraId="63BC9F66" w14:textId="77777777" w:rsidR="00CB41A3" w:rsidRPr="00CB41A3" w:rsidRDefault="00CB41A3" w:rsidP="002B00D4">
            <w:pPr>
              <w:pStyle w:val="TableParagraph"/>
              <w:ind w:left="6" w:right="1"/>
              <w:jc w:val="center"/>
              <w:rPr>
                <w:rFonts w:ascii="Arial" w:hAnsi="Arial" w:cs="Arial"/>
              </w:rPr>
            </w:pPr>
            <w:r w:rsidRPr="00CB41A3">
              <w:rPr>
                <w:rFonts w:ascii="Arial" w:hAnsi="Arial" w:cs="Arial"/>
                <w:spacing w:val="-2"/>
              </w:rPr>
              <w:t>0.600</w:t>
            </w:r>
          </w:p>
        </w:tc>
        <w:tc>
          <w:tcPr>
            <w:tcW w:w="4111" w:type="dxa"/>
          </w:tcPr>
          <w:p w14:paraId="563C0596" w14:textId="77777777" w:rsidR="00CB41A3" w:rsidRPr="00CB41A3" w:rsidRDefault="00CB41A3" w:rsidP="002B00D4">
            <w:pPr>
              <w:pStyle w:val="TableParagraph"/>
              <w:rPr>
                <w:rFonts w:ascii="Arial" w:hAnsi="Arial" w:cs="Arial"/>
              </w:rPr>
            </w:pPr>
            <w:r w:rsidRPr="00CB41A3">
              <w:rPr>
                <w:rFonts w:ascii="Arial" w:hAnsi="Arial" w:cs="Arial"/>
                <w:w w:val="115"/>
              </w:rPr>
              <w:t>OLS</w:t>
            </w:r>
            <w:r w:rsidRPr="00CB41A3">
              <w:rPr>
                <w:rFonts w:ascii="Arial" w:hAnsi="Arial" w:cs="Arial"/>
                <w:spacing w:val="48"/>
                <w:w w:val="115"/>
              </w:rPr>
              <w:t xml:space="preserve"> </w:t>
            </w:r>
            <w:r w:rsidRPr="00CB41A3">
              <w:rPr>
                <w:rFonts w:ascii="Arial" w:hAnsi="Arial" w:cs="Arial"/>
                <w:spacing w:val="-2"/>
                <w:w w:val="115"/>
              </w:rPr>
              <w:t>estimate</w:t>
            </w:r>
          </w:p>
        </w:tc>
      </w:tr>
      <w:tr w:rsidR="00CB41A3" w:rsidRPr="00CB41A3" w14:paraId="37456361" w14:textId="77777777" w:rsidTr="007B3C7D">
        <w:trPr>
          <w:trHeight w:val="296"/>
        </w:trPr>
        <w:tc>
          <w:tcPr>
            <w:tcW w:w="4490" w:type="dxa"/>
          </w:tcPr>
          <w:p w14:paraId="78CA166C" w14:textId="5195FDEC" w:rsidR="00CB41A3" w:rsidRPr="00CB41A3" w:rsidRDefault="00CB41A3" w:rsidP="002B00D4">
            <w:pPr>
              <w:pStyle w:val="TableParagraph"/>
              <w:rPr>
                <w:rFonts w:ascii="Arial" w:hAnsi="Arial" w:cs="Arial"/>
                <w:i/>
              </w:rPr>
            </w:pPr>
            <w:r w:rsidRPr="00CB41A3">
              <w:rPr>
                <w:rFonts w:ascii="Arial" w:hAnsi="Arial" w:cs="Arial"/>
                <w:w w:val="105"/>
              </w:rPr>
              <w:t>Persistence</w:t>
            </w:r>
            <w:r w:rsidRPr="00CB41A3">
              <w:rPr>
                <w:rFonts w:ascii="Arial" w:hAnsi="Arial" w:cs="Arial"/>
                <w:spacing w:val="29"/>
                <w:w w:val="105"/>
              </w:rPr>
              <w:t xml:space="preserve"> </w:t>
            </w:r>
            <w:r w:rsidRPr="00CB41A3">
              <w:rPr>
                <w:rFonts w:ascii="Arial" w:hAnsi="Arial" w:cs="Arial"/>
                <w:w w:val="105"/>
              </w:rPr>
              <w:t>of</w:t>
            </w:r>
            <w:r w:rsidRPr="00CB41A3">
              <w:rPr>
                <w:rFonts w:ascii="Arial" w:hAnsi="Arial" w:cs="Arial"/>
                <w:spacing w:val="30"/>
                <w:w w:val="105"/>
              </w:rPr>
              <w:t xml:space="preserve"> </w:t>
            </w:r>
            <w:r w:rsidRPr="00CB41A3">
              <w:rPr>
                <w:rFonts w:ascii="Arial" w:hAnsi="Arial" w:cs="Arial"/>
                <w:w w:val="105"/>
              </w:rPr>
              <w:t>risk</w:t>
            </w:r>
            <w:r w:rsidRPr="00CB41A3">
              <w:rPr>
                <w:rFonts w:ascii="Arial" w:hAnsi="Arial" w:cs="Arial"/>
                <w:spacing w:val="29"/>
                <w:w w:val="105"/>
              </w:rPr>
              <w:t xml:space="preserve"> </w:t>
            </w:r>
            <w:r w:rsidRPr="00CB41A3">
              <w:rPr>
                <w:rFonts w:ascii="Arial" w:hAnsi="Arial" w:cs="Arial"/>
                <w:w w:val="105"/>
              </w:rPr>
              <w:t>premium</w:t>
            </w:r>
            <w:r w:rsidRPr="00CB41A3">
              <w:rPr>
                <w:rFonts w:ascii="Arial" w:hAnsi="Arial" w:cs="Arial"/>
                <w:spacing w:val="30"/>
                <w:w w:val="105"/>
              </w:rPr>
              <w:t xml:space="preserve"> </w:t>
            </w:r>
            <w:r w:rsidRPr="00CB41A3">
              <w:rPr>
                <w:rFonts w:ascii="Arial" w:hAnsi="Arial" w:cs="Arial"/>
                <w:w w:val="105"/>
              </w:rPr>
              <w:t>AR(1)</w:t>
            </w:r>
            <w:r w:rsidRPr="00CB41A3">
              <w:rPr>
                <w:rFonts w:ascii="Arial" w:hAnsi="Arial" w:cs="Arial"/>
                <w:spacing w:val="30"/>
                <w:w w:val="105"/>
              </w:rPr>
              <w:t xml:space="preserve"> </w:t>
            </w:r>
            <m:oMath>
              <m:sSub>
                <m:sSubPr>
                  <m:ctrlPr>
                    <w:rPr>
                      <w:rFonts w:ascii="Cambria Math" w:hAnsi="Cambria Math" w:cs="Arial"/>
                      <w:i/>
                      <w:spacing w:val="-5"/>
                      <w:w w:val="105"/>
                    </w:rPr>
                  </m:ctrlPr>
                </m:sSubPr>
                <m:e>
                  <m:r>
                    <w:rPr>
                      <w:rFonts w:ascii="Cambria Math" w:hAnsi="Cambria Math" w:cs="Arial"/>
                      <w:spacing w:val="-5"/>
                      <w:w w:val="105"/>
                    </w:rPr>
                    <m:t>ρ</m:t>
                  </m:r>
                </m:e>
                <m:sub>
                  <m:r>
                    <w:rPr>
                      <w:rFonts w:ascii="Cambria Math" w:hAnsi="Cambria Math" w:cs="Arial"/>
                      <w:spacing w:val="-5"/>
                      <w:w w:val="105"/>
                      <w:vertAlign w:val="subscript"/>
                    </w:rPr>
                    <m:t>ψ</m:t>
                  </m:r>
                </m:sub>
              </m:sSub>
            </m:oMath>
          </w:p>
        </w:tc>
        <w:tc>
          <w:tcPr>
            <w:tcW w:w="851" w:type="dxa"/>
          </w:tcPr>
          <w:p w14:paraId="7BCB26D7" w14:textId="77777777" w:rsidR="00CB41A3" w:rsidRPr="00CB41A3" w:rsidRDefault="00CB41A3" w:rsidP="002B00D4">
            <w:pPr>
              <w:pStyle w:val="TableParagraph"/>
              <w:ind w:left="6" w:right="1"/>
              <w:jc w:val="center"/>
              <w:rPr>
                <w:rFonts w:ascii="Arial" w:hAnsi="Arial" w:cs="Arial"/>
              </w:rPr>
            </w:pPr>
            <w:r w:rsidRPr="00CB41A3">
              <w:rPr>
                <w:rFonts w:ascii="Arial" w:hAnsi="Arial" w:cs="Arial"/>
                <w:spacing w:val="-2"/>
              </w:rPr>
              <w:t>0.790</w:t>
            </w:r>
          </w:p>
        </w:tc>
        <w:tc>
          <w:tcPr>
            <w:tcW w:w="4111" w:type="dxa"/>
          </w:tcPr>
          <w:p w14:paraId="3B9DFED1" w14:textId="77777777" w:rsidR="00CB41A3" w:rsidRPr="00CB41A3" w:rsidRDefault="00CB41A3" w:rsidP="002B00D4">
            <w:pPr>
              <w:pStyle w:val="TableParagraph"/>
              <w:rPr>
                <w:rFonts w:ascii="Arial" w:hAnsi="Arial" w:cs="Arial"/>
              </w:rPr>
            </w:pPr>
            <w:hyperlink w:anchor="_bookmark61" w:history="1">
              <w:r w:rsidRPr="00CB41A3">
                <w:rPr>
                  <w:rFonts w:ascii="Arial" w:hAnsi="Arial" w:cs="Arial"/>
                  <w:color w:val="0021D1"/>
                  <w:w w:val="105"/>
                </w:rPr>
                <w:t>Zeballos</w:t>
              </w:r>
              <w:r w:rsidRPr="00CB41A3">
                <w:rPr>
                  <w:rFonts w:ascii="Arial" w:hAnsi="Arial" w:cs="Arial"/>
                  <w:color w:val="0021D1"/>
                  <w:spacing w:val="25"/>
                  <w:w w:val="105"/>
                </w:rPr>
                <w:t xml:space="preserve"> </w:t>
              </w:r>
              <w:r w:rsidRPr="00CB41A3">
                <w:rPr>
                  <w:rFonts w:ascii="Arial" w:hAnsi="Arial" w:cs="Arial"/>
                  <w:color w:val="0021D1"/>
                  <w:w w:val="105"/>
                </w:rPr>
                <w:t>Coria</w:t>
              </w:r>
              <w:r w:rsidRPr="00CB41A3">
                <w:rPr>
                  <w:rFonts w:ascii="Arial" w:hAnsi="Arial" w:cs="Arial"/>
                  <w:color w:val="0021D1"/>
                  <w:spacing w:val="26"/>
                  <w:w w:val="105"/>
                </w:rPr>
                <w:t xml:space="preserve"> </w:t>
              </w:r>
              <w:r w:rsidRPr="00CB41A3">
                <w:rPr>
                  <w:rFonts w:ascii="Arial" w:hAnsi="Arial" w:cs="Arial"/>
                  <w:color w:val="0021D1"/>
                  <w:w w:val="105"/>
                </w:rPr>
                <w:t>et</w:t>
              </w:r>
              <w:r w:rsidRPr="00CB41A3">
                <w:rPr>
                  <w:rFonts w:ascii="Arial" w:hAnsi="Arial" w:cs="Arial"/>
                  <w:color w:val="0021D1"/>
                  <w:spacing w:val="25"/>
                  <w:w w:val="105"/>
                </w:rPr>
                <w:t xml:space="preserve"> </w:t>
              </w:r>
              <w:r w:rsidRPr="00CB41A3">
                <w:rPr>
                  <w:rFonts w:ascii="Arial" w:hAnsi="Arial" w:cs="Arial"/>
                  <w:color w:val="0021D1"/>
                  <w:w w:val="105"/>
                </w:rPr>
                <w:t>al.</w:t>
              </w:r>
            </w:hyperlink>
            <w:r w:rsidRPr="00CB41A3">
              <w:rPr>
                <w:rFonts w:ascii="Arial" w:hAnsi="Arial" w:cs="Arial"/>
                <w:color w:val="0021D1"/>
                <w:spacing w:val="26"/>
                <w:w w:val="105"/>
              </w:rPr>
              <w:t xml:space="preserve"> </w:t>
            </w:r>
            <w:r w:rsidRPr="00CB41A3">
              <w:rPr>
                <w:rFonts w:ascii="Arial" w:hAnsi="Arial" w:cs="Arial"/>
                <w:spacing w:val="-2"/>
                <w:w w:val="105"/>
              </w:rPr>
              <w:t>(</w:t>
            </w:r>
            <w:hyperlink w:anchor="_bookmark61" w:history="1">
              <w:r w:rsidRPr="00CB41A3">
                <w:rPr>
                  <w:rFonts w:ascii="Arial" w:hAnsi="Arial" w:cs="Arial"/>
                  <w:color w:val="0021D1"/>
                  <w:spacing w:val="-2"/>
                  <w:w w:val="105"/>
                </w:rPr>
                <w:t>2018</w:t>
              </w:r>
            </w:hyperlink>
            <w:r w:rsidRPr="00CB41A3">
              <w:rPr>
                <w:rFonts w:ascii="Arial" w:hAnsi="Arial" w:cs="Arial"/>
                <w:spacing w:val="-2"/>
                <w:w w:val="105"/>
              </w:rPr>
              <w:t>)</w:t>
            </w:r>
          </w:p>
        </w:tc>
      </w:tr>
      <w:tr w:rsidR="00CB41A3" w:rsidRPr="00CB41A3" w14:paraId="32AD64BD" w14:textId="77777777" w:rsidTr="007B3C7D">
        <w:trPr>
          <w:trHeight w:val="296"/>
        </w:trPr>
        <w:tc>
          <w:tcPr>
            <w:tcW w:w="4490" w:type="dxa"/>
          </w:tcPr>
          <w:p w14:paraId="7C0256B4" w14:textId="3C005AA6" w:rsidR="00CB41A3" w:rsidRPr="00CB41A3" w:rsidRDefault="00CB41A3" w:rsidP="002B00D4">
            <w:pPr>
              <w:pStyle w:val="TableParagraph"/>
              <w:rPr>
                <w:rFonts w:ascii="Arial" w:hAnsi="Arial" w:cs="Arial"/>
                <w:i/>
              </w:rPr>
            </w:pPr>
            <w:r w:rsidRPr="00CB41A3">
              <w:rPr>
                <w:rFonts w:ascii="Arial" w:hAnsi="Arial" w:cs="Arial"/>
                <w:w w:val="110"/>
              </w:rPr>
              <w:t>Forward</w:t>
            </w:r>
            <w:r w:rsidRPr="00CB41A3">
              <w:rPr>
                <w:rFonts w:ascii="Arial" w:hAnsi="Arial" w:cs="Arial"/>
                <w:spacing w:val="15"/>
                <w:w w:val="110"/>
              </w:rPr>
              <w:t xml:space="preserve"> </w:t>
            </w:r>
            <w:r w:rsidRPr="00CB41A3">
              <w:rPr>
                <w:rFonts w:ascii="Arial" w:hAnsi="Arial" w:cs="Arial"/>
                <w:w w:val="110"/>
              </w:rPr>
              <w:t>weight</w:t>
            </w:r>
            <w:r w:rsidRPr="00CB41A3">
              <w:rPr>
                <w:rFonts w:ascii="Arial" w:hAnsi="Arial" w:cs="Arial"/>
                <w:spacing w:val="16"/>
                <w:w w:val="110"/>
              </w:rPr>
              <w:t xml:space="preserve"> </w:t>
            </w:r>
            <w:r w:rsidRPr="00CB41A3">
              <w:rPr>
                <w:rFonts w:ascii="Arial" w:hAnsi="Arial" w:cs="Arial"/>
                <w:w w:val="110"/>
              </w:rPr>
              <w:t>in</w:t>
            </w:r>
            <w:r w:rsidRPr="00CB41A3">
              <w:rPr>
                <w:rFonts w:ascii="Arial" w:hAnsi="Arial" w:cs="Arial"/>
                <w:spacing w:val="15"/>
                <w:w w:val="110"/>
              </w:rPr>
              <w:t xml:space="preserve"> </w:t>
            </w:r>
            <w:r w:rsidRPr="00CB41A3">
              <w:rPr>
                <w:rFonts w:ascii="Arial" w:hAnsi="Arial" w:cs="Arial"/>
                <w:w w:val="110"/>
              </w:rPr>
              <w:t>hybrid</w:t>
            </w:r>
            <w:r w:rsidRPr="00CB41A3">
              <w:rPr>
                <w:rFonts w:ascii="Arial" w:hAnsi="Arial" w:cs="Arial"/>
                <w:spacing w:val="16"/>
                <w:w w:val="110"/>
              </w:rPr>
              <w:t xml:space="preserve"> </w:t>
            </w:r>
            <w:r w:rsidRPr="00CB41A3">
              <w:rPr>
                <w:rFonts w:ascii="Arial" w:hAnsi="Arial" w:cs="Arial"/>
                <w:w w:val="110"/>
              </w:rPr>
              <w:t>NKPC</w:t>
            </w:r>
            <w:r w:rsidRPr="00CB41A3">
              <w:rPr>
                <w:rFonts w:ascii="Arial" w:hAnsi="Arial" w:cs="Arial"/>
                <w:spacing w:val="16"/>
                <w:w w:val="110"/>
              </w:rPr>
              <w:t xml:space="preserve"> </w:t>
            </w:r>
            <m:oMath>
              <m:sSub>
                <m:sSubPr>
                  <m:ctrlPr>
                    <w:rPr>
                      <w:rFonts w:ascii="Cambria Math" w:hAnsi="Cambria Math" w:cs="Arial"/>
                      <w:i/>
                      <w:spacing w:val="-5"/>
                      <w:w w:val="110"/>
                    </w:rPr>
                  </m:ctrlPr>
                </m:sSubPr>
                <m:e>
                  <m:r>
                    <w:rPr>
                      <w:rFonts w:ascii="Cambria Math" w:hAnsi="Cambria Math" w:cs="Arial"/>
                      <w:spacing w:val="-5"/>
                      <w:w w:val="110"/>
                    </w:rPr>
                    <m:t>γ</m:t>
                  </m:r>
                </m:e>
                <m:sub>
                  <m:r>
                    <w:rPr>
                      <w:rFonts w:ascii="Cambria Math" w:hAnsi="Cambria Math" w:cs="Arial"/>
                      <w:spacing w:val="-5"/>
                      <w:w w:val="110"/>
                      <w:vertAlign w:val="subscript"/>
                    </w:rPr>
                    <m:t>f</m:t>
                  </m:r>
                </m:sub>
              </m:sSub>
            </m:oMath>
          </w:p>
        </w:tc>
        <w:tc>
          <w:tcPr>
            <w:tcW w:w="851" w:type="dxa"/>
          </w:tcPr>
          <w:p w14:paraId="00C528C3" w14:textId="77777777" w:rsidR="00CB41A3" w:rsidRPr="00CB41A3" w:rsidRDefault="00CB41A3" w:rsidP="002B00D4">
            <w:pPr>
              <w:pStyle w:val="TableParagraph"/>
              <w:ind w:left="6" w:right="1"/>
              <w:jc w:val="center"/>
              <w:rPr>
                <w:rFonts w:ascii="Arial" w:hAnsi="Arial" w:cs="Arial"/>
              </w:rPr>
            </w:pPr>
            <w:r w:rsidRPr="00CB41A3">
              <w:rPr>
                <w:rFonts w:ascii="Arial" w:hAnsi="Arial" w:cs="Arial"/>
                <w:spacing w:val="-2"/>
              </w:rPr>
              <w:t>0.497</w:t>
            </w:r>
          </w:p>
        </w:tc>
        <w:tc>
          <w:tcPr>
            <w:tcW w:w="4111" w:type="dxa"/>
          </w:tcPr>
          <w:p w14:paraId="26B96D93" w14:textId="77777777" w:rsidR="00CB41A3" w:rsidRPr="00CB41A3" w:rsidRDefault="00CB41A3" w:rsidP="002B00D4">
            <w:pPr>
              <w:pStyle w:val="TableParagraph"/>
              <w:rPr>
                <w:rFonts w:ascii="Arial" w:hAnsi="Arial" w:cs="Arial"/>
              </w:rPr>
            </w:pPr>
            <w:hyperlink w:anchor="_bookmark58" w:history="1">
              <w:r w:rsidRPr="00CB41A3">
                <w:rPr>
                  <w:rFonts w:ascii="Arial" w:hAnsi="Arial" w:cs="Arial"/>
                  <w:color w:val="0021D1"/>
                </w:rPr>
                <w:t>Valdivia</w:t>
              </w:r>
              <w:r w:rsidRPr="00CB41A3">
                <w:rPr>
                  <w:rFonts w:ascii="Arial" w:hAnsi="Arial" w:cs="Arial"/>
                  <w:color w:val="0021D1"/>
                  <w:spacing w:val="49"/>
                </w:rPr>
                <w:t xml:space="preserve"> </w:t>
              </w:r>
              <w:r w:rsidRPr="00CB41A3">
                <w:rPr>
                  <w:rFonts w:ascii="Arial" w:hAnsi="Arial" w:cs="Arial"/>
                  <w:color w:val="0021D1"/>
                </w:rPr>
                <w:t>and</w:t>
              </w:r>
              <w:r w:rsidRPr="00CB41A3">
                <w:rPr>
                  <w:rFonts w:ascii="Arial" w:hAnsi="Arial" w:cs="Arial"/>
                  <w:color w:val="0021D1"/>
                  <w:spacing w:val="49"/>
                </w:rPr>
                <w:t xml:space="preserve"> </w:t>
              </w:r>
              <w:r w:rsidRPr="00CB41A3">
                <w:rPr>
                  <w:rFonts w:ascii="Arial" w:hAnsi="Arial" w:cs="Arial"/>
                  <w:color w:val="0021D1"/>
                </w:rPr>
                <w:t>Montenegro</w:t>
              </w:r>
            </w:hyperlink>
            <w:r w:rsidRPr="00CB41A3">
              <w:rPr>
                <w:rFonts w:ascii="Arial" w:hAnsi="Arial" w:cs="Arial"/>
                <w:color w:val="0021D1"/>
                <w:spacing w:val="49"/>
              </w:rPr>
              <w:t xml:space="preserve"> </w:t>
            </w:r>
            <w:r w:rsidRPr="00CB41A3">
              <w:rPr>
                <w:rFonts w:ascii="Arial" w:hAnsi="Arial" w:cs="Arial"/>
                <w:spacing w:val="-2"/>
              </w:rPr>
              <w:t>(</w:t>
            </w:r>
            <w:hyperlink w:anchor="_bookmark58" w:history="1">
              <w:r w:rsidRPr="00CB41A3">
                <w:rPr>
                  <w:rFonts w:ascii="Arial" w:hAnsi="Arial" w:cs="Arial"/>
                  <w:color w:val="0021D1"/>
                  <w:spacing w:val="-2"/>
                </w:rPr>
                <w:t>2009</w:t>
              </w:r>
            </w:hyperlink>
            <w:r w:rsidRPr="00CB41A3">
              <w:rPr>
                <w:rFonts w:ascii="Arial" w:hAnsi="Arial" w:cs="Arial"/>
                <w:spacing w:val="-2"/>
              </w:rPr>
              <w:t>)</w:t>
            </w:r>
          </w:p>
        </w:tc>
      </w:tr>
      <w:tr w:rsidR="00CB41A3" w:rsidRPr="00CB41A3" w14:paraId="4ED341C0" w14:textId="77777777" w:rsidTr="007B3C7D">
        <w:trPr>
          <w:trHeight w:val="296"/>
        </w:trPr>
        <w:tc>
          <w:tcPr>
            <w:tcW w:w="4490" w:type="dxa"/>
          </w:tcPr>
          <w:p w14:paraId="40FE7ED0" w14:textId="6DB31740" w:rsidR="00CB41A3" w:rsidRPr="00CB41A3" w:rsidRDefault="00CB41A3" w:rsidP="002B00D4">
            <w:pPr>
              <w:pStyle w:val="TableParagraph"/>
              <w:rPr>
                <w:rFonts w:ascii="Arial" w:hAnsi="Arial" w:cs="Arial"/>
                <w:i/>
              </w:rPr>
            </w:pPr>
            <w:r w:rsidRPr="00CB41A3">
              <w:rPr>
                <w:rFonts w:ascii="Arial" w:hAnsi="Arial" w:cs="Arial"/>
                <w:w w:val="110"/>
              </w:rPr>
              <w:t>Backward</w:t>
            </w:r>
            <w:r w:rsidRPr="00CB41A3">
              <w:rPr>
                <w:rFonts w:ascii="Arial" w:hAnsi="Arial" w:cs="Arial"/>
                <w:spacing w:val="17"/>
                <w:w w:val="110"/>
              </w:rPr>
              <w:t xml:space="preserve"> </w:t>
            </w:r>
            <w:r w:rsidRPr="00CB41A3">
              <w:rPr>
                <w:rFonts w:ascii="Arial" w:hAnsi="Arial" w:cs="Arial"/>
                <w:w w:val="110"/>
              </w:rPr>
              <w:t>weight</w:t>
            </w:r>
            <w:r w:rsidRPr="00CB41A3">
              <w:rPr>
                <w:rFonts w:ascii="Arial" w:hAnsi="Arial" w:cs="Arial"/>
                <w:spacing w:val="18"/>
                <w:w w:val="110"/>
              </w:rPr>
              <w:t xml:space="preserve"> </w:t>
            </w:r>
            <w:r w:rsidRPr="00CB41A3">
              <w:rPr>
                <w:rFonts w:ascii="Arial" w:hAnsi="Arial" w:cs="Arial"/>
                <w:w w:val="110"/>
              </w:rPr>
              <w:t>in</w:t>
            </w:r>
            <w:r w:rsidRPr="00CB41A3">
              <w:rPr>
                <w:rFonts w:ascii="Arial" w:hAnsi="Arial" w:cs="Arial"/>
                <w:spacing w:val="18"/>
                <w:w w:val="110"/>
              </w:rPr>
              <w:t xml:space="preserve"> </w:t>
            </w:r>
            <w:r w:rsidRPr="00CB41A3">
              <w:rPr>
                <w:rFonts w:ascii="Arial" w:hAnsi="Arial" w:cs="Arial"/>
                <w:w w:val="110"/>
              </w:rPr>
              <w:t>hybrid</w:t>
            </w:r>
            <w:r w:rsidRPr="00CB41A3">
              <w:rPr>
                <w:rFonts w:ascii="Arial" w:hAnsi="Arial" w:cs="Arial"/>
                <w:spacing w:val="17"/>
                <w:w w:val="110"/>
              </w:rPr>
              <w:t xml:space="preserve"> </w:t>
            </w:r>
            <w:r w:rsidRPr="00CB41A3">
              <w:rPr>
                <w:rFonts w:ascii="Arial" w:hAnsi="Arial" w:cs="Arial"/>
                <w:w w:val="110"/>
              </w:rPr>
              <w:t>NKPC</w:t>
            </w:r>
            <w:r w:rsidRPr="00CB41A3">
              <w:rPr>
                <w:rFonts w:ascii="Arial" w:hAnsi="Arial" w:cs="Arial"/>
                <w:spacing w:val="18"/>
                <w:w w:val="110"/>
              </w:rPr>
              <w:t xml:space="preserve"> </w:t>
            </w:r>
            <m:oMath>
              <m:sSub>
                <m:sSubPr>
                  <m:ctrlPr>
                    <w:rPr>
                      <w:rFonts w:ascii="Cambria Math" w:hAnsi="Cambria Math" w:cs="Arial"/>
                      <w:i/>
                      <w:spacing w:val="-5"/>
                      <w:w w:val="110"/>
                    </w:rPr>
                  </m:ctrlPr>
                </m:sSubPr>
                <m:e>
                  <m:r>
                    <w:rPr>
                      <w:rFonts w:ascii="Cambria Math" w:hAnsi="Cambria Math" w:cs="Arial"/>
                      <w:spacing w:val="-5"/>
                      <w:w w:val="110"/>
                    </w:rPr>
                    <m:t>γ</m:t>
                  </m:r>
                </m:e>
                <m:sub>
                  <m:r>
                    <w:rPr>
                      <w:rFonts w:ascii="Cambria Math" w:hAnsi="Cambria Math" w:cs="Arial"/>
                      <w:spacing w:val="-5"/>
                      <w:w w:val="110"/>
                      <w:vertAlign w:val="subscript"/>
                    </w:rPr>
                    <m:t>b</m:t>
                  </m:r>
                </m:sub>
              </m:sSub>
            </m:oMath>
          </w:p>
        </w:tc>
        <w:tc>
          <w:tcPr>
            <w:tcW w:w="851" w:type="dxa"/>
          </w:tcPr>
          <w:p w14:paraId="7E53D314" w14:textId="77777777" w:rsidR="00CB41A3" w:rsidRPr="00CB41A3" w:rsidRDefault="00CB41A3" w:rsidP="002B00D4">
            <w:pPr>
              <w:pStyle w:val="TableParagraph"/>
              <w:ind w:left="6" w:right="1"/>
              <w:jc w:val="center"/>
              <w:rPr>
                <w:rFonts w:ascii="Arial" w:hAnsi="Arial" w:cs="Arial"/>
              </w:rPr>
            </w:pPr>
            <w:r w:rsidRPr="00CB41A3">
              <w:rPr>
                <w:rFonts w:ascii="Arial" w:hAnsi="Arial" w:cs="Arial"/>
                <w:spacing w:val="-2"/>
              </w:rPr>
              <w:t>0.458</w:t>
            </w:r>
          </w:p>
        </w:tc>
        <w:tc>
          <w:tcPr>
            <w:tcW w:w="4111" w:type="dxa"/>
          </w:tcPr>
          <w:p w14:paraId="70D5A2CB" w14:textId="77777777" w:rsidR="00CB41A3" w:rsidRPr="00CB41A3" w:rsidRDefault="00CB41A3" w:rsidP="002B00D4">
            <w:pPr>
              <w:pStyle w:val="TableParagraph"/>
              <w:rPr>
                <w:rFonts w:ascii="Arial" w:hAnsi="Arial" w:cs="Arial"/>
              </w:rPr>
            </w:pPr>
            <w:hyperlink w:anchor="_bookmark58" w:history="1">
              <w:r w:rsidRPr="00CB41A3">
                <w:rPr>
                  <w:rFonts w:ascii="Arial" w:hAnsi="Arial" w:cs="Arial"/>
                  <w:color w:val="0021D1"/>
                </w:rPr>
                <w:t>Valdivia</w:t>
              </w:r>
              <w:r w:rsidRPr="00CB41A3">
                <w:rPr>
                  <w:rFonts w:ascii="Arial" w:hAnsi="Arial" w:cs="Arial"/>
                  <w:color w:val="0021D1"/>
                  <w:spacing w:val="49"/>
                </w:rPr>
                <w:t xml:space="preserve"> </w:t>
              </w:r>
              <w:r w:rsidRPr="00CB41A3">
                <w:rPr>
                  <w:rFonts w:ascii="Arial" w:hAnsi="Arial" w:cs="Arial"/>
                  <w:color w:val="0021D1"/>
                </w:rPr>
                <w:t>and</w:t>
              </w:r>
              <w:r w:rsidRPr="00CB41A3">
                <w:rPr>
                  <w:rFonts w:ascii="Arial" w:hAnsi="Arial" w:cs="Arial"/>
                  <w:color w:val="0021D1"/>
                  <w:spacing w:val="49"/>
                </w:rPr>
                <w:t xml:space="preserve"> </w:t>
              </w:r>
              <w:r w:rsidRPr="00CB41A3">
                <w:rPr>
                  <w:rFonts w:ascii="Arial" w:hAnsi="Arial" w:cs="Arial"/>
                  <w:color w:val="0021D1"/>
                </w:rPr>
                <w:t>Montenegro</w:t>
              </w:r>
            </w:hyperlink>
            <w:r w:rsidRPr="00CB41A3">
              <w:rPr>
                <w:rFonts w:ascii="Arial" w:hAnsi="Arial" w:cs="Arial"/>
                <w:color w:val="0021D1"/>
                <w:spacing w:val="49"/>
              </w:rPr>
              <w:t xml:space="preserve"> </w:t>
            </w:r>
            <w:r w:rsidRPr="00CB41A3">
              <w:rPr>
                <w:rFonts w:ascii="Arial" w:hAnsi="Arial" w:cs="Arial"/>
                <w:spacing w:val="-2"/>
              </w:rPr>
              <w:t>(</w:t>
            </w:r>
            <w:hyperlink w:anchor="_bookmark58" w:history="1">
              <w:r w:rsidRPr="00CB41A3">
                <w:rPr>
                  <w:rFonts w:ascii="Arial" w:hAnsi="Arial" w:cs="Arial"/>
                  <w:color w:val="0021D1"/>
                  <w:spacing w:val="-2"/>
                </w:rPr>
                <w:t>2009</w:t>
              </w:r>
            </w:hyperlink>
            <w:r w:rsidRPr="00CB41A3">
              <w:rPr>
                <w:rFonts w:ascii="Arial" w:hAnsi="Arial" w:cs="Arial"/>
                <w:spacing w:val="-2"/>
              </w:rPr>
              <w:t>)</w:t>
            </w:r>
          </w:p>
        </w:tc>
      </w:tr>
      <w:tr w:rsidR="00CB41A3" w:rsidRPr="00CB41A3" w14:paraId="0BF262A1" w14:textId="77777777" w:rsidTr="007B3C7D">
        <w:trPr>
          <w:trHeight w:val="320"/>
        </w:trPr>
        <w:tc>
          <w:tcPr>
            <w:tcW w:w="4490" w:type="dxa"/>
            <w:tcBorders>
              <w:bottom w:val="single" w:sz="8" w:space="0" w:color="000000"/>
            </w:tcBorders>
          </w:tcPr>
          <w:p w14:paraId="198E5445" w14:textId="26709EC9" w:rsidR="00CB41A3" w:rsidRPr="00CB41A3" w:rsidRDefault="00CB41A3" w:rsidP="002B00D4">
            <w:pPr>
              <w:pStyle w:val="TableParagraph"/>
              <w:rPr>
                <w:rFonts w:ascii="Arial" w:hAnsi="Arial" w:cs="Arial"/>
                <w:i/>
              </w:rPr>
            </w:pPr>
            <w:r w:rsidRPr="00CB41A3">
              <w:rPr>
                <w:rFonts w:ascii="Arial" w:hAnsi="Arial" w:cs="Arial"/>
                <w:w w:val="105"/>
              </w:rPr>
              <w:t>Persistence</w:t>
            </w:r>
            <w:r w:rsidRPr="00CB41A3">
              <w:rPr>
                <w:rFonts w:ascii="Arial" w:hAnsi="Arial" w:cs="Arial"/>
                <w:spacing w:val="9"/>
                <w:w w:val="105"/>
              </w:rPr>
              <w:t xml:space="preserve"> </w:t>
            </w:r>
            <w:r w:rsidRPr="00CB41A3">
              <w:rPr>
                <w:rFonts w:ascii="Arial" w:hAnsi="Arial" w:cs="Arial"/>
                <w:w w:val="105"/>
              </w:rPr>
              <w:t>of</w:t>
            </w:r>
            <w:r w:rsidRPr="00CB41A3">
              <w:rPr>
                <w:rFonts w:ascii="Arial" w:hAnsi="Arial" w:cs="Arial"/>
                <w:spacing w:val="10"/>
                <w:w w:val="105"/>
              </w:rPr>
              <w:t xml:space="preserve"> </w:t>
            </w:r>
            <w:r w:rsidRPr="00CB41A3">
              <w:rPr>
                <w:rFonts w:ascii="Arial" w:hAnsi="Arial" w:cs="Arial"/>
                <w:w w:val="105"/>
              </w:rPr>
              <w:t>output</w:t>
            </w:r>
            <w:r w:rsidRPr="00CB41A3">
              <w:rPr>
                <w:rFonts w:ascii="Arial" w:hAnsi="Arial" w:cs="Arial"/>
                <w:spacing w:val="10"/>
                <w:w w:val="105"/>
              </w:rPr>
              <w:t xml:space="preserve"> </w:t>
            </w:r>
            <w:r w:rsidRPr="00CB41A3">
              <w:rPr>
                <w:rFonts w:ascii="Arial" w:hAnsi="Arial" w:cs="Arial"/>
                <w:w w:val="105"/>
              </w:rPr>
              <w:t>gap</w:t>
            </w:r>
            <w:r w:rsidRPr="00CB41A3">
              <w:rPr>
                <w:rFonts w:ascii="Arial" w:hAnsi="Arial" w:cs="Arial"/>
                <w:spacing w:val="9"/>
                <w:w w:val="105"/>
              </w:rPr>
              <w:t xml:space="preserve"> </w:t>
            </w:r>
            <m:oMath>
              <m:sSub>
                <m:sSubPr>
                  <m:ctrlPr>
                    <w:rPr>
                      <w:rFonts w:ascii="Cambria Math" w:hAnsi="Cambria Math" w:cs="Arial"/>
                      <w:i/>
                      <w:spacing w:val="-5"/>
                      <w:w w:val="105"/>
                    </w:rPr>
                  </m:ctrlPr>
                </m:sSubPr>
                <m:e>
                  <m:r>
                    <w:rPr>
                      <w:rFonts w:ascii="Cambria Math" w:hAnsi="Cambria Math" w:cs="Arial"/>
                      <w:spacing w:val="-5"/>
                      <w:w w:val="105"/>
                    </w:rPr>
                    <m:t>ρ</m:t>
                  </m:r>
                </m:e>
                <m:sub>
                  <m:r>
                    <w:rPr>
                      <w:rFonts w:ascii="Cambria Math" w:hAnsi="Cambria Math" w:cs="Arial"/>
                      <w:spacing w:val="-5"/>
                      <w:w w:val="105"/>
                      <w:vertAlign w:val="subscript"/>
                    </w:rPr>
                    <m:t>x</m:t>
                  </m:r>
                </m:sub>
              </m:sSub>
            </m:oMath>
          </w:p>
        </w:tc>
        <w:tc>
          <w:tcPr>
            <w:tcW w:w="851" w:type="dxa"/>
            <w:tcBorders>
              <w:bottom w:val="single" w:sz="8" w:space="0" w:color="000000"/>
            </w:tcBorders>
          </w:tcPr>
          <w:p w14:paraId="044395AA" w14:textId="77777777" w:rsidR="00CB41A3" w:rsidRPr="00CB41A3" w:rsidRDefault="00CB41A3" w:rsidP="002B00D4">
            <w:pPr>
              <w:pStyle w:val="TableParagraph"/>
              <w:ind w:left="6" w:right="1"/>
              <w:jc w:val="center"/>
              <w:rPr>
                <w:rFonts w:ascii="Arial" w:hAnsi="Arial" w:cs="Arial"/>
              </w:rPr>
            </w:pPr>
            <w:r w:rsidRPr="00CB41A3">
              <w:rPr>
                <w:rFonts w:ascii="Arial" w:hAnsi="Arial" w:cs="Arial"/>
                <w:spacing w:val="-2"/>
              </w:rPr>
              <w:t>0.500</w:t>
            </w:r>
          </w:p>
        </w:tc>
        <w:tc>
          <w:tcPr>
            <w:tcW w:w="4111" w:type="dxa"/>
            <w:tcBorders>
              <w:bottom w:val="single" w:sz="8" w:space="0" w:color="000000"/>
            </w:tcBorders>
          </w:tcPr>
          <w:p w14:paraId="364BDCF5" w14:textId="77777777" w:rsidR="00CB41A3" w:rsidRDefault="00CB41A3" w:rsidP="002B00D4">
            <w:pPr>
              <w:pStyle w:val="TableParagraph"/>
              <w:rPr>
                <w:rFonts w:ascii="Arial" w:hAnsi="Arial" w:cs="Arial"/>
                <w:spacing w:val="-2"/>
                <w:w w:val="105"/>
              </w:rPr>
            </w:pPr>
            <w:hyperlink w:anchor="_bookmark53" w:history="1">
              <w:r w:rsidRPr="00CB41A3">
                <w:rPr>
                  <w:rFonts w:ascii="Arial" w:hAnsi="Arial" w:cs="Arial"/>
                  <w:color w:val="0021D1"/>
                  <w:w w:val="105"/>
                </w:rPr>
                <w:t>Mendieta-Ossio</w:t>
              </w:r>
            </w:hyperlink>
            <w:r w:rsidRPr="00CB41A3">
              <w:rPr>
                <w:rFonts w:ascii="Arial" w:hAnsi="Arial" w:cs="Arial"/>
                <w:color w:val="0021D1"/>
                <w:spacing w:val="5"/>
                <w:w w:val="105"/>
              </w:rPr>
              <w:t xml:space="preserve"> </w:t>
            </w:r>
            <w:r w:rsidRPr="00CB41A3">
              <w:rPr>
                <w:rFonts w:ascii="Arial" w:hAnsi="Arial" w:cs="Arial"/>
                <w:spacing w:val="-2"/>
                <w:w w:val="105"/>
              </w:rPr>
              <w:t>(</w:t>
            </w:r>
            <w:hyperlink w:anchor="_bookmark53" w:history="1">
              <w:r w:rsidRPr="00CB41A3">
                <w:rPr>
                  <w:rFonts w:ascii="Arial" w:hAnsi="Arial" w:cs="Arial"/>
                  <w:color w:val="0021D1"/>
                  <w:spacing w:val="-2"/>
                  <w:w w:val="105"/>
                </w:rPr>
                <w:t>2010</w:t>
              </w:r>
            </w:hyperlink>
            <w:r w:rsidRPr="00CB41A3">
              <w:rPr>
                <w:rFonts w:ascii="Arial" w:hAnsi="Arial" w:cs="Arial"/>
                <w:spacing w:val="-2"/>
                <w:w w:val="105"/>
              </w:rPr>
              <w:t>)</w:t>
            </w:r>
          </w:p>
          <w:p w14:paraId="2FD14FE2" w14:textId="77777777" w:rsidR="007B3C7D" w:rsidRPr="00CB41A3" w:rsidRDefault="007B3C7D" w:rsidP="002B00D4">
            <w:pPr>
              <w:pStyle w:val="TableParagraph"/>
              <w:rPr>
                <w:rFonts w:ascii="Arial" w:hAnsi="Arial" w:cs="Arial"/>
              </w:rPr>
            </w:pPr>
          </w:p>
        </w:tc>
      </w:tr>
    </w:tbl>
    <w:p w14:paraId="76890B1C" w14:textId="77777777" w:rsidR="007B3C7D" w:rsidRDefault="007B3C7D" w:rsidP="00CB41A3">
      <w:pPr>
        <w:spacing w:before="120" w:after="120" w:line="360" w:lineRule="auto"/>
        <w:jc w:val="both"/>
        <w:rPr>
          <w:rFonts w:eastAsiaTheme="minorEastAsia" w:cs="Arial"/>
          <w:sz w:val="24"/>
          <w:szCs w:val="24"/>
          <w:lang w:val="en-US"/>
        </w:rPr>
      </w:pPr>
    </w:p>
    <w:p w14:paraId="424DC6A6" w14:textId="77777777" w:rsidR="00E27CA1" w:rsidRDefault="00E27CA1" w:rsidP="00CB41A3">
      <w:pPr>
        <w:spacing w:before="120" w:after="120" w:line="360" w:lineRule="auto"/>
        <w:jc w:val="both"/>
        <w:rPr>
          <w:rFonts w:eastAsiaTheme="minorEastAsia" w:cs="Arial"/>
          <w:sz w:val="24"/>
          <w:szCs w:val="24"/>
          <w:lang w:val="en-US"/>
        </w:rPr>
      </w:pPr>
    </w:p>
    <w:p w14:paraId="45AFC477" w14:textId="77777777" w:rsidR="00E27CA1" w:rsidRDefault="00E27CA1" w:rsidP="00CB41A3">
      <w:pPr>
        <w:spacing w:before="120" w:after="120" w:line="360" w:lineRule="auto"/>
        <w:jc w:val="both"/>
        <w:rPr>
          <w:rFonts w:eastAsiaTheme="minorEastAsia" w:cs="Arial"/>
          <w:sz w:val="24"/>
          <w:szCs w:val="24"/>
          <w:lang w:val="en-US"/>
        </w:rPr>
      </w:pPr>
    </w:p>
    <w:p w14:paraId="7056EEDD" w14:textId="66ED6A06" w:rsidR="007B3C7D" w:rsidRPr="005D2436" w:rsidRDefault="007B3C7D" w:rsidP="00CB41A3">
      <w:pPr>
        <w:spacing w:before="120" w:after="120" w:line="360" w:lineRule="auto"/>
        <w:jc w:val="both"/>
        <w:rPr>
          <w:rFonts w:eastAsiaTheme="minorEastAsia" w:cs="Arial"/>
          <w:sz w:val="24"/>
          <w:szCs w:val="24"/>
          <w:lang w:val="en-US"/>
        </w:rPr>
      </w:pPr>
      <w:r w:rsidRPr="007B3C7D">
        <w:rPr>
          <w:rFonts w:eastAsiaTheme="minorEastAsia" w:cs="Arial"/>
          <w:sz w:val="24"/>
          <w:szCs w:val="24"/>
          <w:lang w:val="en-US"/>
        </w:rPr>
        <w:lastRenderedPageBreak/>
        <w:t>The DSGE model is solved under rational expectations. Impulse-response functions (IRFs) are generated to simulate the effects of sentiment shocks, risk premium (exchange rate) shocks, and monetary policy shocks on output, inflation, and the exchange rate (subsection</w:t>
      </w:r>
      <w:r>
        <w:rPr>
          <w:rFonts w:eastAsiaTheme="minorEastAsia" w:cs="Arial"/>
          <w:sz w:val="24"/>
          <w:szCs w:val="24"/>
          <w:lang w:val="en-US"/>
        </w:rPr>
        <w:t xml:space="preserve"> 3.2</w:t>
      </w:r>
      <w:r w:rsidRPr="007B3C7D">
        <w:rPr>
          <w:rFonts w:eastAsiaTheme="minorEastAsia" w:cs="Arial"/>
          <w:sz w:val="24"/>
          <w:szCs w:val="24"/>
          <w:lang w:val="en-US"/>
        </w:rPr>
        <w:t xml:space="preserve"> below).</w:t>
      </w:r>
    </w:p>
    <w:p w14:paraId="2BD9B614" w14:textId="1B0EAB2D" w:rsidR="005D2436" w:rsidRDefault="005D2436" w:rsidP="005D2436">
      <w:pPr>
        <w:pStyle w:val="Prrafodelista"/>
        <w:numPr>
          <w:ilvl w:val="1"/>
          <w:numId w:val="1"/>
        </w:numPr>
        <w:spacing w:before="120" w:after="120" w:line="360" w:lineRule="auto"/>
        <w:rPr>
          <w:rFonts w:cs="Arial"/>
          <w:b/>
          <w:bCs/>
          <w:sz w:val="24"/>
          <w:szCs w:val="24"/>
          <w:lang w:val="en-US"/>
        </w:rPr>
      </w:pPr>
      <w:r w:rsidRPr="005D2436">
        <w:rPr>
          <w:rFonts w:cs="Arial"/>
          <w:b/>
          <w:bCs/>
          <w:sz w:val="24"/>
          <w:szCs w:val="24"/>
          <w:lang w:val="en-US"/>
        </w:rPr>
        <w:t>Simulated Transmission Channel</w:t>
      </w:r>
    </w:p>
    <w:p w14:paraId="6E5212FA" w14:textId="719D5A9B" w:rsidR="005D2436" w:rsidRPr="005D2436" w:rsidRDefault="005D2436" w:rsidP="005D2436">
      <w:pPr>
        <w:spacing w:before="120" w:after="120" w:line="360" w:lineRule="auto"/>
        <w:jc w:val="both"/>
        <w:rPr>
          <w:rFonts w:cs="Arial"/>
          <w:sz w:val="24"/>
          <w:szCs w:val="24"/>
          <w:lang w:val="en-US"/>
        </w:rPr>
      </w:pPr>
      <w:r w:rsidRPr="005D2436">
        <w:rPr>
          <w:rFonts w:cs="Arial"/>
          <w:sz w:val="24"/>
          <w:szCs w:val="24"/>
          <w:lang w:val="en-US"/>
        </w:rPr>
        <w:t>This subsection presents preliminary evidence from the calibrated DSGE model, illustrating the hypothesized transmission mechanisms linking economic uncertainty sentiment, the parallel (digital) exchange rate, and inflation in Bolivia’s macroeconomic context. The IRFs simulate dynamic responses to structural shocks over a 24-month horizon, offering insights into the interplay between these variables.</w:t>
      </w:r>
    </w:p>
    <w:p w14:paraId="1DC714EE" w14:textId="0153AF9B" w:rsidR="005D2436" w:rsidRPr="005D2436" w:rsidRDefault="005D2436" w:rsidP="005D2436">
      <w:pPr>
        <w:spacing w:before="120" w:after="120" w:line="360" w:lineRule="auto"/>
        <w:jc w:val="both"/>
        <w:rPr>
          <w:rFonts w:cs="Arial"/>
          <w:sz w:val="24"/>
          <w:szCs w:val="24"/>
          <w:lang w:val="en-US"/>
        </w:rPr>
      </w:pPr>
      <w:r w:rsidRPr="005D2436">
        <w:rPr>
          <w:rFonts w:cs="Arial"/>
          <w:sz w:val="24"/>
          <w:szCs w:val="24"/>
          <w:lang w:val="en-US"/>
        </w:rPr>
        <w:t>Figure</w:t>
      </w:r>
      <w:r>
        <w:rPr>
          <w:rFonts w:cs="Arial"/>
          <w:sz w:val="24"/>
          <w:szCs w:val="24"/>
          <w:lang w:val="en-US"/>
        </w:rPr>
        <w:t xml:space="preserve"> 1</w:t>
      </w:r>
      <w:r w:rsidRPr="005D2436">
        <w:rPr>
          <w:rFonts w:cs="Arial"/>
          <w:sz w:val="24"/>
          <w:szCs w:val="24"/>
          <w:lang w:val="en-US"/>
        </w:rPr>
        <w:t xml:space="preserve"> illustrates the effects of an economic uncertainty sentiment shock (</w:t>
      </w:r>
      <m:oMath>
        <m:sSubSup>
          <m:sSubSupPr>
            <m:ctrlPr>
              <w:rPr>
                <w:rFonts w:ascii="Cambria Math" w:hAnsi="Cambria Math" w:cs="Arial"/>
                <w:i/>
                <w:sz w:val="24"/>
                <w:szCs w:val="24"/>
                <w:lang w:val="en-US"/>
              </w:rPr>
            </m:ctrlPr>
          </m:sSubSupPr>
          <m:e>
            <m:r>
              <m:rPr>
                <m:sty m:val="p"/>
              </m:rPr>
              <w:rPr>
                <w:rFonts w:ascii="Cambria Math" w:hAnsi="Cambria Math" w:cs="Arial"/>
                <w:sz w:val="24"/>
                <w:szCs w:val="24"/>
                <w:lang w:val="en-US"/>
              </w:rPr>
              <m:t>ε</m:t>
            </m:r>
            <m:ctrlPr>
              <w:rPr>
                <w:rFonts w:ascii="Cambria Math" w:hAnsi="Cambria Math" w:cs="Arial"/>
                <w:sz w:val="24"/>
                <w:szCs w:val="24"/>
                <w:lang w:val="en-US"/>
              </w:rPr>
            </m:ctrlPr>
          </m:e>
          <m:sub>
            <m:r>
              <w:rPr>
                <w:rFonts w:ascii="Cambria Math" w:hAnsi="Cambria Math" w:cs="Arial"/>
                <w:sz w:val="24"/>
                <w:szCs w:val="24"/>
                <w:lang w:val="en-US"/>
              </w:rPr>
              <m:t>t</m:t>
            </m:r>
          </m:sub>
          <m:sup>
            <m:r>
              <w:rPr>
                <w:rFonts w:ascii="Cambria Math" w:hAnsi="Cambria Math" w:cs="Arial"/>
                <w:sz w:val="24"/>
                <w:szCs w:val="24"/>
                <w:lang w:val="en-US"/>
              </w:rPr>
              <m:t>s</m:t>
            </m:r>
          </m:sup>
        </m:sSubSup>
      </m:oMath>
      <w:r w:rsidRPr="005D2436">
        <w:rPr>
          <w:rFonts w:cs="Arial"/>
          <w:sz w:val="24"/>
          <w:szCs w:val="24"/>
          <w:lang w:val="en-US"/>
        </w:rPr>
        <w:t>). The sentiment index (</w:t>
      </w:r>
      <m:oMath>
        <m:sSub>
          <m:sSubPr>
            <m:ctrlPr>
              <w:rPr>
                <w:rFonts w:ascii="Cambria Math" w:hAnsi="Cambria Math" w:cs="Arial"/>
                <w:i/>
                <w:sz w:val="24"/>
                <w:szCs w:val="24"/>
                <w:lang w:val="en-US"/>
              </w:rPr>
            </m:ctrlPr>
          </m:sSubPr>
          <m:e>
            <m:r>
              <w:rPr>
                <w:rFonts w:ascii="Cambria Math" w:hAnsi="Cambria Math" w:cs="Arial"/>
                <w:sz w:val="24"/>
                <w:szCs w:val="24"/>
                <w:lang w:val="en-US"/>
              </w:rPr>
              <m:t>s</m:t>
            </m:r>
          </m:e>
          <m:sub>
            <m:r>
              <w:rPr>
                <w:rFonts w:ascii="Cambria Math" w:hAnsi="Cambria Math" w:cs="Arial"/>
                <w:sz w:val="24"/>
                <w:szCs w:val="24"/>
                <w:lang w:val="en-US"/>
              </w:rPr>
              <m:t>t</m:t>
            </m:r>
          </m:sub>
        </m:sSub>
      </m:oMath>
      <w:r w:rsidRPr="005D2436">
        <w:rPr>
          <w:rFonts w:cs="Arial"/>
          <w:sz w:val="24"/>
          <w:szCs w:val="24"/>
          <w:lang w:val="en-US"/>
        </w:rPr>
        <w:t>) rises immediately and persists due to its autoregressive structure, contracting the output gap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t</m:t>
            </m:r>
          </m:sub>
        </m:sSub>
      </m:oMath>
      <w:r w:rsidRPr="005D2436">
        <w:rPr>
          <w:rFonts w:cs="Arial"/>
          <w:sz w:val="24"/>
          <w:szCs w:val="24"/>
          <w:lang w:val="en-US"/>
        </w:rPr>
        <w:t xml:space="preserve">) through the IS equation term </w:t>
      </w:r>
      <m:oMath>
        <m:r>
          <w:rPr>
            <w:rFonts w:ascii="Cambria Math" w:hAnsi="Cambria Math" w:cs="Arial"/>
            <w:sz w:val="24"/>
            <w:szCs w:val="24"/>
            <w:lang w:val="en-US"/>
          </w:rPr>
          <m:t>-</m:t>
        </m:r>
        <m:sSub>
          <m:sSubPr>
            <m:ctrlPr>
              <w:rPr>
                <w:rFonts w:ascii="Cambria Math" w:hAnsi="Cambria Math" w:cs="Arial"/>
                <w:i/>
                <w:sz w:val="24"/>
                <w:szCs w:val="24"/>
                <w:lang w:val="en-US"/>
              </w:rPr>
            </m:ctrlPr>
          </m:sSubPr>
          <m:e>
            <m:r>
              <m:rPr>
                <m:sty m:val="p"/>
              </m:rPr>
              <w:rPr>
                <w:rFonts w:ascii="Cambria Math" w:hAnsi="Cambria Math" w:cs="Arial"/>
                <w:sz w:val="24"/>
                <w:szCs w:val="24"/>
                <w:lang w:val="en-US"/>
              </w:rPr>
              <m:t>ϕ</m:t>
            </m:r>
          </m:e>
          <m:sub>
            <m:r>
              <w:rPr>
                <w:rFonts w:ascii="Cambria Math" w:hAnsi="Cambria Math" w:cs="Arial"/>
                <w:sz w:val="24"/>
                <w:szCs w:val="24"/>
                <w:lang w:val="en-US"/>
              </w:rPr>
              <m:t>s</m:t>
            </m:r>
          </m:sub>
        </m:sSub>
        <m:r>
          <w:rPr>
            <w:rFonts w:ascii="Cambria Math" w:hAnsi="Cambria Math" w:cs="Arial"/>
            <w:sz w:val="24"/>
            <w:szCs w:val="24"/>
            <w:lang w:val="en-US"/>
          </w:rPr>
          <m:t> </m:t>
        </m:r>
        <m:sSub>
          <m:sSubPr>
            <m:ctrlPr>
              <w:rPr>
                <w:rFonts w:ascii="Cambria Math" w:hAnsi="Cambria Math" w:cs="Arial"/>
                <w:i/>
                <w:sz w:val="24"/>
                <w:szCs w:val="24"/>
                <w:lang w:val="en-US"/>
              </w:rPr>
            </m:ctrlPr>
          </m:sSubPr>
          <m:e>
            <m:r>
              <w:rPr>
                <w:rFonts w:ascii="Cambria Math" w:hAnsi="Cambria Math" w:cs="Arial"/>
                <w:sz w:val="24"/>
                <w:szCs w:val="24"/>
                <w:lang w:val="en-US"/>
              </w:rPr>
              <m:t>s</m:t>
            </m:r>
          </m:e>
          <m:sub>
            <m:r>
              <w:rPr>
                <w:rFonts w:ascii="Cambria Math" w:hAnsi="Cambria Math" w:cs="Arial"/>
                <w:sz w:val="24"/>
                <w:szCs w:val="24"/>
                <w:lang w:val="en-US"/>
              </w:rPr>
              <m:t>t</m:t>
            </m:r>
          </m:sub>
        </m:sSub>
      </m:oMath>
      <w:r w:rsidRPr="005D2436">
        <w:rPr>
          <w:rFonts w:cs="Arial"/>
          <w:sz w:val="24"/>
          <w:szCs w:val="24"/>
          <w:lang w:val="en-US"/>
        </w:rPr>
        <w:t xml:space="preserve">, reflecting reduced aggregate demand. Concurrently, the parallel (digital) exchange rate depreciates following </w:t>
      </w:r>
      <m:oMath>
        <m:sSub>
          <m:sSubPr>
            <m:ctrlPr>
              <w:rPr>
                <w:rFonts w:ascii="Cambria Math" w:hAnsi="Cambria Math" w:cs="Arial"/>
                <w:i/>
                <w:sz w:val="24"/>
                <w:szCs w:val="24"/>
                <w:lang w:val="en-US"/>
              </w:rPr>
            </m:ctrlPr>
          </m:sSubPr>
          <m:e>
            <m:r>
              <w:rPr>
                <w:rFonts w:ascii="Cambria Math" w:hAnsi="Cambria Math" w:cs="Arial"/>
                <w:sz w:val="24"/>
                <w:szCs w:val="24"/>
                <w:lang w:val="en-US"/>
              </w:rPr>
              <m:t>e</m:t>
            </m:r>
          </m:e>
          <m:sub>
            <m:r>
              <w:rPr>
                <w:rFonts w:ascii="Cambria Math" w:hAnsi="Cambria Math" w:cs="Arial"/>
                <w:sz w:val="24"/>
                <w:szCs w:val="24"/>
                <w:lang w:val="en-US"/>
              </w:rPr>
              <m:t>t</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e</m:t>
            </m:r>
          </m:e>
          <m:sub>
            <m:r>
              <w:rPr>
                <w:rFonts w:ascii="Cambria Math" w:hAnsi="Cambria Math" w:cs="Arial"/>
                <w:sz w:val="24"/>
                <w:szCs w:val="24"/>
                <w:lang w:val="en-US"/>
              </w:rPr>
              <m:t>t-1</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m:rPr>
                <m:sty m:val="p"/>
              </m:rPr>
              <w:rPr>
                <w:rFonts w:ascii="Cambria Math" w:hAnsi="Cambria Math" w:cs="Arial"/>
                <w:sz w:val="24"/>
                <w:szCs w:val="24"/>
                <w:lang w:val="en-US"/>
              </w:rPr>
              <m:t>γ</m:t>
            </m:r>
          </m:e>
          <m:sub>
            <m:r>
              <w:rPr>
                <w:rFonts w:ascii="Cambria Math" w:hAnsi="Cambria Math" w:cs="Arial"/>
                <w:sz w:val="24"/>
                <w:szCs w:val="24"/>
                <w:lang w:val="en-US"/>
              </w:rPr>
              <m:t>s</m:t>
            </m:r>
          </m:sub>
        </m:sSub>
        <m:r>
          <w:rPr>
            <w:rFonts w:ascii="Cambria Math" w:hAnsi="Cambria Math" w:cs="Arial"/>
            <w:sz w:val="24"/>
            <w:szCs w:val="24"/>
            <w:lang w:val="en-US"/>
          </w:rPr>
          <m:t> </m:t>
        </m:r>
        <m:sSub>
          <m:sSubPr>
            <m:ctrlPr>
              <w:rPr>
                <w:rFonts w:ascii="Cambria Math" w:hAnsi="Cambria Math" w:cs="Arial"/>
                <w:i/>
                <w:sz w:val="24"/>
                <w:szCs w:val="24"/>
                <w:lang w:val="en-US"/>
              </w:rPr>
            </m:ctrlPr>
          </m:sSubPr>
          <m:e>
            <m:r>
              <w:rPr>
                <w:rFonts w:ascii="Cambria Math" w:hAnsi="Cambria Math" w:cs="Arial"/>
                <w:sz w:val="24"/>
                <w:szCs w:val="24"/>
                <w:lang w:val="en-US"/>
              </w:rPr>
              <m:t>s</m:t>
            </m:r>
          </m:e>
          <m:sub>
            <m:r>
              <w:rPr>
                <w:rFonts w:ascii="Cambria Math" w:hAnsi="Cambria Math" w:cs="Arial"/>
                <w:sz w:val="24"/>
                <w:szCs w:val="24"/>
                <w:lang w:val="en-US"/>
              </w:rPr>
              <m:t>t</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m:rPr>
                <m:sty m:val="p"/>
              </m:rPr>
              <w:rPr>
                <w:rFonts w:ascii="Cambria Math" w:hAnsi="Cambria Math" w:cs="Arial"/>
                <w:sz w:val="24"/>
                <w:szCs w:val="24"/>
                <w:lang w:val="en-US"/>
              </w:rPr>
              <m:t>ψ</m:t>
            </m:r>
          </m:e>
          <m:sub>
            <m:r>
              <w:rPr>
                <w:rFonts w:ascii="Cambria Math" w:hAnsi="Cambria Math" w:cs="Arial"/>
                <w:sz w:val="24"/>
                <w:szCs w:val="24"/>
                <w:lang w:val="en-US"/>
              </w:rPr>
              <m:t>t</m:t>
            </m:r>
          </m:sub>
        </m:sSub>
      </m:oMath>
      <w:r w:rsidRPr="005D2436">
        <w:rPr>
          <w:rFonts w:cs="Arial"/>
          <w:sz w:val="24"/>
          <w:szCs w:val="24"/>
          <w:lang w:val="en-US"/>
        </w:rPr>
        <w:t>, as risk aversion increases demand for stablecoins.</w:t>
      </w:r>
    </w:p>
    <w:p w14:paraId="00718A87" w14:textId="163C35C5" w:rsidR="005D2436" w:rsidRDefault="005D2436" w:rsidP="005D2436">
      <w:pPr>
        <w:spacing w:before="120" w:after="120" w:line="360" w:lineRule="auto"/>
        <w:jc w:val="both"/>
        <w:rPr>
          <w:rFonts w:cs="Arial"/>
          <w:sz w:val="24"/>
          <w:szCs w:val="24"/>
          <w:lang w:val="en-US"/>
        </w:rPr>
      </w:pPr>
      <w:r w:rsidRPr="005D2436">
        <w:rPr>
          <w:rFonts w:cs="Arial"/>
          <w:sz w:val="24"/>
          <w:szCs w:val="24"/>
          <w:lang w:val="en-US"/>
        </w:rPr>
        <w:t xml:space="preserve">This depreciation feeds inflation through exchange rate pass-through captured by </w:t>
      </w:r>
      <m:oMath>
        <m:sSub>
          <m:sSubPr>
            <m:ctrlPr>
              <w:rPr>
                <w:rFonts w:ascii="Cambria Math" w:hAnsi="Cambria Math" w:cs="Arial"/>
                <w:i/>
                <w:sz w:val="24"/>
                <w:szCs w:val="24"/>
                <w:lang w:val="en-US"/>
              </w:rPr>
            </m:ctrlPr>
          </m:sSubPr>
          <m:e>
            <m:r>
              <m:rPr>
                <m:sty m:val="p"/>
              </m:rPr>
              <w:rPr>
                <w:rFonts w:ascii="Cambria Math" w:hAnsi="Cambria Math" w:cs="Arial"/>
                <w:sz w:val="24"/>
                <w:szCs w:val="24"/>
                <w:lang w:val="en-US"/>
              </w:rPr>
              <m:t>ϕ</m:t>
            </m:r>
            <m:ctrlPr>
              <w:rPr>
                <w:rFonts w:ascii="Cambria Math" w:hAnsi="Cambria Math" w:cs="Arial"/>
                <w:sz w:val="24"/>
                <w:szCs w:val="24"/>
                <w:lang w:val="en-US"/>
              </w:rPr>
            </m:ctrlPr>
          </m:e>
          <m:sub>
            <m:r>
              <w:rPr>
                <w:rFonts w:ascii="Cambria Math" w:hAnsi="Cambria Math" w:cs="Arial"/>
                <w:sz w:val="24"/>
                <w:szCs w:val="24"/>
                <w:lang w:val="en-US"/>
              </w:rPr>
              <m:t>e</m:t>
            </m:r>
          </m:sub>
        </m:sSub>
        <m:r>
          <w:rPr>
            <w:rFonts w:ascii="Cambria Math" w:hAnsi="Cambria Math" w:cs="Arial"/>
            <w:sz w:val="24"/>
            <w:szCs w:val="24"/>
            <w:lang w:val="en-US"/>
          </w:rPr>
          <m:t> </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e</m:t>
                </m:r>
              </m:e>
              <m:sub>
                <m:r>
                  <w:rPr>
                    <w:rFonts w:ascii="Cambria Math" w:hAnsi="Cambria Math" w:cs="Arial"/>
                    <w:sz w:val="24"/>
                    <w:szCs w:val="24"/>
                    <w:lang w:val="en-US"/>
                  </w:rPr>
                  <m:t>t</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e</m:t>
                </m:r>
              </m:e>
              <m:sub>
                <m:r>
                  <w:rPr>
                    <w:rFonts w:ascii="Cambria Math" w:hAnsi="Cambria Math" w:cs="Arial"/>
                    <w:sz w:val="24"/>
                    <w:szCs w:val="24"/>
                    <w:lang w:val="en-US"/>
                  </w:rPr>
                  <m:t>t-1</m:t>
                </m:r>
              </m:sub>
            </m:sSub>
          </m:e>
        </m:d>
      </m:oMath>
      <w:r w:rsidRPr="005D2436">
        <w:rPr>
          <w:rFonts w:cs="Arial"/>
          <w:sz w:val="24"/>
          <w:szCs w:val="24"/>
          <w:lang w:val="en-US"/>
        </w:rPr>
        <w:t xml:space="preserve"> in the New Keynesian Phillips curve (NKPC), while the contracting output gap exerts deflationary pressure via </w:t>
      </w:r>
      <m:oMath>
        <m:r>
          <m:rPr>
            <m:sty m:val="p"/>
          </m:rPr>
          <w:rPr>
            <w:rFonts w:ascii="Cambria Math" w:hAnsi="Cambria Math" w:cs="Arial"/>
            <w:sz w:val="24"/>
            <w:szCs w:val="24"/>
            <w:lang w:val="en-US"/>
          </w:rPr>
          <m:t>κ</m:t>
        </m:r>
        <m:r>
          <w:rPr>
            <w:rFonts w:ascii="Cambria Math" w:hAnsi="Cambria Math" w:cs="Arial"/>
            <w:sz w:val="24"/>
            <w:szCs w:val="24"/>
            <w:lang w:val="en-US"/>
          </w:rPr>
          <m:t> </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t</m:t>
            </m:r>
          </m:sub>
        </m:sSub>
      </m:oMath>
      <w:r w:rsidRPr="005D2436">
        <w:rPr>
          <w:rFonts w:cs="Arial"/>
          <w:sz w:val="24"/>
          <w:szCs w:val="24"/>
          <w:lang w:val="en-US"/>
        </w:rPr>
        <w:t>, producing a temporary trade-off between inflationary and deflationary forces. The nominal interest rate (</w:t>
      </w:r>
      <m:oMath>
        <m:sSub>
          <m:sSubPr>
            <m:ctrlPr>
              <w:rPr>
                <w:rFonts w:ascii="Cambria Math" w:hAnsi="Cambria Math" w:cs="Arial"/>
                <w:i/>
                <w:sz w:val="24"/>
                <w:szCs w:val="24"/>
                <w:lang w:val="en-US"/>
              </w:rPr>
            </m:ctrlPr>
          </m:sSubPr>
          <m:e>
            <m:r>
              <w:rPr>
                <w:rFonts w:ascii="Cambria Math" w:hAnsi="Cambria Math" w:cs="Arial"/>
                <w:sz w:val="24"/>
                <w:szCs w:val="24"/>
                <w:lang w:val="en-US"/>
              </w:rPr>
              <m:t>i</m:t>
            </m:r>
          </m:e>
          <m:sub>
            <m:r>
              <w:rPr>
                <w:rFonts w:ascii="Cambria Math" w:hAnsi="Cambria Math" w:cs="Arial"/>
                <w:sz w:val="24"/>
                <w:szCs w:val="24"/>
                <w:lang w:val="en-US"/>
              </w:rPr>
              <m:t>t</m:t>
            </m:r>
          </m:sub>
        </m:sSub>
      </m:oMath>
      <w:r>
        <w:rPr>
          <w:rFonts w:cs="Arial"/>
          <w:sz w:val="24"/>
          <w:szCs w:val="24"/>
          <w:lang w:val="en-US"/>
        </w:rPr>
        <w:t>)</w:t>
      </w:r>
      <w:r w:rsidRPr="005D2436">
        <w:rPr>
          <w:rFonts w:cs="Arial"/>
          <w:sz w:val="24"/>
          <w:szCs w:val="24"/>
          <w:lang w:val="en-US"/>
        </w:rPr>
        <w:t xml:space="preserve"> adjusts gradually under a Taylor rule, reflecting monetary policy smoothing (</w:t>
      </w:r>
      <m:oMath>
        <m:sSub>
          <m:sSubPr>
            <m:ctrlPr>
              <w:rPr>
                <w:rFonts w:ascii="Cambria Math" w:hAnsi="Cambria Math" w:cs="Arial"/>
                <w:i/>
                <w:sz w:val="24"/>
                <w:szCs w:val="24"/>
                <w:lang w:val="en-US"/>
              </w:rPr>
            </m:ctrlPr>
          </m:sSubPr>
          <m:e>
            <m:r>
              <m:rPr>
                <m:sty m:val="p"/>
              </m:rPr>
              <w:rPr>
                <w:rFonts w:ascii="Cambria Math" w:hAnsi="Cambria Math" w:cs="Arial"/>
                <w:sz w:val="24"/>
                <w:szCs w:val="24"/>
                <w:lang w:val="en-US"/>
              </w:rPr>
              <m:t>ρ</m:t>
            </m:r>
            <m:ctrlPr>
              <w:rPr>
                <w:rFonts w:ascii="Cambria Math" w:hAnsi="Cambria Math" w:cs="Arial"/>
                <w:sz w:val="24"/>
                <w:szCs w:val="24"/>
                <w:lang w:val="en-US"/>
              </w:rPr>
            </m:ctrlPr>
          </m:e>
          <m:sub>
            <m:r>
              <w:rPr>
                <w:rFonts w:ascii="Cambria Math" w:hAnsi="Cambria Math" w:cs="Arial"/>
                <w:sz w:val="24"/>
                <w:szCs w:val="24"/>
                <w:lang w:val="en-US"/>
              </w:rPr>
              <m:t>i</m:t>
            </m:r>
          </m:sub>
        </m:sSub>
      </m:oMath>
      <w:r w:rsidRPr="005D2436">
        <w:rPr>
          <w:rFonts w:cs="Arial"/>
          <w:sz w:val="24"/>
          <w:szCs w:val="24"/>
          <w:lang w:val="en-US"/>
        </w:rPr>
        <w:t>), as the central bank responds to the contraction in output and rising inflation.</w:t>
      </w:r>
    </w:p>
    <w:p w14:paraId="492A9E93" w14:textId="41D2B9B6" w:rsidR="001B7004" w:rsidRDefault="001B7004" w:rsidP="005D2436">
      <w:pPr>
        <w:spacing w:before="120" w:after="120" w:line="360" w:lineRule="auto"/>
        <w:jc w:val="both"/>
        <w:rPr>
          <w:rFonts w:cs="Arial"/>
          <w:sz w:val="24"/>
          <w:szCs w:val="24"/>
          <w:lang w:val="en-US"/>
        </w:rPr>
      </w:pPr>
      <w:r w:rsidRPr="005D2436">
        <w:rPr>
          <w:rFonts w:cs="Arial"/>
          <w:sz w:val="24"/>
          <w:szCs w:val="24"/>
          <w:lang w:val="en-US"/>
        </w:rPr>
        <w:t>These IRFs suggest that uncertainty shocks induce transitory but volatile responses. Inflation rises initially but moderates as deflationary forces from output contraction take hold. The output gap contracts sharply and recovers gradually, aligning with theoretical expectations that uncertainty shocks trigger short-to-medium-term fluctuations without permanent dislocations.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5"/>
        <w:gridCol w:w="4875"/>
      </w:tblGrid>
      <w:tr w:rsidR="005D2436" w:rsidRPr="00B51617" w14:paraId="7C1531C1" w14:textId="77777777" w:rsidTr="005D2436">
        <w:trPr>
          <w:trHeight w:val="3389"/>
          <w:jc w:val="center"/>
        </w:trPr>
        <w:tc>
          <w:tcPr>
            <w:tcW w:w="4845" w:type="dxa"/>
          </w:tcPr>
          <w:p w14:paraId="2C395A2A" w14:textId="02A2B5CC" w:rsidR="005D2436" w:rsidRPr="00B51617" w:rsidRDefault="005D2436" w:rsidP="002B00D4">
            <w:pPr>
              <w:pStyle w:val="Sinespaciado"/>
              <w:jc w:val="center"/>
              <w:rPr>
                <w:rFonts w:cs="Arial"/>
                <w:noProof/>
                <w:lang w:val="en-US"/>
              </w:rPr>
            </w:pPr>
            <w:r>
              <w:rPr>
                <w:rFonts w:cs="Arial"/>
                <w:noProof/>
                <w:lang w:val="en-US"/>
              </w:rPr>
              <w:lastRenderedPageBreak/>
              <w:drawing>
                <wp:inline distT="0" distB="0" distL="0" distR="0" wp14:anchorId="372510C7" wp14:editId="2E966AA0">
                  <wp:extent cx="2901535" cy="2116282"/>
                  <wp:effectExtent l="0" t="0" r="0" b="0"/>
                  <wp:docPr id="62480348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03481" name="Imagen 624803481"/>
                          <pic:cNvPicPr/>
                        </pic:nvPicPr>
                        <pic:blipFill>
                          <a:blip r:embed="rId8">
                            <a:extLst>
                              <a:ext uri="{28A0092B-C50C-407E-A947-70E740481C1C}">
                                <a14:useLocalDpi xmlns:a14="http://schemas.microsoft.com/office/drawing/2010/main" val="0"/>
                              </a:ext>
                            </a:extLst>
                          </a:blip>
                          <a:stretch>
                            <a:fillRect/>
                          </a:stretch>
                        </pic:blipFill>
                        <pic:spPr>
                          <a:xfrm>
                            <a:off x="0" y="0"/>
                            <a:ext cx="2913829" cy="2125249"/>
                          </a:xfrm>
                          <a:prstGeom prst="rect">
                            <a:avLst/>
                          </a:prstGeom>
                        </pic:spPr>
                      </pic:pic>
                    </a:graphicData>
                  </a:graphic>
                </wp:inline>
              </w:drawing>
            </w:r>
          </w:p>
        </w:tc>
        <w:tc>
          <w:tcPr>
            <w:tcW w:w="4875" w:type="dxa"/>
          </w:tcPr>
          <w:p w14:paraId="332DB8BE" w14:textId="5F5FC493" w:rsidR="005D2436" w:rsidRPr="00B51617" w:rsidRDefault="005D2436" w:rsidP="002B00D4">
            <w:pPr>
              <w:pStyle w:val="Sinespaciado"/>
              <w:jc w:val="center"/>
              <w:rPr>
                <w:rFonts w:cs="Arial"/>
                <w:noProof/>
                <w:lang w:val="en-US"/>
              </w:rPr>
            </w:pPr>
            <w:r>
              <w:rPr>
                <w:rFonts w:cs="Arial"/>
                <w:noProof/>
                <w:lang w:val="en-US"/>
              </w:rPr>
              <w:drawing>
                <wp:inline distT="0" distB="0" distL="0" distR="0" wp14:anchorId="780536CE" wp14:editId="62B022B8">
                  <wp:extent cx="2963140" cy="2145723"/>
                  <wp:effectExtent l="0" t="0" r="8890" b="6985"/>
                  <wp:docPr id="137882198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21986" name="Imagen 1378821986"/>
                          <pic:cNvPicPr/>
                        </pic:nvPicPr>
                        <pic:blipFill>
                          <a:blip r:embed="rId9">
                            <a:extLst>
                              <a:ext uri="{28A0092B-C50C-407E-A947-70E740481C1C}">
                                <a14:useLocalDpi xmlns:a14="http://schemas.microsoft.com/office/drawing/2010/main" val="0"/>
                              </a:ext>
                            </a:extLst>
                          </a:blip>
                          <a:stretch>
                            <a:fillRect/>
                          </a:stretch>
                        </pic:blipFill>
                        <pic:spPr>
                          <a:xfrm>
                            <a:off x="0" y="0"/>
                            <a:ext cx="2975862" cy="2154935"/>
                          </a:xfrm>
                          <a:prstGeom prst="rect">
                            <a:avLst/>
                          </a:prstGeom>
                        </pic:spPr>
                      </pic:pic>
                    </a:graphicData>
                  </a:graphic>
                </wp:inline>
              </w:drawing>
            </w:r>
          </w:p>
        </w:tc>
      </w:tr>
      <w:tr w:rsidR="005D2436" w:rsidRPr="00CF0423" w14:paraId="50496B7C" w14:textId="77777777" w:rsidTr="005D2436">
        <w:trPr>
          <w:jc w:val="center"/>
        </w:trPr>
        <w:tc>
          <w:tcPr>
            <w:tcW w:w="4845" w:type="dxa"/>
          </w:tcPr>
          <w:p w14:paraId="4B16BB65" w14:textId="12642D1B" w:rsidR="005D2436" w:rsidRPr="0022142B" w:rsidRDefault="005D2436" w:rsidP="005D2436">
            <w:pPr>
              <w:pStyle w:val="Sinespaciado"/>
              <w:numPr>
                <w:ilvl w:val="0"/>
                <w:numId w:val="8"/>
              </w:numPr>
              <w:jc w:val="center"/>
              <w:rPr>
                <w:rFonts w:cs="Arial"/>
                <w:noProof/>
                <w:lang w:val="en-US"/>
              </w:rPr>
            </w:pPr>
            <w:r w:rsidRPr="005D2436">
              <w:rPr>
                <w:rFonts w:cs="Arial"/>
                <w:noProof/>
                <w:lang w:val="en-US"/>
              </w:rPr>
              <w:t>Response of inflation</w:t>
            </w:r>
          </w:p>
        </w:tc>
        <w:tc>
          <w:tcPr>
            <w:tcW w:w="4875" w:type="dxa"/>
          </w:tcPr>
          <w:p w14:paraId="5422A60F" w14:textId="0E75C52D" w:rsidR="005D2436" w:rsidRPr="0022142B" w:rsidRDefault="005D2436" w:rsidP="005D2436">
            <w:pPr>
              <w:pStyle w:val="Sinespaciado"/>
              <w:numPr>
                <w:ilvl w:val="0"/>
                <w:numId w:val="8"/>
              </w:numPr>
              <w:jc w:val="center"/>
              <w:rPr>
                <w:rFonts w:cs="Arial"/>
                <w:noProof/>
                <w:lang w:val="en-US"/>
              </w:rPr>
            </w:pPr>
            <w:r w:rsidRPr="005D2436">
              <w:rPr>
                <w:rFonts w:cs="Arial"/>
                <w:noProof/>
                <w:lang w:val="en-US"/>
              </w:rPr>
              <w:t>Response of the output gap</w:t>
            </w:r>
          </w:p>
        </w:tc>
      </w:tr>
      <w:tr w:rsidR="005D2436" w:rsidRPr="00B51617" w14:paraId="12FD9B67" w14:textId="77777777" w:rsidTr="005D2436">
        <w:trPr>
          <w:jc w:val="center"/>
        </w:trPr>
        <w:tc>
          <w:tcPr>
            <w:tcW w:w="4845" w:type="dxa"/>
          </w:tcPr>
          <w:p w14:paraId="2BAD4C50" w14:textId="05A727E4" w:rsidR="005D2436" w:rsidRPr="0022142B" w:rsidRDefault="005D2436" w:rsidP="002B00D4">
            <w:pPr>
              <w:pStyle w:val="Sinespaciado"/>
              <w:jc w:val="center"/>
              <w:rPr>
                <w:rFonts w:cs="Arial"/>
                <w:lang w:val="en-US"/>
              </w:rPr>
            </w:pPr>
            <w:r>
              <w:rPr>
                <w:rFonts w:cs="Arial"/>
                <w:noProof/>
                <w:lang w:val="en-US"/>
              </w:rPr>
              <w:drawing>
                <wp:inline distT="0" distB="0" distL="0" distR="0" wp14:anchorId="78B21451" wp14:editId="2B471E44">
                  <wp:extent cx="2951018" cy="2192023"/>
                  <wp:effectExtent l="0" t="0" r="1905" b="0"/>
                  <wp:docPr id="33241105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11055" name="Imagen 332411055"/>
                          <pic:cNvPicPr/>
                        </pic:nvPicPr>
                        <pic:blipFill>
                          <a:blip r:embed="rId10">
                            <a:extLst>
                              <a:ext uri="{28A0092B-C50C-407E-A947-70E740481C1C}">
                                <a14:useLocalDpi xmlns:a14="http://schemas.microsoft.com/office/drawing/2010/main" val="0"/>
                              </a:ext>
                            </a:extLst>
                          </a:blip>
                          <a:stretch>
                            <a:fillRect/>
                          </a:stretch>
                        </pic:blipFill>
                        <pic:spPr>
                          <a:xfrm>
                            <a:off x="0" y="0"/>
                            <a:ext cx="2965445" cy="2202739"/>
                          </a:xfrm>
                          <a:prstGeom prst="rect">
                            <a:avLst/>
                          </a:prstGeom>
                        </pic:spPr>
                      </pic:pic>
                    </a:graphicData>
                  </a:graphic>
                </wp:inline>
              </w:drawing>
            </w:r>
          </w:p>
        </w:tc>
        <w:tc>
          <w:tcPr>
            <w:tcW w:w="4875" w:type="dxa"/>
          </w:tcPr>
          <w:p w14:paraId="325571DB" w14:textId="211647DB" w:rsidR="005D2436" w:rsidRPr="0022142B" w:rsidRDefault="005D2436" w:rsidP="002B00D4">
            <w:pPr>
              <w:pStyle w:val="Sinespaciado"/>
              <w:jc w:val="center"/>
              <w:rPr>
                <w:rFonts w:cs="Arial"/>
                <w:noProof/>
                <w:lang w:val="en-US"/>
              </w:rPr>
            </w:pPr>
            <w:r>
              <w:rPr>
                <w:rFonts w:cs="Arial"/>
                <w:noProof/>
                <w:lang w:val="en-US"/>
              </w:rPr>
              <w:drawing>
                <wp:inline distT="0" distB="0" distL="0" distR="0" wp14:anchorId="6ECF610A" wp14:editId="17CEE8B4">
                  <wp:extent cx="2916382" cy="2188698"/>
                  <wp:effectExtent l="0" t="0" r="0" b="2540"/>
                  <wp:docPr id="146735778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57788" name="Imagen 1467357788"/>
                          <pic:cNvPicPr/>
                        </pic:nvPicPr>
                        <pic:blipFill>
                          <a:blip r:embed="rId11">
                            <a:extLst>
                              <a:ext uri="{28A0092B-C50C-407E-A947-70E740481C1C}">
                                <a14:useLocalDpi xmlns:a14="http://schemas.microsoft.com/office/drawing/2010/main" val="0"/>
                              </a:ext>
                            </a:extLst>
                          </a:blip>
                          <a:stretch>
                            <a:fillRect/>
                          </a:stretch>
                        </pic:blipFill>
                        <pic:spPr>
                          <a:xfrm>
                            <a:off x="0" y="0"/>
                            <a:ext cx="2933091" cy="2201238"/>
                          </a:xfrm>
                          <a:prstGeom prst="rect">
                            <a:avLst/>
                          </a:prstGeom>
                        </pic:spPr>
                      </pic:pic>
                    </a:graphicData>
                  </a:graphic>
                </wp:inline>
              </w:drawing>
            </w:r>
          </w:p>
        </w:tc>
      </w:tr>
      <w:tr w:rsidR="005D2436" w:rsidRPr="00CF0423" w14:paraId="01435040" w14:textId="77777777" w:rsidTr="005D2436">
        <w:trPr>
          <w:jc w:val="center"/>
        </w:trPr>
        <w:tc>
          <w:tcPr>
            <w:tcW w:w="4845" w:type="dxa"/>
          </w:tcPr>
          <w:p w14:paraId="1184DAE5" w14:textId="30CE3B04" w:rsidR="005D2436" w:rsidRDefault="005D2436" w:rsidP="005D2436">
            <w:pPr>
              <w:pStyle w:val="Sinespaciado"/>
              <w:numPr>
                <w:ilvl w:val="0"/>
                <w:numId w:val="8"/>
              </w:numPr>
              <w:jc w:val="center"/>
              <w:rPr>
                <w:rFonts w:cs="Arial"/>
                <w:lang w:val="en-US"/>
              </w:rPr>
            </w:pPr>
            <w:r w:rsidRPr="005D2436">
              <w:rPr>
                <w:rFonts w:cs="Arial"/>
                <w:lang w:val="en-US"/>
              </w:rPr>
              <w:t>Response of monetary policy rate</w:t>
            </w:r>
          </w:p>
          <w:p w14:paraId="263F84C7" w14:textId="586755B7" w:rsidR="005D2436" w:rsidRPr="0022142B" w:rsidRDefault="005D2436" w:rsidP="005D2436">
            <w:pPr>
              <w:pStyle w:val="Sinespaciado"/>
              <w:rPr>
                <w:rFonts w:cs="Arial"/>
                <w:lang w:val="en-US"/>
              </w:rPr>
            </w:pPr>
          </w:p>
        </w:tc>
        <w:tc>
          <w:tcPr>
            <w:tcW w:w="4875" w:type="dxa"/>
          </w:tcPr>
          <w:p w14:paraId="34E6471F" w14:textId="715C12DE" w:rsidR="005D2436" w:rsidRPr="0022142B" w:rsidRDefault="005D2436" w:rsidP="002B00D4">
            <w:pPr>
              <w:pStyle w:val="Sinespaciado"/>
              <w:jc w:val="center"/>
              <w:rPr>
                <w:rFonts w:cs="Arial"/>
                <w:noProof/>
                <w:lang w:val="en-US"/>
              </w:rPr>
            </w:pPr>
            <w:r w:rsidRPr="0022142B">
              <w:rPr>
                <w:rFonts w:cs="Arial"/>
                <w:noProof/>
                <w:lang w:val="en-US"/>
              </w:rPr>
              <w:t>(</w:t>
            </w:r>
            <w:r>
              <w:rPr>
                <w:rFonts w:cs="Arial"/>
                <w:noProof/>
                <w:lang w:val="en-US"/>
              </w:rPr>
              <w:t>d</w:t>
            </w:r>
            <w:r w:rsidRPr="0022142B">
              <w:rPr>
                <w:rFonts w:cs="Arial"/>
                <w:noProof/>
                <w:lang w:val="en-US"/>
              </w:rPr>
              <w:t xml:space="preserve">) </w:t>
            </w:r>
            <w:r w:rsidRPr="005D2436">
              <w:rPr>
                <w:rFonts w:cs="Arial"/>
                <w:noProof/>
                <w:lang w:val="en-US"/>
              </w:rPr>
              <w:t>Response of exchange rate</w:t>
            </w:r>
          </w:p>
        </w:tc>
      </w:tr>
      <w:tr w:rsidR="005D2436" w:rsidRPr="00CF0423" w14:paraId="4841BA3C" w14:textId="77777777" w:rsidTr="005D2436">
        <w:trPr>
          <w:jc w:val="center"/>
        </w:trPr>
        <w:tc>
          <w:tcPr>
            <w:tcW w:w="9720" w:type="dxa"/>
            <w:gridSpan w:val="2"/>
          </w:tcPr>
          <w:p w14:paraId="0E6A4E84" w14:textId="117D4345" w:rsidR="005D2436" w:rsidRDefault="005D2436" w:rsidP="002B00D4">
            <w:pPr>
              <w:pStyle w:val="Sinespaciado"/>
              <w:jc w:val="center"/>
              <w:rPr>
                <w:rFonts w:cs="Arial"/>
                <w:lang w:val="en-US"/>
              </w:rPr>
            </w:pPr>
            <w:r w:rsidRPr="0022142B">
              <w:rPr>
                <w:rFonts w:cs="Arial"/>
                <w:lang w:val="en-US"/>
              </w:rPr>
              <w:t xml:space="preserve">Figure </w:t>
            </w:r>
            <w:r>
              <w:rPr>
                <w:rFonts w:cs="Arial"/>
                <w:lang w:val="en-US"/>
              </w:rPr>
              <w:t>1</w:t>
            </w:r>
            <w:r w:rsidRPr="0022142B">
              <w:rPr>
                <w:rFonts w:cs="Arial"/>
                <w:lang w:val="en-US"/>
              </w:rPr>
              <w:t xml:space="preserve">: </w:t>
            </w:r>
            <w:r w:rsidRPr="005D2436">
              <w:rPr>
                <w:rFonts w:cs="Arial"/>
                <w:lang w:val="en-US"/>
              </w:rPr>
              <w:t>IRFs: Economic Uncertainty Sentiment Shock</w:t>
            </w:r>
          </w:p>
          <w:p w14:paraId="1F52D853" w14:textId="77777777" w:rsidR="005D2436" w:rsidRPr="0022142B" w:rsidRDefault="005D2436" w:rsidP="002B00D4">
            <w:pPr>
              <w:pStyle w:val="Sinespaciado"/>
              <w:jc w:val="center"/>
              <w:rPr>
                <w:rFonts w:cs="Arial"/>
                <w:lang w:val="en-US"/>
              </w:rPr>
            </w:pPr>
          </w:p>
        </w:tc>
      </w:tr>
    </w:tbl>
    <w:p w14:paraId="27AD8B3A" w14:textId="5D99B730" w:rsidR="005D2436" w:rsidRDefault="005D2436" w:rsidP="005D2436">
      <w:pPr>
        <w:spacing w:before="120" w:after="120" w:line="360" w:lineRule="auto"/>
        <w:jc w:val="both"/>
        <w:rPr>
          <w:rFonts w:cs="Arial"/>
          <w:sz w:val="24"/>
          <w:szCs w:val="24"/>
          <w:lang w:val="en-US"/>
        </w:rPr>
      </w:pPr>
      <w:r w:rsidRPr="005D2436">
        <w:rPr>
          <w:rFonts w:cs="Arial"/>
          <w:sz w:val="24"/>
          <w:szCs w:val="24"/>
          <w:lang w:val="en-US"/>
        </w:rPr>
        <w:t>Figure</w:t>
      </w:r>
      <w:r>
        <w:rPr>
          <w:rFonts w:cs="Arial"/>
          <w:sz w:val="24"/>
          <w:szCs w:val="24"/>
          <w:lang w:val="en-US"/>
        </w:rPr>
        <w:t xml:space="preserve"> 2</w:t>
      </w:r>
      <w:r w:rsidRPr="005D2436">
        <w:rPr>
          <w:rFonts w:cs="Arial"/>
          <w:sz w:val="24"/>
          <w:szCs w:val="24"/>
          <w:lang w:val="en-US"/>
        </w:rPr>
        <w:t xml:space="preserve"> presents the responses to an exchange rate risk premium shock (</w:t>
      </w:r>
      <m:oMath>
        <m:sSubSup>
          <m:sSubSupPr>
            <m:ctrlPr>
              <w:rPr>
                <w:rFonts w:ascii="Cambria Math" w:hAnsi="Cambria Math" w:cs="Arial"/>
                <w:i/>
                <w:sz w:val="24"/>
                <w:szCs w:val="24"/>
                <w:lang w:val="en-US"/>
              </w:rPr>
            </m:ctrlPr>
          </m:sSubSupPr>
          <m:e>
            <m:r>
              <m:rPr>
                <m:sty m:val="p"/>
              </m:rPr>
              <w:rPr>
                <w:rFonts w:ascii="Cambria Math" w:hAnsi="Cambria Math" w:cs="Arial"/>
                <w:sz w:val="24"/>
                <w:szCs w:val="24"/>
                <w:lang w:val="en-US"/>
              </w:rPr>
              <m:t>ε</m:t>
            </m:r>
            <m:ctrlPr>
              <w:rPr>
                <w:rFonts w:ascii="Cambria Math" w:hAnsi="Cambria Math" w:cs="Arial"/>
                <w:sz w:val="24"/>
                <w:szCs w:val="24"/>
                <w:lang w:val="en-US"/>
              </w:rPr>
            </m:ctrlPr>
          </m:e>
          <m:sub>
            <m:r>
              <w:rPr>
                <w:rFonts w:ascii="Cambria Math" w:hAnsi="Cambria Math" w:cs="Arial"/>
                <w:sz w:val="24"/>
                <w:szCs w:val="24"/>
                <w:lang w:val="en-US"/>
              </w:rPr>
              <m:t>t</m:t>
            </m:r>
          </m:sub>
          <m:sup>
            <m:r>
              <m:rPr>
                <m:sty m:val="p"/>
              </m:rPr>
              <w:rPr>
                <w:rFonts w:ascii="Cambria Math" w:hAnsi="Cambria Math" w:cs="Arial"/>
                <w:sz w:val="24"/>
                <w:szCs w:val="24"/>
                <w:lang w:val="en-US"/>
              </w:rPr>
              <m:t>ψ</m:t>
            </m:r>
          </m:sup>
        </m:sSubSup>
      </m:oMath>
      <w:r w:rsidRPr="005D2436">
        <w:rPr>
          <w:rFonts w:cs="Arial"/>
          <w:sz w:val="24"/>
          <w:szCs w:val="24"/>
          <w:lang w:val="en-US"/>
        </w:rPr>
        <w:t>), which directly depreciates the parallel exchange rate (</w:t>
      </w:r>
      <m:oMath>
        <m:sSub>
          <m:sSubPr>
            <m:ctrlPr>
              <w:rPr>
                <w:rFonts w:ascii="Cambria Math" w:hAnsi="Cambria Math" w:cs="Arial"/>
                <w:i/>
                <w:sz w:val="24"/>
                <w:szCs w:val="24"/>
                <w:lang w:val="en-US"/>
              </w:rPr>
            </m:ctrlPr>
          </m:sSubPr>
          <m:e>
            <m:r>
              <w:rPr>
                <w:rFonts w:ascii="Cambria Math" w:hAnsi="Cambria Math" w:cs="Arial"/>
                <w:sz w:val="24"/>
                <w:szCs w:val="24"/>
                <w:lang w:val="en-US"/>
              </w:rPr>
              <m:t>e</m:t>
            </m:r>
          </m:e>
          <m:sub>
            <m:r>
              <w:rPr>
                <w:rFonts w:ascii="Cambria Math" w:hAnsi="Cambria Math" w:cs="Arial"/>
                <w:sz w:val="24"/>
                <w:szCs w:val="24"/>
                <w:lang w:val="en-US"/>
              </w:rPr>
              <m:t>t</m:t>
            </m:r>
          </m:sub>
        </m:sSub>
      </m:oMath>
      <w:r w:rsidRPr="005D2436">
        <w:rPr>
          <w:rFonts w:cs="Arial"/>
          <w:sz w:val="24"/>
          <w:szCs w:val="24"/>
          <w:lang w:val="en-US"/>
        </w:rPr>
        <w:t xml:space="preserve">). This depreciation elevates inflation through the NKPC pass-through term </w:t>
      </w:r>
      <m:oMath>
        <m:sSub>
          <m:sSubPr>
            <m:ctrlPr>
              <w:rPr>
                <w:rFonts w:ascii="Cambria Math" w:hAnsi="Cambria Math" w:cs="Arial"/>
                <w:i/>
                <w:sz w:val="24"/>
                <w:szCs w:val="24"/>
                <w:lang w:val="en-US"/>
              </w:rPr>
            </m:ctrlPr>
          </m:sSubPr>
          <m:e>
            <m:r>
              <m:rPr>
                <m:sty m:val="p"/>
              </m:rPr>
              <w:rPr>
                <w:rFonts w:ascii="Cambria Math" w:hAnsi="Cambria Math" w:cs="Arial"/>
                <w:sz w:val="24"/>
                <w:szCs w:val="24"/>
                <w:lang w:val="en-US"/>
              </w:rPr>
              <m:t>ϕ</m:t>
            </m:r>
            <m:ctrlPr>
              <w:rPr>
                <w:rFonts w:ascii="Cambria Math" w:hAnsi="Cambria Math" w:cs="Arial"/>
                <w:sz w:val="24"/>
                <w:szCs w:val="24"/>
                <w:lang w:val="en-US"/>
              </w:rPr>
            </m:ctrlPr>
          </m:e>
          <m:sub>
            <m:r>
              <w:rPr>
                <w:rFonts w:ascii="Cambria Math" w:hAnsi="Cambria Math" w:cs="Arial"/>
                <w:sz w:val="24"/>
                <w:szCs w:val="24"/>
                <w:lang w:val="en-US"/>
              </w:rPr>
              <m:t>e</m:t>
            </m:r>
          </m:sub>
        </m:sSub>
        <m:r>
          <w:rPr>
            <w:rFonts w:ascii="Cambria Math" w:hAnsi="Cambria Math" w:cs="Arial"/>
            <w:sz w:val="24"/>
            <w:szCs w:val="24"/>
            <w:lang w:val="en-US"/>
          </w:rPr>
          <m:t> </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e</m:t>
                </m:r>
              </m:e>
              <m:sub>
                <m:r>
                  <w:rPr>
                    <w:rFonts w:ascii="Cambria Math" w:hAnsi="Cambria Math" w:cs="Arial"/>
                    <w:sz w:val="24"/>
                    <w:szCs w:val="24"/>
                    <w:lang w:val="en-US"/>
                  </w:rPr>
                  <m:t>t</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e</m:t>
                </m:r>
              </m:e>
              <m:sub>
                <m:r>
                  <w:rPr>
                    <w:rFonts w:ascii="Cambria Math" w:hAnsi="Cambria Math" w:cs="Arial"/>
                    <w:sz w:val="24"/>
                    <w:szCs w:val="24"/>
                    <w:lang w:val="en-US"/>
                  </w:rPr>
                  <m:t>t-1</m:t>
                </m:r>
              </m:sub>
            </m:sSub>
          </m:e>
        </m:d>
      </m:oMath>
      <w:r w:rsidRPr="005D2436">
        <w:rPr>
          <w:rFonts w:cs="Arial"/>
          <w:sz w:val="24"/>
          <w:szCs w:val="24"/>
          <w:lang w:val="en-US"/>
        </w:rPr>
        <w:t>, with inflation peaking around two months post-shock before gradually stabilizing. The output gap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t</m:t>
            </m:r>
          </m:sub>
        </m:sSub>
      </m:oMath>
      <w:r w:rsidRPr="005D2436">
        <w:rPr>
          <w:rFonts w:cs="Arial"/>
          <w:sz w:val="24"/>
          <w:szCs w:val="24"/>
          <w:lang w:val="en-US"/>
        </w:rPr>
        <w:t>) initially expands, likely reflecting exchange-rate-induced competitive effects, but contracts as higher import costs weigh on aggregate demand.</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2"/>
        <w:gridCol w:w="4948"/>
      </w:tblGrid>
      <w:tr w:rsidR="00742AB5" w:rsidRPr="00B51617" w14:paraId="5A5D14B9" w14:textId="77777777" w:rsidTr="00742AB5">
        <w:trPr>
          <w:trHeight w:val="3389"/>
          <w:jc w:val="center"/>
        </w:trPr>
        <w:tc>
          <w:tcPr>
            <w:tcW w:w="4772" w:type="dxa"/>
          </w:tcPr>
          <w:p w14:paraId="28DBF565" w14:textId="0669D83B" w:rsidR="00742AB5" w:rsidRPr="00B51617" w:rsidRDefault="00742AB5" w:rsidP="002B00D4">
            <w:pPr>
              <w:pStyle w:val="Sinespaciado"/>
              <w:jc w:val="center"/>
              <w:rPr>
                <w:rFonts w:cs="Arial"/>
                <w:noProof/>
                <w:lang w:val="en-US"/>
              </w:rPr>
            </w:pPr>
            <w:r>
              <w:rPr>
                <w:rFonts w:cs="Arial"/>
                <w:noProof/>
                <w:lang w:val="en-US"/>
              </w:rPr>
              <w:lastRenderedPageBreak/>
              <w:drawing>
                <wp:inline distT="0" distB="0" distL="0" distR="0" wp14:anchorId="2599151E" wp14:editId="4F1B556D">
                  <wp:extent cx="2916382" cy="2164679"/>
                  <wp:effectExtent l="0" t="0" r="0" b="7620"/>
                  <wp:docPr id="83440974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09740" name="Imagen 834409740"/>
                          <pic:cNvPicPr/>
                        </pic:nvPicPr>
                        <pic:blipFill>
                          <a:blip r:embed="rId12">
                            <a:extLst>
                              <a:ext uri="{28A0092B-C50C-407E-A947-70E740481C1C}">
                                <a14:useLocalDpi xmlns:a14="http://schemas.microsoft.com/office/drawing/2010/main" val="0"/>
                              </a:ext>
                            </a:extLst>
                          </a:blip>
                          <a:stretch>
                            <a:fillRect/>
                          </a:stretch>
                        </pic:blipFill>
                        <pic:spPr>
                          <a:xfrm>
                            <a:off x="0" y="0"/>
                            <a:ext cx="2935777" cy="2179075"/>
                          </a:xfrm>
                          <a:prstGeom prst="rect">
                            <a:avLst/>
                          </a:prstGeom>
                        </pic:spPr>
                      </pic:pic>
                    </a:graphicData>
                  </a:graphic>
                </wp:inline>
              </w:drawing>
            </w:r>
          </w:p>
        </w:tc>
        <w:tc>
          <w:tcPr>
            <w:tcW w:w="4948" w:type="dxa"/>
          </w:tcPr>
          <w:p w14:paraId="1961DCB7" w14:textId="2F523E68" w:rsidR="00742AB5" w:rsidRPr="00B51617" w:rsidRDefault="00742AB5" w:rsidP="002B00D4">
            <w:pPr>
              <w:pStyle w:val="Sinespaciado"/>
              <w:jc w:val="center"/>
              <w:rPr>
                <w:rFonts w:cs="Arial"/>
                <w:noProof/>
                <w:lang w:val="en-US"/>
              </w:rPr>
            </w:pPr>
            <w:r>
              <w:rPr>
                <w:rFonts w:cs="Arial"/>
                <w:noProof/>
                <w:lang w:val="en-US"/>
              </w:rPr>
              <w:drawing>
                <wp:inline distT="0" distB="0" distL="0" distR="0" wp14:anchorId="0130F254" wp14:editId="113913C3">
                  <wp:extent cx="3020290" cy="2157350"/>
                  <wp:effectExtent l="0" t="0" r="8890" b="0"/>
                  <wp:docPr id="12261426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4266" name="Imagen 122614266"/>
                          <pic:cNvPicPr/>
                        </pic:nvPicPr>
                        <pic:blipFill>
                          <a:blip r:embed="rId13">
                            <a:extLst>
                              <a:ext uri="{28A0092B-C50C-407E-A947-70E740481C1C}">
                                <a14:useLocalDpi xmlns:a14="http://schemas.microsoft.com/office/drawing/2010/main" val="0"/>
                              </a:ext>
                            </a:extLst>
                          </a:blip>
                          <a:stretch>
                            <a:fillRect/>
                          </a:stretch>
                        </pic:blipFill>
                        <pic:spPr>
                          <a:xfrm>
                            <a:off x="0" y="0"/>
                            <a:ext cx="3036645" cy="2169032"/>
                          </a:xfrm>
                          <a:prstGeom prst="rect">
                            <a:avLst/>
                          </a:prstGeom>
                        </pic:spPr>
                      </pic:pic>
                    </a:graphicData>
                  </a:graphic>
                </wp:inline>
              </w:drawing>
            </w:r>
          </w:p>
        </w:tc>
      </w:tr>
      <w:tr w:rsidR="00742AB5" w:rsidRPr="00742AB5" w14:paraId="2425871C" w14:textId="77777777" w:rsidTr="00742AB5">
        <w:trPr>
          <w:jc w:val="center"/>
        </w:trPr>
        <w:tc>
          <w:tcPr>
            <w:tcW w:w="4772" w:type="dxa"/>
          </w:tcPr>
          <w:p w14:paraId="3FF0D88C" w14:textId="67E3020A" w:rsidR="00742AB5" w:rsidRPr="0022142B" w:rsidRDefault="00742AB5" w:rsidP="00742AB5">
            <w:pPr>
              <w:pStyle w:val="Sinespaciado"/>
              <w:numPr>
                <w:ilvl w:val="0"/>
                <w:numId w:val="9"/>
              </w:numPr>
              <w:jc w:val="center"/>
              <w:rPr>
                <w:rFonts w:cs="Arial"/>
                <w:noProof/>
                <w:lang w:val="en-US"/>
              </w:rPr>
            </w:pPr>
            <w:r w:rsidRPr="005D2436">
              <w:rPr>
                <w:rFonts w:cs="Arial"/>
                <w:noProof/>
                <w:lang w:val="en-US"/>
              </w:rPr>
              <w:t>Response</w:t>
            </w:r>
            <w:r>
              <w:rPr>
                <w:rFonts w:cs="Arial"/>
                <w:noProof/>
                <w:lang w:val="en-US"/>
              </w:rPr>
              <w:t>:</w:t>
            </w:r>
            <w:r w:rsidRPr="005D2436">
              <w:rPr>
                <w:rFonts w:cs="Arial"/>
                <w:noProof/>
                <w:lang w:val="en-US"/>
              </w:rPr>
              <w:t xml:space="preserve"> inflation</w:t>
            </w:r>
          </w:p>
        </w:tc>
        <w:tc>
          <w:tcPr>
            <w:tcW w:w="4948" w:type="dxa"/>
          </w:tcPr>
          <w:p w14:paraId="15B03673" w14:textId="633ED059" w:rsidR="00742AB5" w:rsidRPr="0022142B" w:rsidRDefault="00742AB5" w:rsidP="00742AB5">
            <w:pPr>
              <w:pStyle w:val="Sinespaciado"/>
              <w:numPr>
                <w:ilvl w:val="0"/>
                <w:numId w:val="9"/>
              </w:numPr>
              <w:jc w:val="center"/>
              <w:rPr>
                <w:rFonts w:cs="Arial"/>
                <w:noProof/>
                <w:lang w:val="en-US"/>
              </w:rPr>
            </w:pPr>
            <w:r w:rsidRPr="005D2436">
              <w:rPr>
                <w:rFonts w:cs="Arial"/>
                <w:noProof/>
                <w:lang w:val="en-US"/>
              </w:rPr>
              <w:t>Response</w:t>
            </w:r>
            <w:r>
              <w:rPr>
                <w:rFonts w:cs="Arial"/>
                <w:noProof/>
                <w:lang w:val="en-US"/>
              </w:rPr>
              <w:t>:</w:t>
            </w:r>
            <w:r w:rsidRPr="005D2436">
              <w:rPr>
                <w:rFonts w:cs="Arial"/>
                <w:noProof/>
                <w:lang w:val="en-US"/>
              </w:rPr>
              <w:t xml:space="preserve"> </w:t>
            </w:r>
            <w:r>
              <w:rPr>
                <w:rFonts w:cs="Arial"/>
                <w:noProof/>
                <w:lang w:val="en-US"/>
              </w:rPr>
              <w:t>O</w:t>
            </w:r>
            <w:r w:rsidRPr="005D2436">
              <w:rPr>
                <w:rFonts w:cs="Arial"/>
                <w:noProof/>
                <w:lang w:val="en-US"/>
              </w:rPr>
              <w:t xml:space="preserve">utput </w:t>
            </w:r>
            <w:r>
              <w:rPr>
                <w:rFonts w:cs="Arial"/>
                <w:noProof/>
                <w:lang w:val="en-US"/>
              </w:rPr>
              <w:t>G</w:t>
            </w:r>
            <w:r w:rsidRPr="005D2436">
              <w:rPr>
                <w:rFonts w:cs="Arial"/>
                <w:noProof/>
                <w:lang w:val="en-US"/>
              </w:rPr>
              <w:t>ap</w:t>
            </w:r>
          </w:p>
        </w:tc>
      </w:tr>
      <w:tr w:rsidR="00742AB5" w:rsidRPr="00B51617" w14:paraId="4B65153E" w14:textId="77777777" w:rsidTr="00892134">
        <w:trPr>
          <w:jc w:val="center"/>
        </w:trPr>
        <w:tc>
          <w:tcPr>
            <w:tcW w:w="9720" w:type="dxa"/>
            <w:gridSpan w:val="2"/>
          </w:tcPr>
          <w:p w14:paraId="468A86E0" w14:textId="6CF41DCC" w:rsidR="00742AB5" w:rsidRPr="0022142B" w:rsidRDefault="00742AB5" w:rsidP="002B00D4">
            <w:pPr>
              <w:pStyle w:val="Sinespaciado"/>
              <w:jc w:val="center"/>
              <w:rPr>
                <w:rFonts w:cs="Arial"/>
                <w:noProof/>
                <w:lang w:val="en-US"/>
              </w:rPr>
            </w:pPr>
            <w:r>
              <w:rPr>
                <w:rFonts w:cs="Arial"/>
                <w:noProof/>
                <w:lang w:val="en-US"/>
              </w:rPr>
              <w:drawing>
                <wp:inline distT="0" distB="0" distL="0" distR="0" wp14:anchorId="6C2818B0" wp14:editId="1E65E34A">
                  <wp:extent cx="2907693" cy="2160000"/>
                  <wp:effectExtent l="0" t="0" r="6985" b="0"/>
                  <wp:docPr id="108576161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61615" name="Imagen 1085761615"/>
                          <pic:cNvPicPr/>
                        </pic:nvPicPr>
                        <pic:blipFill>
                          <a:blip r:embed="rId14">
                            <a:extLst>
                              <a:ext uri="{28A0092B-C50C-407E-A947-70E740481C1C}">
                                <a14:useLocalDpi xmlns:a14="http://schemas.microsoft.com/office/drawing/2010/main" val="0"/>
                              </a:ext>
                            </a:extLst>
                          </a:blip>
                          <a:stretch>
                            <a:fillRect/>
                          </a:stretch>
                        </pic:blipFill>
                        <pic:spPr>
                          <a:xfrm>
                            <a:off x="0" y="0"/>
                            <a:ext cx="2907693" cy="2160000"/>
                          </a:xfrm>
                          <a:prstGeom prst="rect">
                            <a:avLst/>
                          </a:prstGeom>
                        </pic:spPr>
                      </pic:pic>
                    </a:graphicData>
                  </a:graphic>
                </wp:inline>
              </w:drawing>
            </w:r>
          </w:p>
        </w:tc>
      </w:tr>
      <w:tr w:rsidR="00742AB5" w:rsidRPr="00742AB5" w14:paraId="66166F0B" w14:textId="77777777" w:rsidTr="00850F0B">
        <w:trPr>
          <w:jc w:val="center"/>
        </w:trPr>
        <w:tc>
          <w:tcPr>
            <w:tcW w:w="9720" w:type="dxa"/>
            <w:gridSpan w:val="2"/>
          </w:tcPr>
          <w:p w14:paraId="50FD494A" w14:textId="286DB323" w:rsidR="00742AB5" w:rsidRDefault="00742AB5" w:rsidP="002B00D4">
            <w:pPr>
              <w:pStyle w:val="Sinespaciado"/>
              <w:jc w:val="center"/>
              <w:rPr>
                <w:rFonts w:cs="Arial"/>
                <w:noProof/>
                <w:lang w:val="en-US"/>
              </w:rPr>
            </w:pPr>
            <w:r>
              <w:rPr>
                <w:rFonts w:cs="Arial"/>
                <w:noProof/>
                <w:lang w:val="en-US"/>
              </w:rPr>
              <w:t>(c)</w:t>
            </w:r>
            <w:r w:rsidRPr="005D2436">
              <w:rPr>
                <w:rFonts w:cs="Arial"/>
                <w:noProof/>
                <w:lang w:val="en-US"/>
              </w:rPr>
              <w:t xml:space="preserve"> Response</w:t>
            </w:r>
            <w:r>
              <w:rPr>
                <w:rFonts w:cs="Arial"/>
                <w:noProof/>
                <w:lang w:val="en-US"/>
              </w:rPr>
              <w:t>: Interest Rate</w:t>
            </w:r>
          </w:p>
          <w:p w14:paraId="786216ED" w14:textId="67C3FEBF" w:rsidR="00742AB5" w:rsidRPr="0022142B" w:rsidRDefault="00742AB5" w:rsidP="002B00D4">
            <w:pPr>
              <w:pStyle w:val="Sinespaciado"/>
              <w:jc w:val="center"/>
              <w:rPr>
                <w:rFonts w:cs="Arial"/>
                <w:noProof/>
                <w:lang w:val="en-US"/>
              </w:rPr>
            </w:pPr>
          </w:p>
        </w:tc>
      </w:tr>
      <w:tr w:rsidR="00742AB5" w:rsidRPr="00CF0423" w14:paraId="78D13EC5" w14:textId="77777777" w:rsidTr="002B00D4">
        <w:trPr>
          <w:jc w:val="center"/>
        </w:trPr>
        <w:tc>
          <w:tcPr>
            <w:tcW w:w="9720" w:type="dxa"/>
            <w:gridSpan w:val="2"/>
          </w:tcPr>
          <w:p w14:paraId="05AED709" w14:textId="1A0B3B4F" w:rsidR="00742AB5" w:rsidRDefault="00742AB5" w:rsidP="002B00D4">
            <w:pPr>
              <w:pStyle w:val="Sinespaciado"/>
              <w:jc w:val="center"/>
              <w:rPr>
                <w:rFonts w:cs="Arial"/>
                <w:lang w:val="en-US"/>
              </w:rPr>
            </w:pPr>
            <w:r w:rsidRPr="0022142B">
              <w:rPr>
                <w:rFonts w:cs="Arial"/>
                <w:lang w:val="en-US"/>
              </w:rPr>
              <w:t xml:space="preserve">Figure </w:t>
            </w:r>
            <w:r>
              <w:rPr>
                <w:rFonts w:cs="Arial"/>
                <w:lang w:val="en-US"/>
              </w:rPr>
              <w:t>1</w:t>
            </w:r>
            <w:r w:rsidRPr="0022142B">
              <w:rPr>
                <w:rFonts w:cs="Arial"/>
                <w:lang w:val="en-US"/>
              </w:rPr>
              <w:t xml:space="preserve">: </w:t>
            </w:r>
            <w:r w:rsidRPr="00742AB5">
              <w:rPr>
                <w:rFonts w:cs="Arial"/>
                <w:lang w:val="en-US"/>
              </w:rPr>
              <w:t>IRFs: Risk Premium Shock (</w:t>
            </w:r>
            <m:oMath>
              <m:r>
                <m:rPr>
                  <m:sty m:val="p"/>
                </m:rPr>
                <w:rPr>
                  <w:rFonts w:ascii="Cambria Math" w:hAnsi="Cambria Math" w:cs="Arial"/>
                  <w:lang w:val="en-US"/>
                </w:rPr>
                <m:t>↑</m:t>
              </m:r>
            </m:oMath>
            <w:r w:rsidRPr="00742AB5">
              <w:rPr>
                <w:rFonts w:cs="Arial"/>
                <w:lang w:val="en-US"/>
              </w:rPr>
              <w:t xml:space="preserve"> Exchange Rate)</w:t>
            </w:r>
          </w:p>
          <w:p w14:paraId="1F7C262D" w14:textId="77777777" w:rsidR="00742AB5" w:rsidRPr="0022142B" w:rsidRDefault="00742AB5" w:rsidP="002B00D4">
            <w:pPr>
              <w:pStyle w:val="Sinespaciado"/>
              <w:jc w:val="center"/>
              <w:rPr>
                <w:rFonts w:cs="Arial"/>
                <w:lang w:val="en-US"/>
              </w:rPr>
            </w:pPr>
          </w:p>
        </w:tc>
      </w:tr>
    </w:tbl>
    <w:p w14:paraId="6B25DF53" w14:textId="249E170E" w:rsidR="00742AB5" w:rsidRPr="00742AB5" w:rsidRDefault="00742AB5" w:rsidP="00742AB5">
      <w:pPr>
        <w:spacing w:before="120" w:after="120" w:line="360" w:lineRule="auto"/>
        <w:jc w:val="both"/>
        <w:rPr>
          <w:rFonts w:cs="Arial"/>
          <w:sz w:val="24"/>
          <w:szCs w:val="24"/>
          <w:lang w:val="en-US"/>
        </w:rPr>
      </w:pPr>
      <w:r w:rsidRPr="00742AB5">
        <w:rPr>
          <w:rFonts w:cs="Arial"/>
          <w:sz w:val="24"/>
          <w:szCs w:val="24"/>
          <w:lang w:val="en-US"/>
        </w:rPr>
        <w:t>The monetary policy rate (</w:t>
      </w:r>
      <m:oMath>
        <m:sSub>
          <m:sSubPr>
            <m:ctrlPr>
              <w:rPr>
                <w:rFonts w:ascii="Cambria Math" w:hAnsi="Cambria Math" w:cs="Arial"/>
                <w:i/>
                <w:sz w:val="24"/>
                <w:szCs w:val="24"/>
                <w:lang w:val="en-US"/>
              </w:rPr>
            </m:ctrlPr>
          </m:sSubPr>
          <m:e>
            <m:r>
              <w:rPr>
                <w:rFonts w:ascii="Cambria Math" w:hAnsi="Cambria Math" w:cs="Arial"/>
                <w:sz w:val="24"/>
                <w:szCs w:val="24"/>
                <w:lang w:val="en-US"/>
              </w:rPr>
              <m:t>i</m:t>
            </m:r>
          </m:e>
          <m:sub>
            <m:r>
              <w:rPr>
                <w:rFonts w:ascii="Cambria Math" w:hAnsi="Cambria Math" w:cs="Arial"/>
                <w:sz w:val="24"/>
                <w:szCs w:val="24"/>
                <w:lang w:val="en-US"/>
              </w:rPr>
              <m:t>t</m:t>
            </m:r>
          </m:sub>
        </m:sSub>
      </m:oMath>
      <w:r w:rsidRPr="00742AB5">
        <w:rPr>
          <w:rFonts w:cs="Arial"/>
          <w:sz w:val="24"/>
          <w:szCs w:val="24"/>
          <w:lang w:val="en-US"/>
        </w:rPr>
        <w:t>) responds by rising to counter inflationary pressures, before declining as inflation subsides, reflecting the Taylor rule’s responsiveness to inflation. These responses highlight the pivotal role of the exchange rate risk premium as a transmission channel, underscoring inflation and output sensitivity to exchange rate fluctuations in Bolivia’s constrained monetary setting.</w:t>
      </w:r>
    </w:p>
    <w:p w14:paraId="2E12C15E" w14:textId="745547DB" w:rsidR="00742AB5" w:rsidRPr="00742AB5" w:rsidRDefault="00742AB5" w:rsidP="00742AB5">
      <w:pPr>
        <w:spacing w:before="120" w:after="120" w:line="360" w:lineRule="auto"/>
        <w:jc w:val="both"/>
        <w:rPr>
          <w:rFonts w:cs="Arial"/>
          <w:sz w:val="24"/>
          <w:szCs w:val="24"/>
          <w:lang w:val="en-US"/>
        </w:rPr>
      </w:pPr>
      <w:r w:rsidRPr="00742AB5">
        <w:rPr>
          <w:rFonts w:cs="Arial"/>
          <w:sz w:val="24"/>
          <w:szCs w:val="24"/>
          <w:lang w:val="en-US"/>
        </w:rPr>
        <w:t>Finally, Figure</w:t>
      </w:r>
      <w:r>
        <w:rPr>
          <w:rFonts w:cs="Arial"/>
          <w:sz w:val="24"/>
          <w:szCs w:val="24"/>
          <w:lang w:val="en-US"/>
        </w:rPr>
        <w:t xml:space="preserve"> 3</w:t>
      </w:r>
      <w:r w:rsidRPr="00742AB5">
        <w:rPr>
          <w:rFonts w:cs="Arial"/>
          <w:sz w:val="24"/>
          <w:szCs w:val="24"/>
          <w:lang w:val="en-US"/>
        </w:rPr>
        <w:t xml:space="preserve"> displays the effects of a monetary policy shock (</w:t>
      </w:r>
      <m:oMath>
        <m:sSubSup>
          <m:sSubSupPr>
            <m:ctrlPr>
              <w:rPr>
                <w:rFonts w:ascii="Cambria Math" w:hAnsi="Cambria Math" w:cs="Arial"/>
                <w:i/>
                <w:sz w:val="24"/>
                <w:szCs w:val="24"/>
                <w:lang w:val="en-US"/>
              </w:rPr>
            </m:ctrlPr>
          </m:sSubSupPr>
          <m:e>
            <m:r>
              <m:rPr>
                <m:sty m:val="p"/>
              </m:rPr>
              <w:rPr>
                <w:rFonts w:ascii="Cambria Math" w:hAnsi="Cambria Math" w:cs="Arial"/>
                <w:sz w:val="24"/>
                <w:szCs w:val="24"/>
                <w:lang w:val="en-US"/>
              </w:rPr>
              <m:t>ε</m:t>
            </m:r>
            <m:ctrlPr>
              <w:rPr>
                <w:rFonts w:ascii="Cambria Math" w:hAnsi="Cambria Math" w:cs="Arial"/>
                <w:sz w:val="24"/>
                <w:szCs w:val="24"/>
                <w:lang w:val="en-US"/>
              </w:rPr>
            </m:ctrlPr>
          </m:e>
          <m:sub>
            <m:r>
              <w:rPr>
                <w:rFonts w:ascii="Cambria Math" w:hAnsi="Cambria Math" w:cs="Arial"/>
                <w:sz w:val="24"/>
                <w:szCs w:val="24"/>
                <w:lang w:val="en-US"/>
              </w:rPr>
              <m:t>t</m:t>
            </m:r>
          </m:sub>
          <m:sup>
            <m:r>
              <w:rPr>
                <w:rFonts w:ascii="Cambria Math" w:hAnsi="Cambria Math" w:cs="Arial"/>
                <w:sz w:val="24"/>
                <w:szCs w:val="24"/>
                <w:lang w:val="en-US"/>
              </w:rPr>
              <m:t>i</m:t>
            </m:r>
          </m:sup>
        </m:sSubSup>
      </m:oMath>
      <w:r w:rsidRPr="00742AB5">
        <w:rPr>
          <w:rFonts w:cs="Arial"/>
          <w:sz w:val="24"/>
          <w:szCs w:val="24"/>
          <w:lang w:val="en-US"/>
        </w:rPr>
        <w:t>), modeled as an exogenous increase in the nominal interest rate (</w:t>
      </w:r>
      <m:oMath>
        <m:sSub>
          <m:sSubPr>
            <m:ctrlPr>
              <w:rPr>
                <w:rFonts w:ascii="Cambria Math" w:hAnsi="Cambria Math" w:cs="Arial"/>
                <w:i/>
                <w:sz w:val="24"/>
                <w:szCs w:val="24"/>
                <w:lang w:val="en-US"/>
              </w:rPr>
            </m:ctrlPr>
          </m:sSubPr>
          <m:e>
            <m:r>
              <w:rPr>
                <w:rFonts w:ascii="Cambria Math" w:hAnsi="Cambria Math" w:cs="Arial"/>
                <w:sz w:val="24"/>
                <w:szCs w:val="24"/>
                <w:lang w:val="en-US"/>
              </w:rPr>
              <m:t>i</m:t>
            </m:r>
          </m:e>
          <m:sub>
            <m:r>
              <w:rPr>
                <w:rFonts w:ascii="Cambria Math" w:hAnsi="Cambria Math" w:cs="Arial"/>
                <w:sz w:val="24"/>
                <w:szCs w:val="24"/>
                <w:lang w:val="en-US"/>
              </w:rPr>
              <m:t>t</m:t>
            </m:r>
          </m:sub>
        </m:sSub>
      </m:oMath>
      <w:r w:rsidRPr="00742AB5">
        <w:rPr>
          <w:rFonts w:cs="Arial"/>
          <w:sz w:val="24"/>
          <w:szCs w:val="24"/>
          <w:lang w:val="en-US"/>
        </w:rPr>
        <w:t>) via the Taylor rule. The persistent policy parameter (</w:t>
      </w:r>
      <m:oMath>
        <m:sSub>
          <m:sSubPr>
            <m:ctrlPr>
              <w:rPr>
                <w:rFonts w:ascii="Cambria Math" w:hAnsi="Cambria Math" w:cs="Arial"/>
                <w:i/>
                <w:sz w:val="24"/>
                <w:szCs w:val="24"/>
                <w:lang w:val="en-US"/>
              </w:rPr>
            </m:ctrlPr>
          </m:sSubPr>
          <m:e>
            <m:r>
              <m:rPr>
                <m:sty m:val="p"/>
              </m:rPr>
              <w:rPr>
                <w:rFonts w:ascii="Cambria Math" w:hAnsi="Cambria Math" w:cs="Arial"/>
                <w:sz w:val="24"/>
                <w:szCs w:val="24"/>
                <w:lang w:val="en-US"/>
              </w:rPr>
              <m:t>ρ</m:t>
            </m:r>
            <m:ctrlPr>
              <w:rPr>
                <w:rFonts w:ascii="Cambria Math" w:hAnsi="Cambria Math" w:cs="Arial"/>
                <w:sz w:val="24"/>
                <w:szCs w:val="24"/>
                <w:lang w:val="en-US"/>
              </w:rPr>
            </m:ctrlPr>
          </m:e>
          <m:sub>
            <m:r>
              <w:rPr>
                <w:rFonts w:ascii="Cambria Math" w:hAnsi="Cambria Math" w:cs="Arial"/>
                <w:sz w:val="24"/>
                <w:szCs w:val="24"/>
                <w:lang w:val="en-US"/>
              </w:rPr>
              <m:t>i</m:t>
            </m:r>
          </m:sub>
        </m:sSub>
      </m:oMath>
      <w:r w:rsidRPr="00742AB5">
        <w:rPr>
          <w:rFonts w:cs="Arial"/>
          <w:sz w:val="24"/>
          <w:szCs w:val="24"/>
          <w:lang w:val="en-US"/>
        </w:rPr>
        <w:t xml:space="preserve">) amplifies the effect, influencing both the current level and expectations of future rates. The higher </w:t>
      </w:r>
      <m:oMath>
        <m:sSub>
          <m:sSubPr>
            <m:ctrlPr>
              <w:rPr>
                <w:rFonts w:ascii="Cambria Math" w:hAnsi="Cambria Math" w:cs="Arial"/>
                <w:i/>
                <w:sz w:val="24"/>
                <w:szCs w:val="24"/>
                <w:lang w:val="en-US"/>
              </w:rPr>
            </m:ctrlPr>
          </m:sSubPr>
          <m:e>
            <m:r>
              <w:rPr>
                <w:rFonts w:ascii="Cambria Math" w:hAnsi="Cambria Math" w:cs="Arial"/>
                <w:sz w:val="24"/>
                <w:szCs w:val="24"/>
                <w:lang w:val="en-US"/>
              </w:rPr>
              <m:t>i</m:t>
            </m:r>
          </m:e>
          <m:sub>
            <m:r>
              <w:rPr>
                <w:rFonts w:ascii="Cambria Math" w:hAnsi="Cambria Math" w:cs="Arial"/>
                <w:sz w:val="24"/>
                <w:szCs w:val="24"/>
                <w:lang w:val="en-US"/>
              </w:rPr>
              <m:t>t</m:t>
            </m:r>
          </m:sub>
        </m:sSub>
      </m:oMath>
      <w:r w:rsidRPr="00742AB5">
        <w:rPr>
          <w:rFonts w:cs="Arial"/>
          <w:sz w:val="24"/>
          <w:szCs w:val="24"/>
          <w:lang w:val="en-US"/>
        </w:rPr>
        <w:t xml:space="preserve"> contracts the output gap through </w:t>
      </w:r>
      <m:oMath>
        <m:r>
          <w:rPr>
            <w:rFonts w:ascii="Cambria Math" w:hAnsi="Cambria Math" w:cs="Arial"/>
            <w:sz w:val="24"/>
            <w:szCs w:val="24"/>
            <w:lang w:val="en-US"/>
          </w:rPr>
          <m:t>-</m:t>
        </m:r>
        <m:r>
          <m:rPr>
            <m:sty m:val="p"/>
          </m:rPr>
          <w:rPr>
            <w:rFonts w:ascii="Cambria Math" w:hAnsi="Cambria Math" w:cs="Arial"/>
            <w:sz w:val="24"/>
            <w:szCs w:val="24"/>
            <w:lang w:val="en-US"/>
          </w:rPr>
          <m:t>ϕ</m:t>
        </m:r>
        <m:r>
          <w:rPr>
            <w:rFonts w:ascii="Cambria Math" w:hAnsi="Cambria Math" w:cs="Arial"/>
            <w:sz w:val="24"/>
            <w:szCs w:val="24"/>
            <w:lang w:val="en-US"/>
          </w:rPr>
          <m:t> </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i</m:t>
                </m:r>
              </m:e>
              <m:sub>
                <m:r>
                  <w:rPr>
                    <w:rFonts w:ascii="Cambria Math" w:hAnsi="Cambria Math" w:cs="Arial"/>
                    <w:sz w:val="24"/>
                    <w:szCs w:val="24"/>
                    <w:lang w:val="en-US"/>
                  </w:rPr>
                  <m:t>t</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E</m:t>
                </m:r>
              </m:e>
              <m:sub>
                <m:r>
                  <w:rPr>
                    <w:rFonts w:ascii="Cambria Math" w:hAnsi="Cambria Math" w:cs="Arial"/>
                    <w:sz w:val="24"/>
                    <w:szCs w:val="24"/>
                    <w:lang w:val="en-US"/>
                  </w:rPr>
                  <m:t>t</m:t>
                </m:r>
              </m:sub>
            </m:sSub>
            <m:d>
              <m:dPr>
                <m:begChr m:val="["/>
                <m:endChr m:val="]"/>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m:rPr>
                        <m:sty m:val="p"/>
                      </m:rPr>
                      <w:rPr>
                        <w:rFonts w:ascii="Cambria Math" w:hAnsi="Cambria Math" w:cs="Arial"/>
                        <w:sz w:val="24"/>
                        <w:szCs w:val="24"/>
                        <w:lang w:val="en-US"/>
                      </w:rPr>
                      <m:t>π</m:t>
                    </m:r>
                  </m:e>
                  <m:sub>
                    <m:r>
                      <w:rPr>
                        <w:rFonts w:ascii="Cambria Math" w:hAnsi="Cambria Math" w:cs="Arial"/>
                        <w:sz w:val="24"/>
                        <w:szCs w:val="24"/>
                        <w:lang w:val="en-US"/>
                      </w:rPr>
                      <m:t>t+1</m:t>
                    </m:r>
                  </m:sub>
                </m:sSub>
              </m:e>
            </m:d>
          </m:e>
        </m:d>
      </m:oMath>
      <w:r w:rsidRPr="00742AB5">
        <w:rPr>
          <w:rFonts w:cs="Arial"/>
          <w:sz w:val="24"/>
          <w:szCs w:val="24"/>
          <w:lang w:val="en-US"/>
        </w:rPr>
        <w:t>, reducing aggregate demand and exerting downward pressure on inflation. Due to smoothing, the inflation response is initially muted but becomes more prominent over time.</w:t>
      </w:r>
    </w:p>
    <w:p w14:paraId="73029B0A" w14:textId="2090F024" w:rsidR="005D2436" w:rsidRDefault="00742AB5" w:rsidP="00742AB5">
      <w:pPr>
        <w:spacing w:before="120" w:after="120" w:line="360" w:lineRule="auto"/>
        <w:jc w:val="both"/>
        <w:rPr>
          <w:rFonts w:cs="Arial"/>
          <w:sz w:val="24"/>
          <w:szCs w:val="24"/>
          <w:lang w:val="en-US"/>
        </w:rPr>
      </w:pPr>
      <w:r w:rsidRPr="00742AB5">
        <w:rPr>
          <w:rFonts w:cs="Arial"/>
          <w:sz w:val="24"/>
          <w:szCs w:val="24"/>
          <w:lang w:val="en-US"/>
        </w:rPr>
        <w:lastRenderedPageBreak/>
        <w:t>Despite the model does not explicitly tie the exchange rate to monetary policy, it is reasonable to expect that higher interest rates would indirectly stabilize the domestic currency against depreciation in the parallel market. However, these simulations suggest that exchange rate stabilization via interest rate policy alone may be limited, indicating that broader interventions could be necessary.</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2"/>
        <w:gridCol w:w="4948"/>
      </w:tblGrid>
      <w:tr w:rsidR="00F750ED" w:rsidRPr="00B51617" w14:paraId="5C687288" w14:textId="77777777" w:rsidTr="002B00D4">
        <w:trPr>
          <w:trHeight w:val="3389"/>
          <w:jc w:val="center"/>
        </w:trPr>
        <w:tc>
          <w:tcPr>
            <w:tcW w:w="4772" w:type="dxa"/>
          </w:tcPr>
          <w:p w14:paraId="3E2CE657" w14:textId="2B954526" w:rsidR="00F750ED" w:rsidRPr="00B51617" w:rsidRDefault="00F750ED" w:rsidP="00F750ED">
            <w:pPr>
              <w:pStyle w:val="Sinespaciado"/>
              <w:jc w:val="center"/>
              <w:rPr>
                <w:rFonts w:cs="Arial"/>
                <w:noProof/>
                <w:lang w:val="en-US"/>
              </w:rPr>
            </w:pPr>
            <w:r>
              <w:rPr>
                <w:rFonts w:cs="Arial"/>
                <w:noProof/>
                <w:lang w:val="en-US"/>
              </w:rPr>
              <w:drawing>
                <wp:inline distT="0" distB="0" distL="0" distR="0" wp14:anchorId="188A8C50" wp14:editId="1D1910E9">
                  <wp:extent cx="2854037" cy="2162652"/>
                  <wp:effectExtent l="0" t="0" r="3810" b="9525"/>
                  <wp:docPr id="653444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4420" name="Imagen 65344420"/>
                          <pic:cNvPicPr/>
                        </pic:nvPicPr>
                        <pic:blipFill>
                          <a:blip r:embed="rId15">
                            <a:extLst>
                              <a:ext uri="{28A0092B-C50C-407E-A947-70E740481C1C}">
                                <a14:useLocalDpi xmlns:a14="http://schemas.microsoft.com/office/drawing/2010/main" val="0"/>
                              </a:ext>
                            </a:extLst>
                          </a:blip>
                          <a:stretch>
                            <a:fillRect/>
                          </a:stretch>
                        </pic:blipFill>
                        <pic:spPr>
                          <a:xfrm>
                            <a:off x="0" y="0"/>
                            <a:ext cx="2869590" cy="2174438"/>
                          </a:xfrm>
                          <a:prstGeom prst="rect">
                            <a:avLst/>
                          </a:prstGeom>
                        </pic:spPr>
                      </pic:pic>
                    </a:graphicData>
                  </a:graphic>
                </wp:inline>
              </w:drawing>
            </w:r>
          </w:p>
        </w:tc>
        <w:tc>
          <w:tcPr>
            <w:tcW w:w="4948" w:type="dxa"/>
          </w:tcPr>
          <w:p w14:paraId="5B8D7258" w14:textId="55FC10AF" w:rsidR="00F750ED" w:rsidRPr="00B51617" w:rsidRDefault="00F750ED" w:rsidP="002B00D4">
            <w:pPr>
              <w:pStyle w:val="Sinespaciado"/>
              <w:jc w:val="center"/>
              <w:rPr>
                <w:rFonts w:cs="Arial"/>
                <w:noProof/>
                <w:lang w:val="en-US"/>
              </w:rPr>
            </w:pPr>
            <w:r>
              <w:rPr>
                <w:rFonts w:cs="Arial"/>
                <w:noProof/>
                <w:lang w:val="en-US"/>
              </w:rPr>
              <w:drawing>
                <wp:inline distT="0" distB="0" distL="0" distR="0" wp14:anchorId="4218E762" wp14:editId="73C9D8D8">
                  <wp:extent cx="2860963" cy="2175867"/>
                  <wp:effectExtent l="0" t="0" r="0" b="0"/>
                  <wp:docPr id="195915747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57478" name="Imagen 1959157478"/>
                          <pic:cNvPicPr/>
                        </pic:nvPicPr>
                        <pic:blipFill>
                          <a:blip r:embed="rId16">
                            <a:extLst>
                              <a:ext uri="{28A0092B-C50C-407E-A947-70E740481C1C}">
                                <a14:useLocalDpi xmlns:a14="http://schemas.microsoft.com/office/drawing/2010/main" val="0"/>
                              </a:ext>
                            </a:extLst>
                          </a:blip>
                          <a:stretch>
                            <a:fillRect/>
                          </a:stretch>
                        </pic:blipFill>
                        <pic:spPr>
                          <a:xfrm>
                            <a:off x="0" y="0"/>
                            <a:ext cx="2875458" cy="2186891"/>
                          </a:xfrm>
                          <a:prstGeom prst="rect">
                            <a:avLst/>
                          </a:prstGeom>
                        </pic:spPr>
                      </pic:pic>
                    </a:graphicData>
                  </a:graphic>
                </wp:inline>
              </w:drawing>
            </w:r>
          </w:p>
        </w:tc>
      </w:tr>
      <w:tr w:rsidR="00F750ED" w:rsidRPr="00742AB5" w14:paraId="2E3CE333" w14:textId="77777777" w:rsidTr="002B00D4">
        <w:trPr>
          <w:jc w:val="center"/>
        </w:trPr>
        <w:tc>
          <w:tcPr>
            <w:tcW w:w="4772" w:type="dxa"/>
          </w:tcPr>
          <w:p w14:paraId="2DFEC012" w14:textId="7E8E7A4D" w:rsidR="00F750ED" w:rsidRPr="0022142B" w:rsidRDefault="00F750ED" w:rsidP="00F750ED">
            <w:pPr>
              <w:pStyle w:val="Sinespaciado"/>
              <w:numPr>
                <w:ilvl w:val="0"/>
                <w:numId w:val="10"/>
              </w:numPr>
              <w:jc w:val="center"/>
              <w:rPr>
                <w:rFonts w:cs="Arial"/>
                <w:noProof/>
                <w:lang w:val="en-US"/>
              </w:rPr>
            </w:pPr>
            <w:r w:rsidRPr="005D2436">
              <w:rPr>
                <w:rFonts w:cs="Arial"/>
                <w:noProof/>
                <w:lang w:val="en-US"/>
              </w:rPr>
              <w:t>Response</w:t>
            </w:r>
            <w:r>
              <w:rPr>
                <w:rFonts w:cs="Arial"/>
                <w:noProof/>
                <w:lang w:val="en-US"/>
              </w:rPr>
              <w:t xml:space="preserve"> of </w:t>
            </w:r>
            <w:r w:rsidRPr="005D2436">
              <w:rPr>
                <w:rFonts w:cs="Arial"/>
                <w:noProof/>
                <w:lang w:val="en-US"/>
              </w:rPr>
              <w:t>inflation</w:t>
            </w:r>
          </w:p>
        </w:tc>
        <w:tc>
          <w:tcPr>
            <w:tcW w:w="4948" w:type="dxa"/>
          </w:tcPr>
          <w:p w14:paraId="13CD487A" w14:textId="0F31D848" w:rsidR="00F750ED" w:rsidRDefault="00F750ED" w:rsidP="00F750ED">
            <w:pPr>
              <w:pStyle w:val="Sinespaciado"/>
              <w:numPr>
                <w:ilvl w:val="0"/>
                <w:numId w:val="10"/>
              </w:numPr>
              <w:jc w:val="center"/>
              <w:rPr>
                <w:rFonts w:cs="Arial"/>
                <w:noProof/>
                <w:lang w:val="en-US"/>
              </w:rPr>
            </w:pPr>
            <w:r w:rsidRPr="005D2436">
              <w:rPr>
                <w:rFonts w:cs="Arial"/>
                <w:noProof/>
                <w:lang w:val="en-US"/>
              </w:rPr>
              <w:t>Response</w:t>
            </w:r>
            <w:r>
              <w:rPr>
                <w:rFonts w:cs="Arial"/>
                <w:noProof/>
                <w:lang w:val="en-US"/>
              </w:rPr>
              <w:t xml:space="preserve"> of the</w:t>
            </w:r>
            <w:r w:rsidRPr="005D2436">
              <w:rPr>
                <w:rFonts w:cs="Arial"/>
                <w:noProof/>
                <w:lang w:val="en-US"/>
              </w:rPr>
              <w:t xml:space="preserve"> </w:t>
            </w:r>
            <w:r>
              <w:rPr>
                <w:rFonts w:cs="Arial"/>
                <w:noProof/>
                <w:lang w:val="en-US"/>
              </w:rPr>
              <w:t>O</w:t>
            </w:r>
            <w:r w:rsidRPr="005D2436">
              <w:rPr>
                <w:rFonts w:cs="Arial"/>
                <w:noProof/>
                <w:lang w:val="en-US"/>
              </w:rPr>
              <w:t xml:space="preserve">utput </w:t>
            </w:r>
            <w:r>
              <w:rPr>
                <w:rFonts w:cs="Arial"/>
                <w:noProof/>
                <w:lang w:val="en-US"/>
              </w:rPr>
              <w:t>G</w:t>
            </w:r>
            <w:r w:rsidRPr="005D2436">
              <w:rPr>
                <w:rFonts w:cs="Arial"/>
                <w:noProof/>
                <w:lang w:val="en-US"/>
              </w:rPr>
              <w:t>ap</w:t>
            </w:r>
          </w:p>
          <w:p w14:paraId="211B4543" w14:textId="77777777" w:rsidR="00F750ED" w:rsidRPr="0022142B" w:rsidRDefault="00F750ED" w:rsidP="00F750ED">
            <w:pPr>
              <w:pStyle w:val="Sinespaciado"/>
              <w:ind w:left="720"/>
              <w:rPr>
                <w:rFonts w:cs="Arial"/>
                <w:noProof/>
                <w:lang w:val="en-US"/>
              </w:rPr>
            </w:pPr>
          </w:p>
        </w:tc>
      </w:tr>
      <w:tr w:rsidR="00F750ED" w:rsidRPr="00B51617" w14:paraId="6FFD9636" w14:textId="77777777" w:rsidTr="002B00D4">
        <w:trPr>
          <w:jc w:val="center"/>
        </w:trPr>
        <w:tc>
          <w:tcPr>
            <w:tcW w:w="9720" w:type="dxa"/>
            <w:gridSpan w:val="2"/>
          </w:tcPr>
          <w:p w14:paraId="5FBA9BDF" w14:textId="6DE2E113" w:rsidR="00F750ED" w:rsidRDefault="00F750ED" w:rsidP="002B00D4">
            <w:pPr>
              <w:pStyle w:val="Sinespaciado"/>
              <w:jc w:val="center"/>
              <w:rPr>
                <w:rFonts w:cs="Arial"/>
                <w:lang w:val="en-US"/>
              </w:rPr>
            </w:pPr>
            <w:r w:rsidRPr="0022142B">
              <w:rPr>
                <w:rFonts w:cs="Arial"/>
                <w:lang w:val="en-US"/>
              </w:rPr>
              <w:t xml:space="preserve">Figure </w:t>
            </w:r>
            <w:r>
              <w:rPr>
                <w:rFonts w:cs="Arial"/>
                <w:lang w:val="en-US"/>
              </w:rPr>
              <w:t>3</w:t>
            </w:r>
            <w:r w:rsidRPr="0022142B">
              <w:rPr>
                <w:rFonts w:cs="Arial"/>
                <w:lang w:val="en-US"/>
              </w:rPr>
              <w:t xml:space="preserve">: </w:t>
            </w:r>
            <w:r w:rsidRPr="00742AB5">
              <w:rPr>
                <w:rFonts w:cs="Arial"/>
                <w:lang w:val="en-US"/>
              </w:rPr>
              <w:t xml:space="preserve">IRFs: </w:t>
            </w:r>
            <w:r>
              <w:rPr>
                <w:rFonts w:cs="Arial"/>
                <w:lang w:val="en-US"/>
              </w:rPr>
              <w:t>Monetary Policy Shock</w:t>
            </w:r>
          </w:p>
          <w:p w14:paraId="14FAAE4E" w14:textId="77777777" w:rsidR="00F750ED" w:rsidRPr="0022142B" w:rsidRDefault="00F750ED" w:rsidP="002B00D4">
            <w:pPr>
              <w:pStyle w:val="Sinespaciado"/>
              <w:jc w:val="center"/>
              <w:rPr>
                <w:rFonts w:cs="Arial"/>
                <w:lang w:val="en-US"/>
              </w:rPr>
            </w:pPr>
          </w:p>
        </w:tc>
      </w:tr>
    </w:tbl>
    <w:p w14:paraId="0B437B46" w14:textId="29FC86E6" w:rsidR="00742AB5" w:rsidRPr="005D2436" w:rsidRDefault="00F750ED" w:rsidP="00742AB5">
      <w:pPr>
        <w:spacing w:before="120" w:after="120" w:line="360" w:lineRule="auto"/>
        <w:jc w:val="both"/>
        <w:rPr>
          <w:rFonts w:cs="Arial"/>
          <w:sz w:val="24"/>
          <w:szCs w:val="24"/>
          <w:lang w:val="en-US"/>
        </w:rPr>
      </w:pPr>
      <w:r w:rsidRPr="00F750ED">
        <w:rPr>
          <w:rFonts w:cs="Arial"/>
          <w:sz w:val="24"/>
          <w:szCs w:val="24"/>
          <w:lang w:val="en-US"/>
        </w:rPr>
        <w:t>While the DSGE model provides theoretical insights into the transmission channel, section</w:t>
      </w:r>
      <w:r>
        <w:rPr>
          <w:rFonts w:cs="Arial"/>
          <w:sz w:val="24"/>
          <w:szCs w:val="24"/>
          <w:lang w:val="en-US"/>
        </w:rPr>
        <w:t xml:space="preserve"> 4</w:t>
      </w:r>
      <w:r w:rsidRPr="00F750ED">
        <w:rPr>
          <w:rFonts w:cs="Arial"/>
          <w:sz w:val="24"/>
          <w:szCs w:val="24"/>
          <w:lang w:val="en-US"/>
        </w:rPr>
        <w:t xml:space="preserve"> complements this by offering data-driven validation. Using daily data for Bolivia (2023–2025), it captures real-time interactions between uncertainty sentiment, the parallel BOB/USDT exchange rate, and inflation, refining and enhancing the simulated findings.</w:t>
      </w:r>
    </w:p>
    <w:p w14:paraId="3E0198B4" w14:textId="3D0960F7" w:rsidR="00495AEE" w:rsidRDefault="00495AEE" w:rsidP="00495AEE">
      <w:pPr>
        <w:pStyle w:val="Prrafodelista"/>
        <w:numPr>
          <w:ilvl w:val="0"/>
          <w:numId w:val="1"/>
        </w:numPr>
        <w:spacing w:before="120" w:after="120" w:line="360" w:lineRule="auto"/>
        <w:rPr>
          <w:rFonts w:cs="Arial"/>
          <w:b/>
          <w:bCs/>
          <w:sz w:val="24"/>
          <w:szCs w:val="24"/>
          <w:lang w:val="en-US"/>
        </w:rPr>
      </w:pPr>
      <w:r w:rsidRPr="00495AEE">
        <w:rPr>
          <w:rFonts w:cs="Arial"/>
          <w:b/>
          <w:bCs/>
          <w:sz w:val="24"/>
          <w:szCs w:val="24"/>
          <w:lang w:val="en-US"/>
        </w:rPr>
        <w:t>High-Frequency Empirical Analysis</w:t>
      </w:r>
    </w:p>
    <w:p w14:paraId="5A67C4D0" w14:textId="2EAFE069" w:rsidR="00495AEE" w:rsidRDefault="00495AEE" w:rsidP="00495AEE">
      <w:pPr>
        <w:spacing w:before="120" w:after="120" w:line="360" w:lineRule="auto"/>
        <w:jc w:val="both"/>
        <w:rPr>
          <w:rFonts w:cs="Arial"/>
          <w:sz w:val="24"/>
          <w:szCs w:val="24"/>
          <w:lang w:val="en-US"/>
        </w:rPr>
      </w:pPr>
      <w:r w:rsidRPr="00495AEE">
        <w:rPr>
          <w:rFonts w:cs="Arial"/>
          <w:sz w:val="24"/>
          <w:szCs w:val="24"/>
          <w:lang w:val="en-US"/>
        </w:rPr>
        <w:t>This section presents the empirical evaluation of the theoretical framework developed in Section</w:t>
      </w:r>
      <w:r>
        <w:rPr>
          <w:rFonts w:cs="Arial"/>
          <w:sz w:val="24"/>
          <w:szCs w:val="24"/>
          <w:lang w:val="en-US"/>
        </w:rPr>
        <w:t xml:space="preserve"> 2</w:t>
      </w:r>
      <w:r w:rsidRPr="00495AEE">
        <w:rPr>
          <w:rFonts w:cs="Arial"/>
          <w:sz w:val="24"/>
          <w:szCs w:val="24"/>
          <w:lang w:val="en-US"/>
        </w:rPr>
        <w:t xml:space="preserve">, leveraging daily-frequency data to capture the dynamics of Bolivia’s parallel digital exchange market and its interactions with economic uncertainty sentiment and inflation. The rise of cryptocurrency-based exchange mechanisms, particularly the USDT/BOB parallel rate, represents a recent phenomenon that commenced in early 2023. Given the limited time span and rapidly evolving nature of this market, conventional econometric analyses using lower-frequency data (e.g., monthly or quarterly) are insufficient to fully characterize these high-frequency interactions. Accordingly, this research innovates by constructing and employing daily measures of the USDT/BOB exchange rate, a novel economic uncertainty sentiment index, and daily inflation estimates specific to Bolivia. Through the application of a </w:t>
      </w:r>
      <w:r w:rsidRPr="00495AEE">
        <w:rPr>
          <w:rFonts w:cs="Arial"/>
          <w:sz w:val="24"/>
          <w:szCs w:val="24"/>
          <w:lang w:val="en-US"/>
        </w:rPr>
        <w:lastRenderedPageBreak/>
        <w:t>Bayesian Structural Vector Autoregressive (BSVAR) model at the daily frequency, this section empirically tests the transmission mechanisms outlined in the theoretical model, offering new insights into the role of sentiment and cryptocurrency-based exchange rates in shaping inflation dynamics under constrained monetary policy environments.</w:t>
      </w:r>
    </w:p>
    <w:p w14:paraId="52889D76" w14:textId="71FA09E3" w:rsidR="00495AEE" w:rsidRDefault="00495AEE" w:rsidP="00495AEE">
      <w:pPr>
        <w:pStyle w:val="Prrafodelista"/>
        <w:numPr>
          <w:ilvl w:val="1"/>
          <w:numId w:val="1"/>
        </w:numPr>
        <w:spacing w:before="120" w:after="120" w:line="360" w:lineRule="auto"/>
        <w:jc w:val="both"/>
        <w:rPr>
          <w:rFonts w:cs="Arial"/>
          <w:b/>
          <w:bCs/>
          <w:sz w:val="24"/>
          <w:szCs w:val="24"/>
          <w:lang w:val="en-US"/>
        </w:rPr>
      </w:pPr>
      <w:r w:rsidRPr="00495AEE">
        <w:rPr>
          <w:rFonts w:cs="Arial"/>
          <w:b/>
          <w:bCs/>
          <w:sz w:val="24"/>
          <w:szCs w:val="24"/>
          <w:lang w:val="en-US"/>
        </w:rPr>
        <w:t>Data</w:t>
      </w:r>
    </w:p>
    <w:p w14:paraId="3F7A52B2" w14:textId="2CA87F3F" w:rsidR="00495AEE" w:rsidRDefault="00495AEE" w:rsidP="00495AEE">
      <w:pPr>
        <w:spacing w:before="120" w:after="120" w:line="360" w:lineRule="auto"/>
        <w:jc w:val="both"/>
        <w:rPr>
          <w:rFonts w:cs="Arial"/>
          <w:sz w:val="24"/>
          <w:szCs w:val="24"/>
          <w:lang w:val="en-US"/>
        </w:rPr>
      </w:pPr>
      <w:r w:rsidRPr="00495AEE">
        <w:rPr>
          <w:rFonts w:cs="Arial"/>
          <w:sz w:val="24"/>
          <w:szCs w:val="24"/>
          <w:lang w:val="en-US"/>
        </w:rPr>
        <w:t>Given that Bolivia’s parallel digital exchange market, led by the USDT/BOB cryptocurrency rate, emerged only in early 2023, conventional low-frequency datasets are inadequate for capturing the short-term dynamics associated with this market. To address this limitation, we compile a novel daily dataset spanning from January 1, 2023, to April 11, 2025. The dataset includes three key variables: (i) the cryptocurrency-based exchange rate (BOB/USDT) year-on-year depreciation, (ii) an economic uncertainty sentiment index, and (iii) daily year-on-year inflation estimates for Bolivia. Each of these variables has been specifically constructed to reflect high-frequency economic conditions and to support robust identification of short-term relationships within the BSVAR framework.</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20"/>
      </w:tblGrid>
      <w:tr w:rsidR="00495AEE" w14:paraId="5E47B1B5" w14:textId="77777777" w:rsidTr="00B51617">
        <w:trPr>
          <w:jc w:val="center"/>
        </w:trPr>
        <w:tc>
          <w:tcPr>
            <w:tcW w:w="9936" w:type="dxa"/>
          </w:tcPr>
          <w:p w14:paraId="68995B12" w14:textId="6985A47B" w:rsidR="00495AEE" w:rsidRDefault="00495AEE" w:rsidP="00B51617">
            <w:pPr>
              <w:pStyle w:val="Sinespaciado"/>
              <w:jc w:val="center"/>
              <w:rPr>
                <w:lang w:val="en-US"/>
              </w:rPr>
            </w:pPr>
            <w:r>
              <w:rPr>
                <w:noProof/>
                <w:lang w:val="en-US"/>
              </w:rPr>
              <w:drawing>
                <wp:inline distT="0" distB="0" distL="0" distR="0" wp14:anchorId="4703ECEF" wp14:editId="57695833">
                  <wp:extent cx="5571839" cy="2867891"/>
                  <wp:effectExtent l="0" t="0" r="0" b="8890"/>
                  <wp:docPr id="7335623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62344" name="Imagen 73356234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29087" cy="2897357"/>
                          </a:xfrm>
                          <a:prstGeom prst="rect">
                            <a:avLst/>
                          </a:prstGeom>
                        </pic:spPr>
                      </pic:pic>
                    </a:graphicData>
                  </a:graphic>
                </wp:inline>
              </w:drawing>
            </w:r>
          </w:p>
        </w:tc>
      </w:tr>
      <w:tr w:rsidR="00495AEE" w:rsidRPr="00CF0423" w14:paraId="6A1A6C73" w14:textId="77777777" w:rsidTr="00B51617">
        <w:trPr>
          <w:jc w:val="center"/>
        </w:trPr>
        <w:tc>
          <w:tcPr>
            <w:tcW w:w="9936" w:type="dxa"/>
          </w:tcPr>
          <w:p w14:paraId="7F79435E" w14:textId="14A5B700" w:rsidR="00495AEE" w:rsidRDefault="00495AEE" w:rsidP="00B51617">
            <w:pPr>
              <w:pStyle w:val="Sinespaciado"/>
              <w:jc w:val="center"/>
              <w:rPr>
                <w:lang w:val="en-US"/>
              </w:rPr>
            </w:pPr>
            <w:r w:rsidRPr="00495AEE">
              <w:rPr>
                <w:lang w:val="en-US"/>
              </w:rPr>
              <w:t>Figure 4: Daily-Frequency Endogenous Variables</w:t>
            </w:r>
          </w:p>
        </w:tc>
      </w:tr>
    </w:tbl>
    <w:p w14:paraId="7788D309" w14:textId="1F8D40CC" w:rsidR="00495AEE" w:rsidRPr="00495AEE" w:rsidRDefault="00495AEE" w:rsidP="00495AEE">
      <w:pPr>
        <w:spacing w:before="120" w:after="120" w:line="360" w:lineRule="auto"/>
        <w:jc w:val="both"/>
        <w:rPr>
          <w:rFonts w:cs="Arial"/>
          <w:sz w:val="24"/>
          <w:szCs w:val="24"/>
          <w:lang w:val="en-US"/>
        </w:rPr>
      </w:pPr>
      <w:r w:rsidRPr="00495AEE">
        <w:rPr>
          <w:rFonts w:cs="Arial"/>
          <w:sz w:val="24"/>
          <w:szCs w:val="24"/>
          <w:lang w:val="en-US"/>
        </w:rPr>
        <w:t>Figure</w:t>
      </w:r>
      <w:r>
        <w:rPr>
          <w:rFonts w:cs="Arial"/>
          <w:sz w:val="24"/>
          <w:szCs w:val="24"/>
          <w:lang w:val="en-US"/>
        </w:rPr>
        <w:t xml:space="preserve"> 4</w:t>
      </w:r>
      <w:r w:rsidRPr="00495AEE">
        <w:rPr>
          <w:rFonts w:cs="Arial"/>
          <w:sz w:val="24"/>
          <w:szCs w:val="24"/>
          <w:lang w:val="en-US"/>
        </w:rPr>
        <w:t xml:space="preserve"> shows these three (endogenous) variables. The following paragraphs detail the data sources, construction methodologies, and rationale for each series.</w:t>
      </w:r>
    </w:p>
    <w:p w14:paraId="7295A8EA" w14:textId="168D7410" w:rsidR="00495AEE" w:rsidRDefault="00495AEE" w:rsidP="00495AEE">
      <w:pPr>
        <w:spacing w:before="120" w:after="120" w:line="360" w:lineRule="auto"/>
        <w:jc w:val="both"/>
        <w:rPr>
          <w:rFonts w:cs="Arial"/>
          <w:sz w:val="24"/>
          <w:szCs w:val="24"/>
          <w:lang w:val="en-US"/>
        </w:rPr>
      </w:pPr>
      <w:r w:rsidRPr="00495AEE">
        <w:rPr>
          <w:rFonts w:cs="Arial"/>
          <w:b/>
          <w:bCs/>
          <w:sz w:val="24"/>
          <w:szCs w:val="24"/>
          <w:lang w:val="en-US"/>
        </w:rPr>
        <w:t>Cryptocurrency-Based Exchange Rate y-o-y Depreciation:</w:t>
      </w:r>
      <w:r>
        <w:rPr>
          <w:rFonts w:cs="Arial"/>
          <w:b/>
          <w:bCs/>
          <w:sz w:val="24"/>
          <w:szCs w:val="24"/>
          <w:lang w:val="en-US"/>
        </w:rPr>
        <w:t xml:space="preserve"> </w:t>
      </w:r>
      <w:r w:rsidRPr="00495AEE">
        <w:rPr>
          <w:rFonts w:cs="Arial"/>
          <w:sz w:val="24"/>
          <w:szCs w:val="24"/>
          <w:lang w:val="en-US"/>
        </w:rPr>
        <w:t>The daily digital exchange rate series is constructed from the BOB/USDT average price reported by Binance’s peer-to-</w:t>
      </w:r>
      <w:r w:rsidRPr="00495AEE">
        <w:rPr>
          <w:rFonts w:cs="Arial"/>
          <w:sz w:val="24"/>
          <w:szCs w:val="24"/>
          <w:lang w:val="en-US"/>
        </w:rPr>
        <w:lastRenderedPageBreak/>
        <w:t>peer (P2P) platform, the most widely used mechanism for cryptocurrency transactions in Bolivia. Binance’s P2P market serves as the principal venue for local currency-to-stablecoin (USDT) conversions and is regularly monitored by the Central Bank of Bolivia, which publishes daily reference rates based on this platform.</w:t>
      </w:r>
    </w:p>
    <w:p w14:paraId="5DF8264D" w14:textId="1692CB80" w:rsidR="00495AEE" w:rsidRDefault="00495AEE" w:rsidP="00495AEE">
      <w:pPr>
        <w:spacing w:before="120" w:after="120" w:line="360" w:lineRule="auto"/>
        <w:jc w:val="both"/>
        <w:rPr>
          <w:rFonts w:cs="Arial"/>
          <w:sz w:val="24"/>
          <w:szCs w:val="24"/>
          <w:lang w:val="en-US"/>
        </w:rPr>
      </w:pPr>
      <w:r w:rsidRPr="00495AEE">
        <w:rPr>
          <w:rFonts w:cs="Arial"/>
          <w:sz w:val="24"/>
          <w:szCs w:val="24"/>
          <w:lang w:val="en-US"/>
        </w:rPr>
        <w:t>While data coverage extends from January 2023 onward, the early months of 2023 exhibit sporadic missing observations due to limited trading activity during the market’s initial adoption phase. To address these gaps, we apply a time-based interpolation method to estimate the missing values.</w:t>
      </w:r>
      <w:r>
        <w:rPr>
          <w:rStyle w:val="Refdenotaalpie"/>
          <w:rFonts w:cs="Arial"/>
          <w:sz w:val="24"/>
          <w:szCs w:val="24"/>
          <w:lang w:val="en-US"/>
        </w:rPr>
        <w:footnoteReference w:id="8"/>
      </w:r>
      <w:r w:rsidRPr="00495AEE">
        <w:rPr>
          <w:rFonts w:cs="Arial"/>
          <w:sz w:val="24"/>
          <w:szCs w:val="24"/>
          <w:lang w:val="en-US"/>
        </w:rPr>
        <w:t xml:space="preserve"> This approach is appropriate for high-frequency time series, particularly under the assumption of low volatility in the BOB/USDT rate during this period. Early 2023 market conditions were characterized by gradual adoption and low trading volumes, resulting in stable exchange rates with minimal daily fluctuations. Consequently, time-based interpolation offers a parsimonious and robust solution, filling data gaps without introducing artificial volatility or distorting subsequent calculations.</w:t>
      </w:r>
    </w:p>
    <w:p w14:paraId="211744A8" w14:textId="7E751720" w:rsidR="00310F09" w:rsidRPr="00310F09" w:rsidRDefault="00310F09" w:rsidP="00310F09">
      <w:pPr>
        <w:spacing w:before="120" w:after="120" w:line="360" w:lineRule="auto"/>
        <w:jc w:val="both"/>
        <w:rPr>
          <w:rFonts w:cs="Arial"/>
          <w:sz w:val="24"/>
          <w:szCs w:val="24"/>
          <w:lang w:val="en-US"/>
        </w:rPr>
      </w:pPr>
      <w:r w:rsidRPr="00310F09">
        <w:rPr>
          <w:rFonts w:cs="Arial"/>
          <w:sz w:val="24"/>
          <w:szCs w:val="24"/>
          <w:lang w:val="en-US"/>
        </w:rPr>
        <w:t xml:space="preserve">The daily year-on-year depreciation of the Boliviano relative to the USDT (variable </w:t>
      </w:r>
      <m:oMath>
        <m:r>
          <w:rPr>
            <w:rFonts w:ascii="Cambria Math" w:hAnsi="Cambria Math" w:cs="Arial"/>
            <w:sz w:val="24"/>
            <w:szCs w:val="24"/>
            <w:lang w:val="en-US"/>
          </w:rPr>
          <m:t>e</m:t>
        </m:r>
      </m:oMath>
      <w:r w:rsidRPr="00310F09">
        <w:rPr>
          <w:rFonts w:cs="Arial"/>
          <w:sz w:val="24"/>
          <w:szCs w:val="24"/>
          <w:lang w:val="en-US"/>
        </w:rPr>
        <w:t xml:space="preserve"> in section</w:t>
      </w:r>
      <w:r>
        <w:rPr>
          <w:rFonts w:cs="Arial"/>
          <w:sz w:val="24"/>
          <w:szCs w:val="24"/>
          <w:lang w:val="en-US"/>
        </w:rPr>
        <w:t xml:space="preserve"> 4.2) i</w:t>
      </w:r>
      <w:r w:rsidRPr="00310F09">
        <w:rPr>
          <w:rFonts w:cs="Arial"/>
          <w:sz w:val="24"/>
          <w:szCs w:val="24"/>
          <w:lang w:val="en-US"/>
        </w:rPr>
        <w:t xml:space="preserve">s computed as the difference between the BOB/USDT exchange rate at day </w:t>
      </w:r>
      <m:oMath>
        <m:r>
          <w:rPr>
            <w:rFonts w:ascii="Cambria Math" w:hAnsi="Cambria Math" w:cs="Arial"/>
            <w:sz w:val="24"/>
            <w:szCs w:val="24"/>
            <w:lang w:val="en-US"/>
          </w:rPr>
          <m:t>t</m:t>
        </m:r>
      </m:oMath>
      <w:r w:rsidRPr="00310F09">
        <w:rPr>
          <w:rFonts w:cs="Arial"/>
          <w:sz w:val="24"/>
          <w:szCs w:val="24"/>
          <w:lang w:val="en-US"/>
        </w:rPr>
        <w:t xml:space="preserve"> and its value at day </w:t>
      </w:r>
      <m:oMath>
        <m:r>
          <w:rPr>
            <w:rFonts w:ascii="Cambria Math" w:hAnsi="Cambria Math" w:cs="Arial"/>
            <w:sz w:val="24"/>
            <w:szCs w:val="24"/>
            <w:lang w:val="en-US"/>
          </w:rPr>
          <m:t>t-365</m:t>
        </m:r>
      </m:oMath>
      <w:r w:rsidRPr="00310F09">
        <w:rPr>
          <w:rFonts w:cs="Arial"/>
          <w:sz w:val="24"/>
          <w:szCs w:val="24"/>
          <w:lang w:val="en-US"/>
        </w:rPr>
        <w:t>. This metric captures persistent trends in the parallel exchange rate, aligning with our objective to assess long-term depreciation dynamics in response to uncertainty sentiment. To compute year-on-year changes for observations in 2023, exchange rate values for corresponding days in 2022 are required. Given that the BOB/USDT market did not exist prior to 2023, we rely on the monthly parallel market exchange rate BOB/USD reported by the Unidad de Análisis de Políticas Sociales y Económicas (UDAPE) as a proxy for the earlier period. The UDAPE series is interpolated to a daily frequency to fill intra-month gaps.</w:t>
      </w:r>
    </w:p>
    <w:p w14:paraId="56E60654" w14:textId="14B1A5BE" w:rsidR="00310F09" w:rsidRDefault="00310F09" w:rsidP="00310F09">
      <w:pPr>
        <w:spacing w:before="120" w:after="120" w:line="360" w:lineRule="auto"/>
        <w:jc w:val="both"/>
        <w:rPr>
          <w:rFonts w:cs="Arial"/>
          <w:sz w:val="24"/>
          <w:szCs w:val="24"/>
          <w:lang w:val="en-US"/>
        </w:rPr>
      </w:pPr>
      <w:r w:rsidRPr="00310F09">
        <w:rPr>
          <w:rFonts w:cs="Arial"/>
          <w:sz w:val="24"/>
          <w:szCs w:val="24"/>
          <w:lang w:val="en-US"/>
        </w:rPr>
        <w:t xml:space="preserve">We believe this approach is valid for two reasons. First, in 2022, the parallel market exchange rates for BOB/USD and the emerging BOB/USDT market were functionally equivalent, both operating outside formal monetary mechanisms and reflecting market-based valuations. Second, the relatively stable monthly variations in Bolivia’s parallel market during 2022 justify time-based interpolation, which preserves underlying exchange rate trends without introducing spurious high-frequency noise. This ensures methodological consistency and </w:t>
      </w:r>
      <w:r w:rsidRPr="00310F09">
        <w:rPr>
          <w:rFonts w:cs="Arial"/>
          <w:sz w:val="24"/>
          <w:szCs w:val="24"/>
          <w:lang w:val="en-US"/>
        </w:rPr>
        <w:lastRenderedPageBreak/>
        <w:t>enables accurate measurement of year-on-year depreciation, a central variable in the empirical assessment of cryptocurrency-based exchange rate dynamics within Bolivia’s evolving cryptocurrency landscape.</w:t>
      </w:r>
    </w:p>
    <w:p w14:paraId="27B3FF8A" w14:textId="77777777" w:rsidR="00310F09" w:rsidRPr="00310F09" w:rsidRDefault="00310F09" w:rsidP="00310F09">
      <w:pPr>
        <w:spacing w:before="120" w:after="120" w:line="360" w:lineRule="auto"/>
        <w:jc w:val="both"/>
        <w:rPr>
          <w:rFonts w:cs="Arial"/>
          <w:sz w:val="24"/>
          <w:szCs w:val="24"/>
          <w:lang w:val="en-US"/>
        </w:rPr>
      </w:pPr>
      <w:r w:rsidRPr="00310F09">
        <w:rPr>
          <w:rFonts w:cs="Arial"/>
          <w:b/>
          <w:bCs/>
          <w:sz w:val="24"/>
          <w:szCs w:val="24"/>
          <w:lang w:val="en-US"/>
        </w:rPr>
        <w:t>Economic Uncertainty Sentiment Index:</w:t>
      </w:r>
      <w:r w:rsidRPr="00310F09">
        <w:rPr>
          <w:rFonts w:cs="Arial"/>
          <w:sz w:val="24"/>
          <w:szCs w:val="24"/>
          <w:lang w:val="en-US"/>
        </w:rPr>
        <w:t xml:space="preserve">  Uncertainty, as defined by </w:t>
      </w:r>
      <w:r w:rsidRPr="00310F09">
        <w:rPr>
          <w:rFonts w:cs="Arial"/>
          <w:color w:val="0000CC"/>
          <w:sz w:val="24"/>
          <w:szCs w:val="24"/>
          <w:lang w:val="en-US"/>
        </w:rPr>
        <w:t xml:space="preserve">Bloom </w:t>
      </w:r>
      <w:r w:rsidRPr="00310F09">
        <w:rPr>
          <w:rFonts w:cs="Arial"/>
          <w:sz w:val="24"/>
          <w:szCs w:val="24"/>
          <w:lang w:val="en-US"/>
        </w:rPr>
        <w:t>(</w:t>
      </w:r>
      <w:r w:rsidRPr="00310F09">
        <w:rPr>
          <w:rFonts w:cs="Arial"/>
          <w:color w:val="0000CC"/>
          <w:sz w:val="24"/>
          <w:szCs w:val="24"/>
          <w:lang w:val="en-US"/>
        </w:rPr>
        <w:t>2014</w:t>
      </w:r>
      <w:r w:rsidRPr="00310F09">
        <w:rPr>
          <w:rFonts w:cs="Arial"/>
          <w:sz w:val="24"/>
          <w:szCs w:val="24"/>
          <w:lang w:val="en-US"/>
        </w:rPr>
        <w:t xml:space="preserve">), reflects the lack of clarity regarding future events and their potential economic conse- quences. This absence of foresight constrains decision-making for individuals and firms, affecting investments, hiring, and expansion, particularly during periods of macroeco- nomic instability. </w:t>
      </w:r>
      <w:r w:rsidRPr="00310F09">
        <w:rPr>
          <w:rFonts w:cs="Arial"/>
          <w:color w:val="0000CC"/>
          <w:sz w:val="24"/>
          <w:szCs w:val="24"/>
          <w:lang w:val="en-US"/>
        </w:rPr>
        <w:t xml:space="preserve">Baker et al. </w:t>
      </w:r>
      <w:r w:rsidRPr="00310F09">
        <w:rPr>
          <w:rFonts w:cs="Arial"/>
          <w:sz w:val="24"/>
          <w:szCs w:val="24"/>
          <w:lang w:val="en-US"/>
        </w:rPr>
        <w:t>(</w:t>
      </w:r>
      <w:r w:rsidRPr="00310F09">
        <w:rPr>
          <w:rFonts w:cs="Arial"/>
          <w:color w:val="0000CC"/>
          <w:sz w:val="24"/>
          <w:szCs w:val="24"/>
          <w:lang w:val="en-US"/>
        </w:rPr>
        <w:t>2016</w:t>
      </w:r>
      <w:r w:rsidRPr="00310F09">
        <w:rPr>
          <w:rFonts w:cs="Arial"/>
          <w:sz w:val="24"/>
          <w:szCs w:val="24"/>
          <w:lang w:val="en-US"/>
        </w:rPr>
        <w:t>) further emphasize the role of uncertainty surround- ing economic policy decisions, which can disrupt economic stability and influence behav- ioral responses. Thus, uncertainty is widely recognized as a key determinant of economic fluctuations, capable of amplifying or mitigating shocks depending on institutional and macroeconomic conditions.</w:t>
      </w:r>
    </w:p>
    <w:p w14:paraId="3F5F1F22" w14:textId="77777777" w:rsidR="00310F09" w:rsidRPr="00310F09" w:rsidRDefault="00310F09" w:rsidP="00310F09">
      <w:pPr>
        <w:spacing w:before="120" w:after="120" w:line="360" w:lineRule="auto"/>
        <w:jc w:val="both"/>
        <w:rPr>
          <w:rFonts w:cs="Arial"/>
          <w:sz w:val="24"/>
          <w:szCs w:val="24"/>
          <w:lang w:val="en-US"/>
        </w:rPr>
      </w:pPr>
      <w:r w:rsidRPr="00310F09">
        <w:rPr>
          <w:rFonts w:cs="Arial"/>
          <w:sz w:val="24"/>
          <w:szCs w:val="24"/>
          <w:lang w:val="en-US"/>
        </w:rPr>
        <w:t xml:space="preserve">While traditional proxies for uncertainty, such as stock market or GDP volatility, remain prevalent, </w:t>
      </w:r>
      <w:r w:rsidRPr="00310F09">
        <w:rPr>
          <w:rFonts w:cs="Arial"/>
          <w:color w:val="0000CC"/>
          <w:sz w:val="24"/>
          <w:szCs w:val="24"/>
          <w:lang w:val="en-US"/>
        </w:rPr>
        <w:t>Baker et al.</w:t>
      </w:r>
      <w:r w:rsidRPr="00310F09">
        <w:rPr>
          <w:rFonts w:cs="Arial"/>
          <w:sz w:val="24"/>
          <w:szCs w:val="24"/>
          <w:lang w:val="en-US"/>
        </w:rPr>
        <w:t xml:space="preserve"> (</w:t>
      </w:r>
      <w:r w:rsidRPr="00310F09">
        <w:rPr>
          <w:rFonts w:cs="Arial"/>
          <w:color w:val="0000CC"/>
          <w:sz w:val="24"/>
          <w:szCs w:val="24"/>
          <w:lang w:val="en-US"/>
        </w:rPr>
        <w:t>2016</w:t>
      </w:r>
      <w:r w:rsidRPr="00310F09">
        <w:rPr>
          <w:rFonts w:cs="Arial"/>
          <w:sz w:val="24"/>
          <w:szCs w:val="24"/>
          <w:lang w:val="en-US"/>
        </w:rPr>
        <w:t>) introduce a more direct approach, constructing an index based on the frequency of terms related to the economy, policy, and uncertainty in newspaper articles. This methodology captures shifts in perceived uncertainty by analyzing media content.</w:t>
      </w:r>
    </w:p>
    <w:p w14:paraId="7ABD1A6C" w14:textId="0AEE67E6" w:rsidR="00310F09" w:rsidRPr="00310F09" w:rsidRDefault="00310F09" w:rsidP="00310F09">
      <w:pPr>
        <w:spacing w:before="120" w:after="120" w:line="360" w:lineRule="auto"/>
        <w:jc w:val="both"/>
        <w:rPr>
          <w:rFonts w:cs="Arial"/>
          <w:sz w:val="24"/>
          <w:szCs w:val="24"/>
          <w:lang w:val="en-US"/>
        </w:rPr>
      </w:pPr>
      <w:r w:rsidRPr="00310F09">
        <w:rPr>
          <w:rFonts w:cs="Arial"/>
          <w:sz w:val="24"/>
          <w:szCs w:val="24"/>
          <w:lang w:val="en-US"/>
        </w:rPr>
        <w:t>Despite the global proliferation of uncertainty indicators, Bolivia lacks a dedicated time series to measure economic uncertainty. To address this gap, we construct a daily-frequency Economic Uncertainty Sentiment Index for Bolivia, adapting the methodology of Baker et al. (2016) to the national context. The index measures the frequency of key terms across three thematic categories—Politics, Economy, and Uncertainty—in economic news articles from three Bolivian online outlets: El Deber, ERBOL Noticias, and Bru´jula Digital. The selection of keywords (see Appendix B) follows established economic policy uncertainty literature and adheres to standard content auditing guidelines.</w:t>
      </w:r>
      <w:r>
        <w:rPr>
          <w:rStyle w:val="Refdenotaalpie"/>
          <w:rFonts w:cs="Arial"/>
          <w:sz w:val="24"/>
          <w:szCs w:val="24"/>
          <w:lang w:val="en-US"/>
        </w:rPr>
        <w:footnoteReference w:id="9"/>
      </w:r>
    </w:p>
    <w:p w14:paraId="43ABA6AF" w14:textId="77777777" w:rsidR="00310F09" w:rsidRPr="00310F09" w:rsidRDefault="00310F09" w:rsidP="00310F09">
      <w:pPr>
        <w:spacing w:before="120" w:after="120" w:line="360" w:lineRule="auto"/>
        <w:jc w:val="both"/>
        <w:rPr>
          <w:rFonts w:cs="Arial"/>
          <w:sz w:val="24"/>
          <w:szCs w:val="24"/>
          <w:lang w:val="en-US"/>
        </w:rPr>
      </w:pPr>
      <w:r w:rsidRPr="00310F09">
        <w:rPr>
          <w:rFonts w:cs="Arial"/>
          <w:sz w:val="24"/>
          <w:szCs w:val="24"/>
          <w:lang w:val="en-US"/>
        </w:rPr>
        <w:t xml:space="preserve">Data were collected via automated web scraping, providing systematic access to article headlines, content, and publication dates. The final dataset comprises 12,480 articles with daily coverage, ensuring comprehensive representation of Bolivia’s economic news land- </w:t>
      </w:r>
      <w:r w:rsidRPr="00310F09">
        <w:rPr>
          <w:rFonts w:cs="Arial"/>
          <w:sz w:val="24"/>
          <w:szCs w:val="24"/>
          <w:lang w:val="en-US"/>
        </w:rPr>
        <w:lastRenderedPageBreak/>
        <w:t>scape. Data extraction incorporated duplicate filtering and complied with each outlet’s usage policies, ensuring methodological rigor and reproducibility.</w:t>
      </w:r>
    </w:p>
    <w:p w14:paraId="7B5031EF" w14:textId="319438A3" w:rsidR="00310F09" w:rsidRDefault="00310F09" w:rsidP="00310F09">
      <w:pPr>
        <w:spacing w:before="120" w:after="120" w:line="360" w:lineRule="auto"/>
        <w:jc w:val="both"/>
        <w:rPr>
          <w:rFonts w:cs="Arial"/>
          <w:sz w:val="24"/>
          <w:szCs w:val="24"/>
          <w:lang w:val="en-US"/>
        </w:rPr>
      </w:pPr>
      <w:r w:rsidRPr="00310F09">
        <w:rPr>
          <w:rFonts w:cs="Arial"/>
          <w:sz w:val="24"/>
          <w:szCs w:val="24"/>
          <w:lang w:val="en-US"/>
        </w:rPr>
        <w:t>For each article i, the frequency of keywords in each category is computed. Letting P,</w:t>
      </w:r>
      <w:r>
        <w:rPr>
          <w:rFonts w:cs="Arial"/>
          <w:sz w:val="24"/>
          <w:szCs w:val="24"/>
          <w:lang w:val="en-US"/>
        </w:rPr>
        <w:t xml:space="preserve"> </w:t>
      </w:r>
      <w:r w:rsidRPr="00310F09">
        <w:rPr>
          <w:rFonts w:cs="Arial"/>
          <w:sz w:val="24"/>
          <w:szCs w:val="24"/>
          <w:lang w:val="en-US"/>
        </w:rPr>
        <w:t>E, and U denote the sets of keywords for politics, economy, and uncertainty, respectively:</w:t>
      </w:r>
    </w:p>
    <w:p w14:paraId="1F40F746" w14:textId="509F0CD2" w:rsidR="00310F09" w:rsidRPr="00310F09" w:rsidRDefault="00000000" w:rsidP="00310F09">
      <w:pPr>
        <w:spacing w:before="120" w:after="120" w:line="360" w:lineRule="auto"/>
        <w:jc w:val="both"/>
        <w:rPr>
          <w:rFonts w:eastAsiaTheme="minorEastAsia" w:cs="Arial"/>
          <w:sz w:val="24"/>
          <w:szCs w:val="24"/>
          <w:lang w:val="en-US"/>
        </w:rPr>
      </w:pPr>
      <m:oMathPara>
        <m:oMath>
          <m:sSub>
            <m:sSubPr>
              <m:ctrlPr>
                <w:rPr>
                  <w:rFonts w:ascii="Cambria Math" w:hAnsi="Cambria Math" w:cs="Arial"/>
                  <w:i/>
                  <w:sz w:val="24"/>
                  <w:szCs w:val="24"/>
                  <w:lang w:val="en-US"/>
                </w:rPr>
              </m:ctrlPr>
            </m:sSubPr>
            <m:e>
              <m:r>
                <w:rPr>
                  <w:rFonts w:ascii="Cambria Math" w:hAnsi="Cambria Math" w:cs="Arial"/>
                  <w:sz w:val="24"/>
                  <w:szCs w:val="24"/>
                  <w:lang w:val="en-US"/>
                </w:rPr>
                <m:t>f</m:t>
              </m:r>
            </m:e>
            <m:sub>
              <m:r>
                <w:rPr>
                  <w:rFonts w:ascii="Cambria Math" w:hAnsi="Cambria Math" w:cs="Arial"/>
                  <w:sz w:val="24"/>
                  <w:szCs w:val="24"/>
                  <w:lang w:val="en-US"/>
                </w:rPr>
                <m:t>P</m:t>
              </m:r>
            </m:sub>
          </m:sSub>
          <m:d>
            <m:dPr>
              <m:ctrlPr>
                <w:rPr>
                  <w:rFonts w:ascii="Cambria Math" w:hAnsi="Cambria Math" w:cs="Arial"/>
                  <w:i/>
                  <w:sz w:val="24"/>
                  <w:szCs w:val="24"/>
                  <w:lang w:val="en-US"/>
                </w:rPr>
              </m:ctrlPr>
            </m:dPr>
            <m:e>
              <m:r>
                <w:rPr>
                  <w:rFonts w:ascii="Cambria Math" w:hAnsi="Cambria Math" w:cs="Arial"/>
                  <w:sz w:val="24"/>
                  <w:szCs w:val="24"/>
                  <w:lang w:val="en-US"/>
                </w:rPr>
                <m:t>i</m:t>
              </m:r>
            </m:e>
          </m:d>
          <m:r>
            <w:rPr>
              <w:rFonts w:ascii="Cambria Math" w:hAnsi="Cambria Math" w:cs="Arial"/>
              <w:sz w:val="24"/>
              <w:szCs w:val="24"/>
              <w:lang w:val="en-US"/>
            </w:rPr>
            <m:t>=</m:t>
          </m:r>
          <m:nary>
            <m:naryPr>
              <m:chr m:val="∑"/>
              <m:supHide m:val="1"/>
              <m:ctrlPr>
                <w:rPr>
                  <w:rFonts w:ascii="Cambria Math" w:hAnsi="Cambria Math" w:cs="Arial"/>
                  <w:sz w:val="24"/>
                  <w:szCs w:val="24"/>
                  <w:lang w:val="en-US"/>
                </w:rPr>
              </m:ctrlPr>
            </m:naryPr>
            <m:sub>
              <m:r>
                <w:rPr>
                  <w:rFonts w:ascii="Cambria Math" w:hAnsi="Cambria Math" w:cs="Arial"/>
                  <w:sz w:val="24"/>
                  <w:szCs w:val="24"/>
                  <w:lang w:val="en-US"/>
                </w:rPr>
                <m:t>w</m:t>
              </m:r>
              <m:r>
                <m:rPr>
                  <m:sty m:val="p"/>
                </m:rPr>
                <w:rPr>
                  <w:rFonts w:ascii="Cambria Math" w:hAnsi="Cambria Math" w:cs="Arial"/>
                  <w:sz w:val="24"/>
                  <w:szCs w:val="24"/>
                  <w:lang w:val="en-US"/>
                </w:rPr>
                <m:t>∈</m:t>
              </m:r>
              <m:r>
                <w:rPr>
                  <w:rFonts w:ascii="Cambria Math" w:hAnsi="Cambria Math" w:cs="Arial"/>
                  <w:sz w:val="24"/>
                  <w:szCs w:val="24"/>
                  <w:lang w:val="en-US"/>
                </w:rPr>
                <m:t>P</m:t>
              </m:r>
              <m:ctrlPr>
                <w:rPr>
                  <w:rFonts w:ascii="Cambria Math" w:hAnsi="Cambria Math" w:cs="Arial"/>
                  <w:i/>
                  <w:sz w:val="24"/>
                  <w:szCs w:val="24"/>
                  <w:lang w:val="en-US"/>
                </w:rPr>
              </m:ctrlPr>
            </m:sub>
            <m:sup>
              <m:ctrlPr>
                <w:rPr>
                  <w:rFonts w:ascii="Cambria Math" w:hAnsi="Cambria Math" w:cs="Arial"/>
                  <w:i/>
                  <w:sz w:val="24"/>
                  <w:szCs w:val="24"/>
                  <w:lang w:val="en-US"/>
                </w:rPr>
              </m:ctrlPr>
            </m:sup>
            <m:e>
              <m:r>
                <m:rPr>
                  <m:lit/>
                </m:rPr>
                <w:rPr>
                  <w:rFonts w:ascii="Cambria Math" w:hAnsi="Cambria Math" w:cs="Arial"/>
                  <w:sz w:val="24"/>
                  <w:szCs w:val="24"/>
                  <w:lang w:val="en-US"/>
                </w:rPr>
                <m:t>#</m:t>
              </m:r>
              <m:r>
                <m:rPr>
                  <m:nor/>
                </m:rPr>
                <w:rPr>
                  <w:rFonts w:ascii="Cambria Math" w:hAnsi="Cambria Math" w:cs="Arial"/>
                  <w:sz w:val="24"/>
                  <w:szCs w:val="24"/>
                  <w:lang w:val="en-US"/>
                </w:rPr>
                <m:t xml:space="preserve">occurrences of </m:t>
              </m:r>
              <m:r>
                <w:rPr>
                  <w:rFonts w:ascii="Cambria Math" w:hAnsi="Cambria Math" w:cs="Arial"/>
                  <w:sz w:val="24"/>
                  <w:szCs w:val="24"/>
                  <w:lang w:val="en-US"/>
                </w:rPr>
                <m:t>w</m:t>
              </m:r>
              <m:ctrlPr>
                <w:rPr>
                  <w:rFonts w:ascii="Cambria Math" w:hAnsi="Cambria Math" w:cs="Arial"/>
                  <w:i/>
                  <w:sz w:val="24"/>
                  <w:szCs w:val="24"/>
                  <w:lang w:val="en-US"/>
                </w:rPr>
              </m:ctrlPr>
            </m:e>
          </m:nary>
          <m:r>
            <m:rPr>
              <m:nor/>
            </m:rPr>
            <w:rPr>
              <w:rFonts w:ascii="Cambria Math" w:hAnsi="Cambria Math" w:cs="Arial"/>
              <w:sz w:val="24"/>
              <w:szCs w:val="24"/>
              <w:lang w:val="en-US"/>
            </w:rPr>
            <m:t xml:space="preserve"> in </m:t>
          </m:r>
          <m:r>
            <w:rPr>
              <w:rFonts w:ascii="Cambria Math" w:hAnsi="Cambria Math" w:cs="Arial"/>
              <w:sz w:val="24"/>
              <w:szCs w:val="24"/>
              <w:lang w:val="en-US"/>
            </w:rPr>
            <m:t>i,</m:t>
          </m:r>
        </m:oMath>
      </m:oMathPara>
    </w:p>
    <w:p w14:paraId="792B7031" w14:textId="2A6BFFC7" w:rsidR="00310F09" w:rsidRPr="00310F09" w:rsidRDefault="00000000" w:rsidP="00310F09">
      <w:pPr>
        <w:spacing w:before="120" w:after="120" w:line="360" w:lineRule="auto"/>
        <w:jc w:val="both"/>
        <w:rPr>
          <w:rFonts w:eastAsiaTheme="minorEastAsia" w:cs="Arial"/>
          <w:sz w:val="24"/>
          <w:szCs w:val="24"/>
          <w:lang w:val="en-US"/>
        </w:rPr>
      </w:pPr>
      <m:oMathPara>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f</m:t>
              </m:r>
            </m:e>
            <m:sub>
              <m:r>
                <w:rPr>
                  <w:rFonts w:ascii="Cambria Math" w:eastAsiaTheme="minorEastAsia" w:hAnsi="Cambria Math" w:cs="Arial"/>
                  <w:sz w:val="24"/>
                  <w:szCs w:val="24"/>
                  <w:lang w:val="en-US"/>
                </w:rPr>
                <m:t>E</m:t>
              </m:r>
            </m:sub>
          </m:sSub>
          <m:d>
            <m:dPr>
              <m:ctrlPr>
                <w:rPr>
                  <w:rFonts w:ascii="Cambria Math" w:eastAsiaTheme="minorEastAsia" w:hAnsi="Cambria Math" w:cs="Arial"/>
                  <w:i/>
                  <w:sz w:val="24"/>
                  <w:szCs w:val="24"/>
                  <w:lang w:val="en-US"/>
                </w:rPr>
              </m:ctrlPr>
            </m:dPr>
            <m:e>
              <m:r>
                <w:rPr>
                  <w:rFonts w:ascii="Cambria Math" w:eastAsiaTheme="minorEastAsia" w:hAnsi="Cambria Math" w:cs="Arial"/>
                  <w:sz w:val="24"/>
                  <w:szCs w:val="24"/>
                  <w:lang w:val="en-US"/>
                </w:rPr>
                <m:t>i</m:t>
              </m:r>
            </m:e>
          </m:d>
          <m:r>
            <w:rPr>
              <w:rFonts w:ascii="Cambria Math" w:eastAsiaTheme="minorEastAsia" w:hAnsi="Cambria Math" w:cs="Arial"/>
              <w:sz w:val="24"/>
              <w:szCs w:val="24"/>
              <w:lang w:val="en-US"/>
            </w:rPr>
            <m:t>=</m:t>
          </m:r>
          <m:nary>
            <m:naryPr>
              <m:chr m:val="∑"/>
              <m:supHide m:val="1"/>
              <m:ctrlPr>
                <w:rPr>
                  <w:rFonts w:ascii="Cambria Math" w:eastAsiaTheme="minorEastAsia" w:hAnsi="Cambria Math" w:cs="Arial"/>
                  <w:sz w:val="24"/>
                  <w:szCs w:val="24"/>
                  <w:lang w:val="en-US"/>
                </w:rPr>
              </m:ctrlPr>
            </m:naryPr>
            <m:sub>
              <m:r>
                <w:rPr>
                  <w:rFonts w:ascii="Cambria Math" w:eastAsiaTheme="minorEastAsia" w:hAnsi="Cambria Math" w:cs="Arial"/>
                  <w:sz w:val="24"/>
                  <w:szCs w:val="24"/>
                  <w:lang w:val="en-US"/>
                </w:rPr>
                <m:t>w</m:t>
              </m:r>
              <m:r>
                <m:rPr>
                  <m:sty m:val="p"/>
                </m:rPr>
                <w:rPr>
                  <w:rFonts w:ascii="Cambria Math" w:eastAsiaTheme="minorEastAsia" w:hAnsi="Cambria Math" w:cs="Arial"/>
                  <w:sz w:val="24"/>
                  <w:szCs w:val="24"/>
                  <w:lang w:val="en-US"/>
                </w:rPr>
                <m:t>∈</m:t>
              </m:r>
              <m:r>
                <w:rPr>
                  <w:rFonts w:ascii="Cambria Math" w:eastAsiaTheme="minorEastAsia" w:hAnsi="Cambria Math" w:cs="Arial"/>
                  <w:sz w:val="24"/>
                  <w:szCs w:val="24"/>
                  <w:lang w:val="en-US"/>
                </w:rPr>
                <m:t>E</m:t>
              </m:r>
              <m:ctrlPr>
                <w:rPr>
                  <w:rFonts w:ascii="Cambria Math" w:eastAsiaTheme="minorEastAsia" w:hAnsi="Cambria Math" w:cs="Arial"/>
                  <w:i/>
                  <w:sz w:val="24"/>
                  <w:szCs w:val="24"/>
                  <w:lang w:val="en-US"/>
                </w:rPr>
              </m:ctrlPr>
            </m:sub>
            <m:sup>
              <m:ctrlPr>
                <w:rPr>
                  <w:rFonts w:ascii="Cambria Math" w:eastAsiaTheme="minorEastAsia" w:hAnsi="Cambria Math" w:cs="Arial"/>
                  <w:i/>
                  <w:sz w:val="24"/>
                  <w:szCs w:val="24"/>
                  <w:lang w:val="en-US"/>
                </w:rPr>
              </m:ctrlPr>
            </m:sup>
            <m:e>
              <m:r>
                <m:rPr>
                  <m:lit/>
                </m:rPr>
                <w:rPr>
                  <w:rFonts w:ascii="Cambria Math" w:eastAsiaTheme="minorEastAsia" w:hAnsi="Cambria Math" w:cs="Arial"/>
                  <w:sz w:val="24"/>
                  <w:szCs w:val="24"/>
                  <w:lang w:val="en-US"/>
                </w:rPr>
                <m:t>#</m:t>
              </m:r>
              <m:r>
                <m:rPr>
                  <m:nor/>
                </m:rPr>
                <w:rPr>
                  <w:rFonts w:ascii="Cambria Math" w:eastAsiaTheme="minorEastAsia" w:hAnsi="Cambria Math" w:cs="Arial"/>
                  <w:sz w:val="24"/>
                  <w:szCs w:val="24"/>
                  <w:lang w:val="en-US"/>
                </w:rPr>
                <m:t xml:space="preserve">occurrences of </m:t>
              </m:r>
              <m:r>
                <w:rPr>
                  <w:rFonts w:ascii="Cambria Math" w:eastAsiaTheme="minorEastAsia" w:hAnsi="Cambria Math" w:cs="Arial"/>
                  <w:sz w:val="24"/>
                  <w:szCs w:val="24"/>
                  <w:lang w:val="en-US"/>
                </w:rPr>
                <m:t>w</m:t>
              </m:r>
              <m:ctrlPr>
                <w:rPr>
                  <w:rFonts w:ascii="Cambria Math" w:eastAsiaTheme="minorEastAsia" w:hAnsi="Cambria Math" w:cs="Arial"/>
                  <w:i/>
                  <w:sz w:val="24"/>
                  <w:szCs w:val="24"/>
                  <w:lang w:val="en-US"/>
                </w:rPr>
              </m:ctrlPr>
            </m:e>
          </m:nary>
          <m:r>
            <m:rPr>
              <m:nor/>
            </m:rPr>
            <w:rPr>
              <w:rFonts w:ascii="Cambria Math" w:eastAsiaTheme="minorEastAsia" w:hAnsi="Cambria Math" w:cs="Arial"/>
              <w:sz w:val="24"/>
              <w:szCs w:val="24"/>
              <w:lang w:val="en-US"/>
            </w:rPr>
            <m:t xml:space="preserve"> in </m:t>
          </m:r>
          <m:r>
            <w:rPr>
              <w:rFonts w:ascii="Cambria Math" w:eastAsiaTheme="minorEastAsia" w:hAnsi="Cambria Math" w:cs="Arial"/>
              <w:sz w:val="24"/>
              <w:szCs w:val="24"/>
              <w:lang w:val="en-US"/>
            </w:rPr>
            <m:t>i,</m:t>
          </m:r>
        </m:oMath>
      </m:oMathPara>
    </w:p>
    <w:p w14:paraId="7ED57CD9" w14:textId="5FA1DB42" w:rsidR="00310F09" w:rsidRPr="00310F09" w:rsidRDefault="00000000" w:rsidP="00310F09">
      <w:pPr>
        <w:spacing w:before="120" w:after="120" w:line="360" w:lineRule="auto"/>
        <w:jc w:val="both"/>
        <w:rPr>
          <w:rFonts w:eastAsiaTheme="minorEastAsia" w:cs="Arial"/>
          <w:sz w:val="24"/>
          <w:szCs w:val="24"/>
          <w:lang w:val="en-US"/>
        </w:rPr>
      </w:pPr>
      <m:oMathPara>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f</m:t>
              </m:r>
            </m:e>
            <m:sub>
              <m:r>
                <w:rPr>
                  <w:rFonts w:ascii="Cambria Math" w:eastAsiaTheme="minorEastAsia" w:hAnsi="Cambria Math" w:cs="Arial"/>
                  <w:sz w:val="24"/>
                  <w:szCs w:val="24"/>
                  <w:lang w:val="en-US"/>
                </w:rPr>
                <m:t>U</m:t>
              </m:r>
            </m:sub>
          </m:sSub>
          <m:d>
            <m:dPr>
              <m:ctrlPr>
                <w:rPr>
                  <w:rFonts w:ascii="Cambria Math" w:eastAsiaTheme="minorEastAsia" w:hAnsi="Cambria Math" w:cs="Arial"/>
                  <w:i/>
                  <w:sz w:val="24"/>
                  <w:szCs w:val="24"/>
                  <w:lang w:val="en-US"/>
                </w:rPr>
              </m:ctrlPr>
            </m:dPr>
            <m:e>
              <m:r>
                <w:rPr>
                  <w:rFonts w:ascii="Cambria Math" w:eastAsiaTheme="minorEastAsia" w:hAnsi="Cambria Math" w:cs="Arial"/>
                  <w:sz w:val="24"/>
                  <w:szCs w:val="24"/>
                  <w:lang w:val="en-US"/>
                </w:rPr>
                <m:t>i</m:t>
              </m:r>
            </m:e>
          </m:d>
          <m:r>
            <w:rPr>
              <w:rFonts w:ascii="Cambria Math" w:eastAsiaTheme="minorEastAsia" w:hAnsi="Cambria Math" w:cs="Arial"/>
              <w:sz w:val="24"/>
              <w:szCs w:val="24"/>
              <w:lang w:val="en-US"/>
            </w:rPr>
            <m:t>=</m:t>
          </m:r>
          <m:nary>
            <m:naryPr>
              <m:chr m:val="∑"/>
              <m:supHide m:val="1"/>
              <m:ctrlPr>
                <w:rPr>
                  <w:rFonts w:ascii="Cambria Math" w:eastAsiaTheme="minorEastAsia" w:hAnsi="Cambria Math" w:cs="Arial"/>
                  <w:sz w:val="24"/>
                  <w:szCs w:val="24"/>
                  <w:lang w:val="en-US"/>
                </w:rPr>
              </m:ctrlPr>
            </m:naryPr>
            <m:sub>
              <m:r>
                <w:rPr>
                  <w:rFonts w:ascii="Cambria Math" w:eastAsiaTheme="minorEastAsia" w:hAnsi="Cambria Math" w:cs="Arial"/>
                  <w:sz w:val="24"/>
                  <w:szCs w:val="24"/>
                  <w:lang w:val="en-US"/>
                </w:rPr>
                <m:t>w</m:t>
              </m:r>
              <m:r>
                <m:rPr>
                  <m:sty m:val="p"/>
                </m:rPr>
                <w:rPr>
                  <w:rFonts w:ascii="Cambria Math" w:eastAsiaTheme="minorEastAsia" w:hAnsi="Cambria Math" w:cs="Arial"/>
                  <w:sz w:val="24"/>
                  <w:szCs w:val="24"/>
                  <w:lang w:val="en-US"/>
                </w:rPr>
                <m:t>∈</m:t>
              </m:r>
              <m:r>
                <w:rPr>
                  <w:rFonts w:ascii="Cambria Math" w:eastAsiaTheme="minorEastAsia" w:hAnsi="Cambria Math" w:cs="Arial"/>
                  <w:sz w:val="24"/>
                  <w:szCs w:val="24"/>
                  <w:lang w:val="en-US"/>
                </w:rPr>
                <m:t>U</m:t>
              </m:r>
              <m:ctrlPr>
                <w:rPr>
                  <w:rFonts w:ascii="Cambria Math" w:eastAsiaTheme="minorEastAsia" w:hAnsi="Cambria Math" w:cs="Arial"/>
                  <w:i/>
                  <w:sz w:val="24"/>
                  <w:szCs w:val="24"/>
                  <w:lang w:val="en-US"/>
                </w:rPr>
              </m:ctrlPr>
            </m:sub>
            <m:sup>
              <m:ctrlPr>
                <w:rPr>
                  <w:rFonts w:ascii="Cambria Math" w:eastAsiaTheme="minorEastAsia" w:hAnsi="Cambria Math" w:cs="Arial"/>
                  <w:i/>
                  <w:sz w:val="24"/>
                  <w:szCs w:val="24"/>
                  <w:lang w:val="en-US"/>
                </w:rPr>
              </m:ctrlPr>
            </m:sup>
            <m:e>
              <m:r>
                <m:rPr>
                  <m:lit/>
                </m:rPr>
                <w:rPr>
                  <w:rFonts w:ascii="Cambria Math" w:eastAsiaTheme="minorEastAsia" w:hAnsi="Cambria Math" w:cs="Arial"/>
                  <w:sz w:val="24"/>
                  <w:szCs w:val="24"/>
                  <w:lang w:val="en-US"/>
                </w:rPr>
                <m:t>#</m:t>
              </m:r>
              <m:r>
                <m:rPr>
                  <m:nor/>
                </m:rPr>
                <w:rPr>
                  <w:rFonts w:ascii="Cambria Math" w:eastAsiaTheme="minorEastAsia" w:hAnsi="Cambria Math" w:cs="Arial"/>
                  <w:sz w:val="24"/>
                  <w:szCs w:val="24"/>
                  <w:lang w:val="en-US"/>
                </w:rPr>
                <m:t xml:space="preserve">occurrences of </m:t>
              </m:r>
              <m:r>
                <w:rPr>
                  <w:rFonts w:ascii="Cambria Math" w:eastAsiaTheme="minorEastAsia" w:hAnsi="Cambria Math" w:cs="Arial"/>
                  <w:sz w:val="24"/>
                  <w:szCs w:val="24"/>
                  <w:lang w:val="en-US"/>
                </w:rPr>
                <m:t>w</m:t>
              </m:r>
              <m:ctrlPr>
                <w:rPr>
                  <w:rFonts w:ascii="Cambria Math" w:eastAsiaTheme="minorEastAsia" w:hAnsi="Cambria Math" w:cs="Arial"/>
                  <w:i/>
                  <w:sz w:val="24"/>
                  <w:szCs w:val="24"/>
                  <w:lang w:val="en-US"/>
                </w:rPr>
              </m:ctrlPr>
            </m:e>
          </m:nary>
          <m:r>
            <m:rPr>
              <m:nor/>
            </m:rPr>
            <w:rPr>
              <w:rFonts w:ascii="Cambria Math" w:eastAsiaTheme="minorEastAsia" w:hAnsi="Cambria Math" w:cs="Arial"/>
              <w:sz w:val="24"/>
              <w:szCs w:val="24"/>
              <w:lang w:val="en-US"/>
            </w:rPr>
            <m:t xml:space="preserve"> in </m:t>
          </m:r>
          <m:r>
            <w:rPr>
              <w:rFonts w:ascii="Cambria Math" w:eastAsiaTheme="minorEastAsia" w:hAnsi="Cambria Math" w:cs="Arial"/>
              <w:sz w:val="24"/>
              <w:szCs w:val="24"/>
              <w:lang w:val="en-US"/>
            </w:rPr>
            <m:t>i.</m:t>
          </m:r>
        </m:oMath>
      </m:oMathPara>
    </w:p>
    <w:p w14:paraId="7D0E1196" w14:textId="02C74434" w:rsidR="00310F09" w:rsidRPr="00310F09" w:rsidRDefault="00310F09" w:rsidP="00310F09">
      <w:pPr>
        <w:spacing w:before="120" w:after="120" w:line="360" w:lineRule="auto"/>
        <w:jc w:val="both"/>
        <w:rPr>
          <w:rFonts w:eastAsiaTheme="minorEastAsia" w:cs="Arial"/>
          <w:sz w:val="24"/>
          <w:szCs w:val="24"/>
          <w:lang w:val="en-US"/>
        </w:rPr>
      </w:pPr>
      <w:r w:rsidRPr="00310F09">
        <w:rPr>
          <w:rFonts w:eastAsiaTheme="minorEastAsia" w:cs="Arial"/>
          <w:sz w:val="24"/>
          <w:szCs w:val="24"/>
          <w:lang w:val="en-US"/>
        </w:rPr>
        <w:t xml:space="preserve">The total frequency of key terms for article </w:t>
      </w:r>
      <m:oMath>
        <m:r>
          <w:rPr>
            <w:rFonts w:ascii="Cambria Math" w:eastAsiaTheme="minorEastAsia" w:hAnsi="Cambria Math" w:cs="Arial"/>
            <w:sz w:val="24"/>
            <w:szCs w:val="24"/>
            <w:lang w:val="en-US"/>
          </w:rPr>
          <m:t>i</m:t>
        </m:r>
      </m:oMath>
      <w:r w:rsidRPr="00310F09">
        <w:rPr>
          <w:rFonts w:eastAsiaTheme="minorEastAsia" w:cs="Arial"/>
          <w:sz w:val="24"/>
          <w:szCs w:val="24"/>
          <w:lang w:val="en-US"/>
        </w:rPr>
        <w:t xml:space="preserve"> is: f(i) = </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f</m:t>
            </m:r>
          </m:e>
          <m:sub>
            <m:r>
              <w:rPr>
                <w:rFonts w:ascii="Cambria Math" w:eastAsiaTheme="minorEastAsia" w:hAnsi="Cambria Math" w:cs="Arial"/>
                <w:sz w:val="24"/>
                <w:szCs w:val="24"/>
                <w:lang w:val="en-US"/>
              </w:rPr>
              <m:t>P</m:t>
            </m:r>
          </m:sub>
        </m:sSub>
        <m:d>
          <m:dPr>
            <m:ctrlPr>
              <w:rPr>
                <w:rFonts w:ascii="Cambria Math" w:eastAsiaTheme="minorEastAsia" w:hAnsi="Cambria Math" w:cs="Arial"/>
                <w:i/>
                <w:sz w:val="24"/>
                <w:szCs w:val="24"/>
                <w:lang w:val="en-US"/>
              </w:rPr>
            </m:ctrlPr>
          </m:dPr>
          <m:e>
            <m:r>
              <w:rPr>
                <w:rFonts w:ascii="Cambria Math" w:eastAsiaTheme="minorEastAsia" w:hAnsi="Cambria Math" w:cs="Arial"/>
                <w:sz w:val="24"/>
                <w:szCs w:val="24"/>
                <w:lang w:val="en-US"/>
              </w:rPr>
              <m:t>i</m:t>
            </m:r>
          </m:e>
        </m:d>
        <m:r>
          <w:rPr>
            <w:rFonts w:ascii="Cambria Math" w:eastAsiaTheme="minorEastAsia" w:hAnsi="Cambria Math" w:cs="Arial"/>
            <w:sz w:val="24"/>
            <w:szCs w:val="24"/>
            <w:lang w:val="en-US"/>
          </w:rPr>
          <m:t>+</m:t>
        </m:r>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f</m:t>
            </m:r>
          </m:e>
          <m:sub>
            <m:r>
              <w:rPr>
                <w:rFonts w:ascii="Cambria Math" w:eastAsiaTheme="minorEastAsia" w:hAnsi="Cambria Math" w:cs="Arial"/>
                <w:sz w:val="24"/>
                <w:szCs w:val="24"/>
                <w:lang w:val="en-US"/>
              </w:rPr>
              <m:t>E</m:t>
            </m:r>
          </m:sub>
        </m:sSub>
        <m:d>
          <m:dPr>
            <m:ctrlPr>
              <w:rPr>
                <w:rFonts w:ascii="Cambria Math" w:eastAsiaTheme="minorEastAsia" w:hAnsi="Cambria Math" w:cs="Arial"/>
                <w:i/>
                <w:sz w:val="24"/>
                <w:szCs w:val="24"/>
                <w:lang w:val="en-US"/>
              </w:rPr>
            </m:ctrlPr>
          </m:dPr>
          <m:e>
            <m:r>
              <w:rPr>
                <w:rFonts w:ascii="Cambria Math" w:eastAsiaTheme="minorEastAsia" w:hAnsi="Cambria Math" w:cs="Arial"/>
                <w:sz w:val="24"/>
                <w:szCs w:val="24"/>
                <w:lang w:val="en-US"/>
              </w:rPr>
              <m:t>i</m:t>
            </m:r>
          </m:e>
        </m:d>
        <m:r>
          <w:rPr>
            <w:rFonts w:ascii="Cambria Math" w:eastAsiaTheme="minorEastAsia" w:hAnsi="Cambria Math" w:cs="Arial"/>
            <w:sz w:val="24"/>
            <w:szCs w:val="24"/>
            <w:lang w:val="en-US"/>
          </w:rPr>
          <m:t>+</m:t>
        </m:r>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f</m:t>
            </m:r>
          </m:e>
          <m:sub>
            <m:r>
              <w:rPr>
                <w:rFonts w:ascii="Cambria Math" w:eastAsiaTheme="minorEastAsia" w:hAnsi="Cambria Math" w:cs="Arial"/>
                <w:sz w:val="24"/>
                <w:szCs w:val="24"/>
                <w:lang w:val="en-US"/>
              </w:rPr>
              <m:t>U</m:t>
            </m:r>
          </m:sub>
        </m:sSub>
        <m:d>
          <m:dPr>
            <m:ctrlPr>
              <w:rPr>
                <w:rFonts w:ascii="Cambria Math" w:eastAsiaTheme="minorEastAsia" w:hAnsi="Cambria Math" w:cs="Arial"/>
                <w:i/>
                <w:sz w:val="24"/>
                <w:szCs w:val="24"/>
                <w:lang w:val="en-US"/>
              </w:rPr>
            </m:ctrlPr>
          </m:dPr>
          <m:e>
            <m:r>
              <w:rPr>
                <w:rFonts w:ascii="Cambria Math" w:eastAsiaTheme="minorEastAsia" w:hAnsi="Cambria Math" w:cs="Arial"/>
                <w:sz w:val="24"/>
                <w:szCs w:val="24"/>
                <w:lang w:val="en-US"/>
              </w:rPr>
              <m:t>i</m:t>
            </m:r>
          </m:e>
        </m:d>
      </m:oMath>
      <w:r w:rsidRPr="00310F09">
        <w:rPr>
          <w:rFonts w:eastAsiaTheme="minorEastAsia" w:cs="Arial"/>
          <w:sz w:val="24"/>
          <w:szCs w:val="24"/>
          <w:lang w:val="en-US"/>
        </w:rPr>
        <w:t>.</w:t>
      </w:r>
    </w:p>
    <w:p w14:paraId="1D307CEF" w14:textId="78857699" w:rsidR="00310F09" w:rsidRDefault="00310F09" w:rsidP="00310F09">
      <w:pPr>
        <w:spacing w:before="120" w:after="120" w:line="360" w:lineRule="auto"/>
        <w:jc w:val="both"/>
        <w:rPr>
          <w:rFonts w:eastAsiaTheme="minorEastAsia" w:cs="Arial"/>
          <w:sz w:val="24"/>
          <w:szCs w:val="24"/>
          <w:lang w:val="en-US"/>
        </w:rPr>
      </w:pPr>
      <w:r w:rsidRPr="00310F09">
        <w:rPr>
          <w:rFonts w:eastAsiaTheme="minorEastAsia" w:cs="Arial"/>
          <w:sz w:val="24"/>
          <w:szCs w:val="24"/>
          <w:lang w:val="en-US"/>
        </w:rPr>
        <w:t xml:space="preserve">Articles are then aggregated by day. For each day </w:t>
      </w:r>
      <m:oMath>
        <m:r>
          <w:rPr>
            <w:rFonts w:ascii="Cambria Math" w:eastAsiaTheme="minorEastAsia" w:hAnsi="Cambria Math" w:cs="Arial"/>
            <w:sz w:val="24"/>
            <w:szCs w:val="24"/>
            <w:lang w:val="en-US"/>
          </w:rPr>
          <m:t>t</m:t>
        </m:r>
      </m:oMath>
      <w:r w:rsidRPr="00310F09">
        <w:rPr>
          <w:rFonts w:eastAsiaTheme="minorEastAsia" w:cs="Arial"/>
          <w:sz w:val="24"/>
          <w:szCs w:val="24"/>
          <w:lang w:val="en-US"/>
        </w:rPr>
        <w:t xml:space="preserve">, we compute the total number of articles published, </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N</m:t>
            </m:r>
          </m:e>
          <m:sub>
            <m:r>
              <w:rPr>
                <w:rFonts w:ascii="Cambria Math" w:eastAsiaTheme="minorEastAsia" w:hAnsi="Cambria Math" w:cs="Arial"/>
                <w:sz w:val="24"/>
                <w:szCs w:val="24"/>
                <w:lang w:val="en-US"/>
              </w:rPr>
              <m:t>t</m:t>
            </m:r>
          </m:sub>
        </m:sSub>
      </m:oMath>
      <w:r w:rsidRPr="00310F09">
        <w:rPr>
          <w:rFonts w:eastAsiaTheme="minorEastAsia" w:cs="Arial"/>
          <w:sz w:val="24"/>
          <w:szCs w:val="24"/>
          <w:lang w:val="en-US"/>
        </w:rPr>
        <w:t>, and the total sum of keyword mentions,</w:t>
      </w:r>
      <w:r w:rsidR="00483C48">
        <w:rPr>
          <w:rFonts w:eastAsiaTheme="minorEastAsia" w:cs="Arial"/>
          <w:sz w:val="24"/>
          <w:szCs w:val="24"/>
          <w:lang w:val="en-US"/>
        </w:rPr>
        <w:t xml:space="preserve"> </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F</m:t>
            </m:r>
          </m:e>
          <m:sub>
            <m:r>
              <w:rPr>
                <w:rFonts w:ascii="Cambria Math" w:eastAsiaTheme="minorEastAsia" w:hAnsi="Cambria Math" w:cs="Arial"/>
                <w:sz w:val="24"/>
                <w:szCs w:val="24"/>
                <w:lang w:val="en-US"/>
              </w:rPr>
              <m:t>t</m:t>
            </m:r>
          </m:sub>
        </m:sSub>
        <m:r>
          <w:rPr>
            <w:rFonts w:ascii="Cambria Math" w:eastAsiaTheme="minorEastAsia" w:hAnsi="Cambria Math" w:cs="Arial"/>
            <w:sz w:val="24"/>
            <w:szCs w:val="24"/>
            <w:lang w:val="en-US"/>
          </w:rPr>
          <m:t>=</m:t>
        </m:r>
        <m:nary>
          <m:naryPr>
            <m:chr m:val="∑"/>
            <m:supHide m:val="1"/>
            <m:ctrlPr>
              <w:rPr>
                <w:rFonts w:ascii="Cambria Math" w:eastAsiaTheme="minorEastAsia" w:hAnsi="Cambria Math" w:cs="Arial"/>
                <w:sz w:val="24"/>
                <w:szCs w:val="24"/>
                <w:lang w:val="en-US"/>
              </w:rPr>
            </m:ctrlPr>
          </m:naryPr>
          <m:sub>
            <m:r>
              <w:rPr>
                <w:rFonts w:ascii="Cambria Math" w:eastAsiaTheme="minorEastAsia" w:hAnsi="Cambria Math" w:cs="Arial"/>
                <w:sz w:val="24"/>
                <w:szCs w:val="24"/>
                <w:lang w:val="en-US"/>
              </w:rPr>
              <m:t>i</m:t>
            </m:r>
            <m:ctrlPr>
              <w:rPr>
                <w:rFonts w:ascii="Cambria Math" w:eastAsiaTheme="minorEastAsia" w:hAnsi="Cambria Math" w:cs="Arial"/>
                <w:i/>
                <w:sz w:val="24"/>
                <w:szCs w:val="24"/>
                <w:lang w:val="en-US"/>
              </w:rPr>
            </m:ctrlPr>
          </m:sub>
          <m:sup>
            <m:ctrlPr>
              <w:rPr>
                <w:rFonts w:ascii="Cambria Math" w:eastAsiaTheme="minorEastAsia" w:hAnsi="Cambria Math" w:cs="Arial"/>
                <w:i/>
                <w:sz w:val="24"/>
                <w:szCs w:val="24"/>
                <w:lang w:val="en-US"/>
              </w:rPr>
            </m:ctrlPr>
          </m:sup>
          <m:e>
            <m:r>
              <w:rPr>
                <w:rFonts w:ascii="Cambria Math" w:eastAsiaTheme="minorEastAsia" w:hAnsi="Cambria Math" w:cs="Arial"/>
                <w:sz w:val="24"/>
                <w:szCs w:val="24"/>
                <w:lang w:val="en-US"/>
              </w:rPr>
              <m:t>f</m:t>
            </m:r>
            <m:d>
              <m:dPr>
                <m:ctrlPr>
                  <w:rPr>
                    <w:rFonts w:ascii="Cambria Math" w:eastAsiaTheme="minorEastAsia" w:hAnsi="Cambria Math" w:cs="Arial"/>
                    <w:i/>
                    <w:sz w:val="24"/>
                    <w:szCs w:val="24"/>
                    <w:lang w:val="en-US"/>
                  </w:rPr>
                </m:ctrlPr>
              </m:dPr>
              <m:e>
                <m:r>
                  <w:rPr>
                    <w:rFonts w:ascii="Cambria Math" w:eastAsiaTheme="minorEastAsia" w:hAnsi="Cambria Math" w:cs="Arial"/>
                    <w:sz w:val="24"/>
                    <w:szCs w:val="24"/>
                    <w:lang w:val="en-US"/>
                  </w:rPr>
                  <m:t>i</m:t>
                </m:r>
              </m:e>
            </m:d>
            <m:ctrlPr>
              <w:rPr>
                <w:rFonts w:ascii="Cambria Math" w:eastAsiaTheme="minorEastAsia" w:hAnsi="Cambria Math" w:cs="Arial"/>
                <w:i/>
                <w:sz w:val="24"/>
                <w:szCs w:val="24"/>
                <w:lang w:val="en-US"/>
              </w:rPr>
            </m:ctrlPr>
          </m:e>
        </m:nary>
      </m:oMath>
      <w:r w:rsidRPr="00310F09">
        <w:rPr>
          <w:rFonts w:eastAsiaTheme="minorEastAsia" w:cs="Arial"/>
          <w:sz w:val="24"/>
          <w:szCs w:val="24"/>
          <w:lang w:val="en-US"/>
        </w:rPr>
        <w:t xml:space="preserve">. The preliminary daily economic uncertainty index is defined as: </w:t>
      </w:r>
      <m:oMath>
        <m:sSub>
          <m:sSubPr>
            <m:ctrlPr>
              <w:rPr>
                <w:rFonts w:ascii="Cambria Math" w:eastAsiaTheme="minorEastAsia" w:hAnsi="Cambria Math" w:cs="Arial"/>
                <w:i/>
                <w:sz w:val="24"/>
                <w:szCs w:val="24"/>
                <w:lang w:val="en-US"/>
              </w:rPr>
            </m:ctrlPr>
          </m:sSubPr>
          <m:e>
            <m:r>
              <m:rPr>
                <m:nor/>
              </m:rPr>
              <w:rPr>
                <w:rFonts w:ascii="Cambria Math" w:eastAsiaTheme="minorEastAsia" w:hAnsi="Cambria Math" w:cs="Arial"/>
                <w:sz w:val="24"/>
                <w:szCs w:val="24"/>
                <w:lang w:val="en-US"/>
              </w:rPr>
              <m:t>U</m:t>
            </m:r>
            <m:ctrlPr>
              <w:rPr>
                <w:rFonts w:ascii="Cambria Math" w:eastAsiaTheme="minorEastAsia" w:hAnsi="Cambria Math" w:cs="Arial"/>
                <w:sz w:val="24"/>
                <w:szCs w:val="24"/>
                <w:lang w:val="en-US"/>
              </w:rPr>
            </m:ctrlPr>
          </m:e>
          <m:sub>
            <m:r>
              <w:rPr>
                <w:rFonts w:ascii="Cambria Math" w:eastAsiaTheme="minorEastAsia" w:hAnsi="Cambria Math" w:cs="Arial"/>
                <w:sz w:val="24"/>
                <w:szCs w:val="24"/>
                <w:lang w:val="en-US"/>
              </w:rPr>
              <m:t>t</m:t>
            </m:r>
          </m:sub>
        </m:sSub>
        <m:r>
          <w:rPr>
            <w:rFonts w:ascii="Cambria Math" w:eastAsiaTheme="minorEastAsia" w:hAnsi="Cambria Math" w:cs="Arial"/>
            <w:sz w:val="24"/>
            <w:szCs w:val="24"/>
            <w:lang w:val="en-US"/>
          </w:rPr>
          <m:t>=</m:t>
        </m:r>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F</m:t>
            </m:r>
          </m:e>
          <m:sub>
            <m:r>
              <w:rPr>
                <w:rFonts w:ascii="Cambria Math" w:eastAsiaTheme="minorEastAsia" w:hAnsi="Cambria Math" w:cs="Arial"/>
                <w:sz w:val="24"/>
                <w:szCs w:val="24"/>
                <w:lang w:val="en-US"/>
              </w:rPr>
              <m:t>t</m:t>
            </m:r>
          </m:sub>
        </m:sSub>
        <m:r>
          <m:rPr>
            <m:lit/>
          </m:rPr>
          <w:rPr>
            <w:rFonts w:ascii="Cambria Math" w:eastAsiaTheme="minorEastAsia" w:hAnsi="Cambria Math" w:cs="Arial"/>
            <w:sz w:val="24"/>
            <w:szCs w:val="24"/>
            <w:lang w:val="en-US"/>
          </w:rPr>
          <m:t>/</m:t>
        </m:r>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N</m:t>
            </m:r>
          </m:e>
          <m:sub>
            <m:r>
              <w:rPr>
                <w:rFonts w:ascii="Cambria Math" w:eastAsiaTheme="minorEastAsia" w:hAnsi="Cambria Math" w:cs="Arial"/>
                <w:sz w:val="24"/>
                <w:szCs w:val="24"/>
                <w:lang w:val="en-US"/>
              </w:rPr>
              <m:t>t</m:t>
            </m:r>
          </m:sub>
        </m:sSub>
      </m:oMath>
      <w:r w:rsidR="00483C48">
        <w:rPr>
          <w:rFonts w:eastAsiaTheme="minorEastAsia" w:cs="Arial"/>
          <w:sz w:val="24"/>
          <w:szCs w:val="24"/>
          <w:lang w:val="en-US"/>
        </w:rPr>
        <w:t>.</w:t>
      </w:r>
    </w:p>
    <w:p w14:paraId="7E733997" w14:textId="0A8524E6" w:rsidR="00483C48" w:rsidRDefault="00483C48" w:rsidP="00310F09">
      <w:pPr>
        <w:spacing w:before="120" w:after="120" w:line="360" w:lineRule="auto"/>
        <w:jc w:val="both"/>
        <w:rPr>
          <w:rFonts w:eastAsiaTheme="minorEastAsia" w:cs="Arial"/>
          <w:sz w:val="24"/>
          <w:szCs w:val="24"/>
          <w:lang w:val="en-US"/>
        </w:rPr>
      </w:pPr>
      <w:r w:rsidRPr="00483C48">
        <w:rPr>
          <w:rFonts w:eastAsiaTheme="minorEastAsia" w:cs="Arial"/>
          <w:sz w:val="24"/>
          <w:szCs w:val="24"/>
          <w:lang w:val="en-US"/>
        </w:rPr>
        <w:t xml:space="preserve">Given the inherent volatility of sentiment measures, the preliminary index $\text{U}_t$ is smoothed using a 30-day moving average to capture medium-term trends while filtering out noise. The resulting series is then standardized to express uncertainty in units of standard deviations, ensuring temporal comparability. The final </w:t>
      </w:r>
      <w:r w:rsidRPr="00483C48">
        <w:rPr>
          <w:rFonts w:eastAsiaTheme="minorEastAsia" w:cs="Arial"/>
          <w:i/>
          <w:iCs/>
          <w:sz w:val="24"/>
          <w:szCs w:val="24"/>
          <w:lang w:val="en-US"/>
        </w:rPr>
        <w:t>Economic Uncertainty Sentiment Index</w:t>
      </w:r>
      <w:r w:rsidRPr="00483C48">
        <w:rPr>
          <w:rFonts w:eastAsiaTheme="minorEastAsia" w:cs="Arial"/>
          <w:sz w:val="24"/>
          <w:szCs w:val="24"/>
          <w:lang w:val="en-US"/>
        </w:rPr>
        <w:t xml:space="preserve"> (</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s</m:t>
            </m:r>
          </m:e>
          <m:sub>
            <m:r>
              <w:rPr>
                <w:rFonts w:ascii="Cambria Math" w:eastAsiaTheme="minorEastAsia" w:hAnsi="Cambria Math" w:cs="Arial"/>
                <w:sz w:val="24"/>
                <w:szCs w:val="24"/>
                <w:lang w:val="en-US"/>
              </w:rPr>
              <m:t>t</m:t>
            </m:r>
          </m:sub>
        </m:sSub>
      </m:oMath>
      <w:r w:rsidRPr="00483C48">
        <w:rPr>
          <w:rFonts w:eastAsiaTheme="minorEastAsia" w:cs="Arial"/>
          <w:sz w:val="24"/>
          <w:szCs w:val="24"/>
          <w:lang w:val="en-US"/>
        </w:rPr>
        <w:t>), used in the empirical analysis (Section</w:t>
      </w:r>
      <w:r>
        <w:rPr>
          <w:rFonts w:eastAsiaTheme="minorEastAsia" w:cs="Arial"/>
          <w:sz w:val="24"/>
          <w:szCs w:val="24"/>
          <w:lang w:val="en-US"/>
        </w:rPr>
        <w:t xml:space="preserve"> 4.2</w:t>
      </w:r>
      <w:r w:rsidRPr="00483C48">
        <w:rPr>
          <w:rFonts w:eastAsiaTheme="minorEastAsia" w:cs="Arial"/>
          <w:sz w:val="24"/>
          <w:szCs w:val="24"/>
          <w:lang w:val="en-US"/>
        </w:rPr>
        <w:t>), is defined as:</w:t>
      </w:r>
    </w:p>
    <w:p w14:paraId="66E099DE" w14:textId="51A6A2C6" w:rsidR="00483C48" w:rsidRPr="0018115D" w:rsidRDefault="00000000" w:rsidP="00310F09">
      <w:pPr>
        <w:spacing w:before="120" w:after="120" w:line="360" w:lineRule="auto"/>
        <w:jc w:val="both"/>
        <w:rPr>
          <w:rFonts w:eastAsiaTheme="minorEastAsia" w:cs="Arial"/>
          <w:sz w:val="24"/>
          <w:szCs w:val="24"/>
          <w:lang w:val="en-US"/>
        </w:rPr>
      </w:pPr>
      <m:oMathPara>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s</m:t>
              </m:r>
            </m:e>
            <m:sub>
              <m:r>
                <w:rPr>
                  <w:rFonts w:ascii="Cambria Math" w:eastAsiaTheme="minorEastAsia" w:hAnsi="Cambria Math" w:cs="Arial"/>
                  <w:sz w:val="24"/>
                  <w:szCs w:val="24"/>
                  <w:lang w:val="en-US"/>
                </w:rPr>
                <m:t>t</m:t>
              </m:r>
            </m:sub>
          </m:sSub>
          <m:r>
            <w:rPr>
              <w:rFonts w:ascii="Cambria Math" w:eastAsiaTheme="minorEastAsia" w:hAnsi="Cambria Math" w:cs="Arial"/>
              <w:sz w:val="24"/>
              <w:szCs w:val="24"/>
              <w:lang w:val="en-US"/>
            </w:rPr>
            <m:t>=</m:t>
          </m:r>
          <m:f>
            <m:fPr>
              <m:ctrlPr>
                <w:rPr>
                  <w:rFonts w:ascii="Cambria Math" w:eastAsiaTheme="minorEastAsia" w:hAnsi="Cambria Math" w:cs="Arial"/>
                  <w:sz w:val="24"/>
                  <w:szCs w:val="24"/>
                  <w:lang w:val="en-US"/>
                </w:rPr>
              </m:ctrlPr>
            </m:fPr>
            <m:num>
              <m:sSub>
                <m:sSubPr>
                  <m:ctrlPr>
                    <w:rPr>
                      <w:rFonts w:ascii="Cambria Math" w:eastAsiaTheme="minorEastAsia" w:hAnsi="Cambria Math" w:cs="Arial"/>
                      <w:i/>
                      <w:sz w:val="24"/>
                      <w:szCs w:val="24"/>
                    </w:rPr>
                  </m:ctrlPr>
                </m:sSubPr>
                <m:e>
                  <m:acc>
                    <m:accPr>
                      <m:chr m:val="̃"/>
                      <m:ctrlPr>
                        <w:rPr>
                          <w:rFonts w:ascii="Cambria Math" w:eastAsiaTheme="minorEastAsia" w:hAnsi="Cambria Math" w:cs="Arial"/>
                          <w:sz w:val="24"/>
                          <w:szCs w:val="24"/>
                          <w:lang w:val="en-US"/>
                        </w:rPr>
                      </m:ctrlPr>
                    </m:accPr>
                    <m:e>
                      <m:r>
                        <m:rPr>
                          <m:nor/>
                        </m:rPr>
                        <w:rPr>
                          <w:rFonts w:ascii="Cambria Math" w:eastAsiaTheme="minorEastAsia" w:hAnsi="Cambria Math" w:cs="Arial"/>
                          <w:sz w:val="24"/>
                          <w:szCs w:val="24"/>
                          <w:lang w:val="en-US"/>
                        </w:rPr>
                        <m:t>U</m:t>
                      </m:r>
                    </m:e>
                  </m:acc>
                </m:e>
                <m:sub>
                  <m:r>
                    <w:rPr>
                      <w:rFonts w:ascii="Cambria Math" w:eastAsiaTheme="minorEastAsia" w:hAnsi="Cambria Math" w:cs="Arial"/>
                      <w:sz w:val="24"/>
                      <w:szCs w:val="24"/>
                    </w:rPr>
                    <m:t>t</m:t>
                  </m:r>
                </m:sub>
              </m:sSub>
              <m:r>
                <w:rPr>
                  <w:rFonts w:ascii="Cambria Math" w:eastAsiaTheme="minorEastAsia" w:hAnsi="Cambria Math" w:cs="Arial"/>
                  <w:sz w:val="24"/>
                  <w:szCs w:val="24"/>
                  <w:lang w:val="en-US"/>
                </w:rPr>
                <m:t>-</m:t>
              </m:r>
              <m:sSub>
                <m:sSubPr>
                  <m:ctrlPr>
                    <w:rPr>
                      <w:rFonts w:ascii="Cambria Math" w:eastAsiaTheme="minorEastAsia" w:hAnsi="Cambria Math" w:cs="Arial"/>
                      <w:i/>
                      <w:sz w:val="24"/>
                      <w:szCs w:val="24"/>
                      <w:lang w:val="en-US"/>
                    </w:rPr>
                  </m:ctrlPr>
                </m:sSubPr>
                <m:e>
                  <m:r>
                    <m:rPr>
                      <m:sty m:val="p"/>
                    </m:rPr>
                    <w:rPr>
                      <w:rFonts w:ascii="Cambria Math" w:eastAsiaTheme="minorEastAsia" w:hAnsi="Cambria Math" w:cs="Arial"/>
                      <w:sz w:val="24"/>
                      <w:szCs w:val="24"/>
                      <w:lang w:val="en-US"/>
                    </w:rPr>
                    <m:t>μ</m:t>
                  </m:r>
                </m:e>
                <m:sub>
                  <m:acc>
                    <m:accPr>
                      <m:chr m:val="̃"/>
                      <m:ctrlPr>
                        <w:rPr>
                          <w:rFonts w:ascii="Cambria Math" w:eastAsiaTheme="minorEastAsia" w:hAnsi="Cambria Math" w:cs="Arial"/>
                          <w:sz w:val="24"/>
                          <w:szCs w:val="24"/>
                          <w:lang w:val="en-US"/>
                        </w:rPr>
                      </m:ctrlPr>
                    </m:accPr>
                    <m:e>
                      <m:r>
                        <m:rPr>
                          <m:nor/>
                        </m:rPr>
                        <w:rPr>
                          <w:rFonts w:ascii="Cambria Math" w:eastAsiaTheme="minorEastAsia" w:hAnsi="Cambria Math" w:cs="Arial"/>
                          <w:sz w:val="24"/>
                          <w:szCs w:val="24"/>
                          <w:lang w:val="en-US"/>
                        </w:rPr>
                        <m:t>U</m:t>
                      </m:r>
                    </m:e>
                  </m:acc>
                </m:sub>
              </m:sSub>
              <m:ctrlPr>
                <w:rPr>
                  <w:rFonts w:ascii="Cambria Math" w:eastAsiaTheme="minorEastAsia" w:hAnsi="Cambria Math" w:cs="Arial"/>
                  <w:i/>
                  <w:sz w:val="24"/>
                  <w:szCs w:val="24"/>
                  <w:lang w:val="en-US"/>
                </w:rPr>
              </m:ctrlPr>
            </m:num>
            <m:den>
              <m:sSub>
                <m:sSubPr>
                  <m:ctrlPr>
                    <w:rPr>
                      <w:rFonts w:ascii="Cambria Math" w:eastAsiaTheme="minorEastAsia" w:hAnsi="Cambria Math" w:cs="Arial"/>
                      <w:i/>
                      <w:sz w:val="24"/>
                      <w:szCs w:val="24"/>
                      <w:lang w:val="en-US"/>
                    </w:rPr>
                  </m:ctrlPr>
                </m:sSubPr>
                <m:e>
                  <m:r>
                    <m:rPr>
                      <m:sty m:val="p"/>
                    </m:rPr>
                    <w:rPr>
                      <w:rFonts w:ascii="Cambria Math" w:eastAsiaTheme="minorEastAsia" w:hAnsi="Cambria Math" w:cs="Arial"/>
                      <w:sz w:val="24"/>
                      <w:szCs w:val="24"/>
                      <w:lang w:val="en-US"/>
                    </w:rPr>
                    <m:t>σ</m:t>
                  </m:r>
                </m:e>
                <m:sub>
                  <m:acc>
                    <m:accPr>
                      <m:chr m:val="̃"/>
                      <m:ctrlPr>
                        <w:rPr>
                          <w:rFonts w:ascii="Cambria Math" w:eastAsiaTheme="minorEastAsia" w:hAnsi="Cambria Math" w:cs="Arial"/>
                          <w:sz w:val="24"/>
                          <w:szCs w:val="24"/>
                          <w:lang w:val="en-US"/>
                        </w:rPr>
                      </m:ctrlPr>
                    </m:accPr>
                    <m:e>
                      <m:r>
                        <m:rPr>
                          <m:nor/>
                        </m:rPr>
                        <w:rPr>
                          <w:rFonts w:ascii="Cambria Math" w:eastAsiaTheme="minorEastAsia" w:hAnsi="Cambria Math" w:cs="Arial"/>
                          <w:sz w:val="24"/>
                          <w:szCs w:val="24"/>
                          <w:lang w:val="en-US"/>
                        </w:rPr>
                        <m:t>U</m:t>
                      </m:r>
                    </m:e>
                  </m:acc>
                </m:sub>
              </m:sSub>
              <m:ctrlPr>
                <w:rPr>
                  <w:rFonts w:ascii="Cambria Math" w:eastAsiaTheme="minorEastAsia" w:hAnsi="Cambria Math" w:cs="Arial"/>
                  <w:i/>
                  <w:sz w:val="24"/>
                  <w:szCs w:val="24"/>
                  <w:lang w:val="en-US"/>
                </w:rPr>
              </m:ctrlPr>
            </m:den>
          </m:f>
          <m:r>
            <w:rPr>
              <w:rFonts w:ascii="Cambria Math" w:eastAsiaTheme="minorEastAsia" w:hAnsi="Cambria Math" w:cs="Arial"/>
              <w:sz w:val="24"/>
              <w:szCs w:val="24"/>
              <w:lang w:val="en-US"/>
            </w:rPr>
            <m:t>,</m:t>
          </m:r>
        </m:oMath>
      </m:oMathPara>
    </w:p>
    <w:p w14:paraId="399CBB97" w14:textId="0AB51E0D" w:rsidR="00483C48" w:rsidRDefault="00483C48" w:rsidP="00310F09">
      <w:pPr>
        <w:spacing w:before="120" w:after="120" w:line="360" w:lineRule="auto"/>
        <w:jc w:val="both"/>
        <w:rPr>
          <w:rFonts w:eastAsiaTheme="minorEastAsia" w:cs="Arial"/>
          <w:sz w:val="24"/>
          <w:szCs w:val="24"/>
          <w:lang w:val="en-US"/>
        </w:rPr>
      </w:pPr>
      <w:r w:rsidRPr="00483C48">
        <w:rPr>
          <w:rFonts w:eastAsiaTheme="minorEastAsia" w:cs="Arial"/>
          <w:sz w:val="24"/>
          <w:szCs w:val="24"/>
          <w:lang w:val="en-US"/>
        </w:rPr>
        <w:t xml:space="preserve">where </w:t>
      </w:r>
      <m:oMath>
        <m:sSub>
          <m:sSubPr>
            <m:ctrlPr>
              <w:rPr>
                <w:rFonts w:ascii="Cambria Math" w:eastAsiaTheme="minorEastAsia" w:hAnsi="Cambria Math" w:cs="Arial"/>
                <w:i/>
                <w:sz w:val="24"/>
                <w:szCs w:val="24"/>
              </w:rPr>
            </m:ctrlPr>
          </m:sSubPr>
          <m:e>
            <m:acc>
              <m:accPr>
                <m:chr m:val="̃"/>
                <m:ctrlPr>
                  <w:rPr>
                    <w:rFonts w:ascii="Cambria Math" w:eastAsiaTheme="minorEastAsia" w:hAnsi="Cambria Math" w:cs="Arial"/>
                    <w:sz w:val="24"/>
                    <w:szCs w:val="24"/>
                    <w:lang w:val="en-US"/>
                  </w:rPr>
                </m:ctrlPr>
              </m:accPr>
              <m:e>
                <m:r>
                  <m:rPr>
                    <m:nor/>
                  </m:rPr>
                  <w:rPr>
                    <w:rFonts w:ascii="Cambria Math" w:eastAsiaTheme="minorEastAsia" w:hAnsi="Cambria Math" w:cs="Arial"/>
                    <w:sz w:val="24"/>
                    <w:szCs w:val="24"/>
                    <w:lang w:val="en-US"/>
                  </w:rPr>
                  <m:t>U</m:t>
                </m:r>
              </m:e>
            </m:acc>
          </m:e>
          <m:sub>
            <m:r>
              <w:rPr>
                <w:rFonts w:ascii="Cambria Math" w:eastAsiaTheme="minorEastAsia" w:hAnsi="Cambria Math" w:cs="Arial"/>
                <w:sz w:val="24"/>
                <w:szCs w:val="24"/>
              </w:rPr>
              <m:t>t</m:t>
            </m:r>
          </m:sub>
        </m:sSub>
        <m:r>
          <w:rPr>
            <w:rFonts w:ascii="Cambria Math" w:eastAsiaTheme="minorEastAsia" w:hAnsi="Cambria Math" w:cs="Arial"/>
            <w:sz w:val="24"/>
            <w:szCs w:val="24"/>
            <w:lang w:val="en-US"/>
          </w:rPr>
          <m:t xml:space="preserve"> </m:t>
        </m:r>
      </m:oMath>
      <w:r w:rsidRPr="00483C48">
        <w:rPr>
          <w:rFonts w:eastAsiaTheme="minorEastAsia" w:cs="Arial"/>
          <w:sz w:val="24"/>
          <w:szCs w:val="24"/>
          <w:lang w:val="en-US"/>
        </w:rPr>
        <w:t xml:space="preserve">is the 30-day moving average of </w:t>
      </w:r>
      <m:oMath>
        <m:sSub>
          <m:sSubPr>
            <m:ctrlPr>
              <w:rPr>
                <w:rFonts w:ascii="Cambria Math" w:eastAsiaTheme="minorEastAsia" w:hAnsi="Cambria Math" w:cs="Arial"/>
                <w:i/>
                <w:sz w:val="24"/>
                <w:szCs w:val="24"/>
                <w:lang w:val="en-US"/>
              </w:rPr>
            </m:ctrlPr>
          </m:sSubPr>
          <m:e>
            <m:r>
              <m:rPr>
                <m:nor/>
              </m:rPr>
              <w:rPr>
                <w:rFonts w:ascii="Cambria Math" w:eastAsiaTheme="minorEastAsia" w:hAnsi="Cambria Math" w:cs="Arial"/>
                <w:sz w:val="24"/>
                <w:szCs w:val="24"/>
                <w:lang w:val="en-US"/>
              </w:rPr>
              <m:t>U</m:t>
            </m:r>
            <m:ctrlPr>
              <w:rPr>
                <w:rFonts w:ascii="Cambria Math" w:eastAsiaTheme="minorEastAsia" w:hAnsi="Cambria Math" w:cs="Arial"/>
                <w:sz w:val="24"/>
                <w:szCs w:val="24"/>
                <w:lang w:val="en-US"/>
              </w:rPr>
            </m:ctrlPr>
          </m:e>
          <m:sub>
            <m:r>
              <w:rPr>
                <w:rFonts w:ascii="Cambria Math" w:eastAsiaTheme="minorEastAsia" w:hAnsi="Cambria Math" w:cs="Arial"/>
                <w:sz w:val="24"/>
                <w:szCs w:val="24"/>
                <w:lang w:val="en-US"/>
              </w:rPr>
              <m:t>t</m:t>
            </m:r>
          </m:sub>
        </m:sSub>
      </m:oMath>
      <w:r w:rsidRPr="00483C48">
        <w:rPr>
          <w:rFonts w:eastAsiaTheme="minorEastAsia" w:cs="Arial"/>
          <w:sz w:val="24"/>
          <w:szCs w:val="24"/>
          <w:lang w:val="en-US"/>
        </w:rPr>
        <w:t xml:space="preserve">, and </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μ</m:t>
            </m:r>
          </m:e>
          <m:sub>
            <m:acc>
              <m:accPr>
                <m:chr m:val="̃"/>
                <m:ctrlPr>
                  <w:rPr>
                    <w:rFonts w:ascii="Cambria Math" w:eastAsiaTheme="minorEastAsia" w:hAnsi="Cambria Math" w:cs="Arial"/>
                    <w:sz w:val="24"/>
                    <w:szCs w:val="24"/>
                    <w:lang w:val="en-US"/>
                  </w:rPr>
                </m:ctrlPr>
              </m:accPr>
              <m:e>
                <m:r>
                  <m:rPr>
                    <m:nor/>
                  </m:rPr>
                  <w:rPr>
                    <w:rFonts w:ascii="Cambria Math" w:eastAsiaTheme="minorEastAsia" w:hAnsi="Cambria Math" w:cs="Arial"/>
                    <w:sz w:val="24"/>
                    <w:szCs w:val="24"/>
                    <w:lang w:val="en-US"/>
                  </w:rPr>
                  <m:t>U</m:t>
                </m:r>
              </m:e>
            </m:acc>
          </m:sub>
        </m:sSub>
      </m:oMath>
      <w:r w:rsidRPr="00483C48">
        <w:rPr>
          <w:rFonts w:eastAsiaTheme="minorEastAsia" w:cs="Arial"/>
          <w:sz w:val="24"/>
          <w:szCs w:val="24"/>
          <w:lang w:val="en-US"/>
        </w:rPr>
        <w:t xml:space="preserve"> and</w:t>
      </w:r>
      <w:r>
        <w:rPr>
          <w:rFonts w:eastAsiaTheme="minorEastAsia" w:cs="Arial"/>
          <w:sz w:val="24"/>
          <w:szCs w:val="24"/>
          <w:lang w:val="en-US"/>
        </w:rPr>
        <w:t xml:space="preserve"> </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σ</m:t>
            </m:r>
          </m:e>
          <m:sub>
            <m:acc>
              <m:accPr>
                <m:chr m:val="̃"/>
                <m:ctrlPr>
                  <w:rPr>
                    <w:rFonts w:ascii="Cambria Math" w:eastAsiaTheme="minorEastAsia" w:hAnsi="Cambria Math" w:cs="Arial"/>
                    <w:sz w:val="24"/>
                    <w:szCs w:val="24"/>
                    <w:lang w:val="en-US"/>
                  </w:rPr>
                </m:ctrlPr>
              </m:accPr>
              <m:e>
                <m:r>
                  <m:rPr>
                    <m:nor/>
                  </m:rPr>
                  <w:rPr>
                    <w:rFonts w:ascii="Cambria Math" w:eastAsiaTheme="minorEastAsia" w:hAnsi="Cambria Math" w:cs="Arial"/>
                    <w:sz w:val="24"/>
                    <w:szCs w:val="24"/>
                    <w:lang w:val="en-US"/>
                  </w:rPr>
                  <m:t>U</m:t>
                </m:r>
              </m:e>
            </m:acc>
          </m:sub>
        </m:sSub>
      </m:oMath>
      <w:r w:rsidRPr="00483C48">
        <w:rPr>
          <w:rFonts w:eastAsiaTheme="minorEastAsia" w:cs="Arial"/>
          <w:sz w:val="24"/>
          <w:szCs w:val="24"/>
          <w:lang w:val="en-US"/>
        </w:rPr>
        <w:t xml:space="preserve"> denote the mean and standard deviation of the smoothed series, respectively.</w:t>
      </w:r>
    </w:p>
    <w:p w14:paraId="19971623" w14:textId="6FC8A4BE" w:rsidR="00483C48" w:rsidRDefault="00483C48" w:rsidP="00310F09">
      <w:pPr>
        <w:spacing w:before="120" w:after="120" w:line="360" w:lineRule="auto"/>
        <w:jc w:val="both"/>
        <w:rPr>
          <w:rFonts w:eastAsiaTheme="minorEastAsia" w:cs="Arial"/>
          <w:sz w:val="24"/>
          <w:szCs w:val="24"/>
          <w:lang w:val="en-US"/>
        </w:rPr>
      </w:pPr>
      <w:r w:rsidRPr="00483C48">
        <w:rPr>
          <w:rFonts w:eastAsiaTheme="minorEastAsia" w:cs="Arial"/>
          <w:sz w:val="24"/>
          <w:szCs w:val="24"/>
          <w:lang w:val="en-US"/>
        </w:rPr>
        <w:t>Figure</w:t>
      </w:r>
      <w:r>
        <w:rPr>
          <w:rFonts w:eastAsiaTheme="minorEastAsia" w:cs="Arial"/>
          <w:sz w:val="24"/>
          <w:szCs w:val="24"/>
          <w:lang w:val="en-US"/>
        </w:rPr>
        <w:t xml:space="preserve"> 5</w:t>
      </w:r>
      <w:r w:rsidRPr="00483C48">
        <w:rPr>
          <w:rFonts w:eastAsiaTheme="minorEastAsia" w:cs="Arial"/>
          <w:sz w:val="24"/>
          <w:szCs w:val="24"/>
          <w:lang w:val="en-US"/>
        </w:rPr>
        <w:t xml:space="preserve"> provides a schematic overview of the construction process for the Economic Uncertainty Sentiment Index.</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20"/>
      </w:tblGrid>
      <w:tr w:rsidR="00483C48" w14:paraId="4D1DCEF8" w14:textId="77777777" w:rsidTr="00B51617">
        <w:trPr>
          <w:jc w:val="center"/>
        </w:trPr>
        <w:tc>
          <w:tcPr>
            <w:tcW w:w="9936" w:type="dxa"/>
          </w:tcPr>
          <w:p w14:paraId="6DB17D38" w14:textId="564B5DF3" w:rsidR="00483C48" w:rsidRDefault="00483C48" w:rsidP="00B51617">
            <w:pPr>
              <w:pStyle w:val="Sinespaciado"/>
              <w:jc w:val="center"/>
              <w:rPr>
                <w:lang w:val="en-US"/>
              </w:rPr>
            </w:pPr>
            <w:r>
              <w:rPr>
                <w:noProof/>
                <w:lang w:val="en-US"/>
              </w:rPr>
              <w:lastRenderedPageBreak/>
              <w:drawing>
                <wp:inline distT="0" distB="0" distL="0" distR="0" wp14:anchorId="2460124A" wp14:editId="7A3D87DD">
                  <wp:extent cx="5539648" cy="2909455"/>
                  <wp:effectExtent l="0" t="0" r="0" b="5715"/>
                  <wp:docPr id="13324295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29512" name="Imagen 13324295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51420" cy="2915638"/>
                          </a:xfrm>
                          <a:prstGeom prst="rect">
                            <a:avLst/>
                          </a:prstGeom>
                        </pic:spPr>
                      </pic:pic>
                    </a:graphicData>
                  </a:graphic>
                </wp:inline>
              </w:drawing>
            </w:r>
          </w:p>
        </w:tc>
      </w:tr>
      <w:tr w:rsidR="00483C48" w:rsidRPr="00CF0423" w14:paraId="29AEE776" w14:textId="77777777" w:rsidTr="00B51617">
        <w:trPr>
          <w:jc w:val="center"/>
        </w:trPr>
        <w:tc>
          <w:tcPr>
            <w:tcW w:w="9936" w:type="dxa"/>
          </w:tcPr>
          <w:p w14:paraId="52B4F655" w14:textId="77777777" w:rsidR="00483C48" w:rsidRDefault="00483C48" w:rsidP="00B51617">
            <w:pPr>
              <w:pStyle w:val="Sinespaciado"/>
              <w:jc w:val="center"/>
              <w:rPr>
                <w:lang w:val="en-US"/>
              </w:rPr>
            </w:pPr>
            <w:r w:rsidRPr="00495AEE">
              <w:rPr>
                <w:lang w:val="en-US"/>
              </w:rPr>
              <w:t xml:space="preserve">Figure </w:t>
            </w:r>
            <w:r>
              <w:rPr>
                <w:lang w:val="en-US"/>
              </w:rPr>
              <w:t>5</w:t>
            </w:r>
            <w:r w:rsidRPr="00495AEE">
              <w:rPr>
                <w:lang w:val="en-US"/>
              </w:rPr>
              <w:t xml:space="preserve">: </w:t>
            </w:r>
            <w:r w:rsidRPr="00483C48">
              <w:rPr>
                <w:lang w:val="en-US"/>
              </w:rPr>
              <w:t>Construction of the Economic Uncertainty Sentiment Index</w:t>
            </w:r>
          </w:p>
          <w:p w14:paraId="0B99E33A" w14:textId="32B21B18" w:rsidR="00F750ED" w:rsidRDefault="00F750ED" w:rsidP="00B51617">
            <w:pPr>
              <w:pStyle w:val="Sinespaciado"/>
              <w:jc w:val="center"/>
              <w:rPr>
                <w:lang w:val="en-US"/>
              </w:rPr>
            </w:pPr>
          </w:p>
        </w:tc>
      </w:tr>
    </w:tbl>
    <w:p w14:paraId="74A9E402" w14:textId="36C3A03C" w:rsidR="00483C48" w:rsidRPr="00483C48" w:rsidRDefault="00483C48" w:rsidP="00483C48">
      <w:pPr>
        <w:spacing w:before="120" w:after="120" w:line="360" w:lineRule="auto"/>
        <w:jc w:val="both"/>
        <w:rPr>
          <w:rFonts w:eastAsiaTheme="minorEastAsia" w:cs="Arial"/>
          <w:b/>
          <w:bCs/>
          <w:sz w:val="24"/>
          <w:szCs w:val="24"/>
          <w:lang w:val="en-US"/>
        </w:rPr>
      </w:pPr>
      <w:r w:rsidRPr="00483C48">
        <w:rPr>
          <w:rFonts w:eastAsiaTheme="minorEastAsia" w:cs="Arial"/>
          <w:b/>
          <w:bCs/>
          <w:sz w:val="24"/>
          <w:szCs w:val="24"/>
          <w:lang w:val="en-US"/>
        </w:rPr>
        <w:t>Daily y-o-y Inflation:</w:t>
      </w:r>
      <w:r>
        <w:rPr>
          <w:rFonts w:eastAsiaTheme="minorEastAsia" w:cs="Arial"/>
          <w:b/>
          <w:bCs/>
          <w:sz w:val="24"/>
          <w:szCs w:val="24"/>
          <w:lang w:val="en-US"/>
        </w:rPr>
        <w:t xml:space="preserve"> </w:t>
      </w:r>
      <w:r w:rsidRPr="00483C48">
        <w:rPr>
          <w:rFonts w:eastAsiaTheme="minorEastAsia" w:cs="Arial"/>
          <w:sz w:val="24"/>
          <w:szCs w:val="24"/>
          <w:lang w:val="en-US"/>
        </w:rPr>
        <w:t xml:space="preserve">We estimate daily-frequency year-on-year CPI inflation, $\hat\pi_t$, by adapting the two-step machine learning framework of </w:t>
      </w:r>
      <w:r w:rsidRPr="00483C48">
        <w:rPr>
          <w:rFonts w:eastAsiaTheme="minorEastAsia" w:cs="Arial"/>
          <w:color w:val="0000CC"/>
          <w:sz w:val="24"/>
          <w:szCs w:val="24"/>
          <w:lang w:val="en-US"/>
        </w:rPr>
        <w:t>Bolivar</w:t>
      </w:r>
      <w:r w:rsidRPr="00483C48">
        <w:rPr>
          <w:rFonts w:eastAsiaTheme="minorEastAsia" w:cs="Arial"/>
          <w:sz w:val="24"/>
          <w:szCs w:val="24"/>
          <w:lang w:val="en-US"/>
        </w:rPr>
        <w:t xml:space="preserve"> (</w:t>
      </w:r>
      <w:r w:rsidRPr="00483C48">
        <w:rPr>
          <w:rFonts w:eastAsiaTheme="minorEastAsia" w:cs="Arial"/>
          <w:color w:val="0000CC"/>
          <w:sz w:val="24"/>
          <w:szCs w:val="24"/>
          <w:lang w:val="en-US"/>
        </w:rPr>
        <w:t>2025</w:t>
      </w:r>
      <w:r>
        <w:rPr>
          <w:rFonts w:eastAsiaTheme="minorEastAsia" w:cs="Arial"/>
          <w:sz w:val="24"/>
          <w:szCs w:val="24"/>
          <w:lang w:val="en-US"/>
        </w:rPr>
        <w:t xml:space="preserve">) </w:t>
      </w:r>
      <w:r w:rsidRPr="00483C48">
        <w:rPr>
          <w:rFonts w:eastAsiaTheme="minorEastAsia" w:cs="Arial"/>
          <w:sz w:val="24"/>
          <w:szCs w:val="24"/>
          <w:lang w:val="en-US"/>
        </w:rPr>
        <w:t xml:space="preserve">to our context, utilizing 146 raw daily predictors without prior feature selection. </w:t>
      </w:r>
    </w:p>
    <w:p w14:paraId="60ED5082" w14:textId="6733D9A5" w:rsidR="00483C48" w:rsidRDefault="00483C48" w:rsidP="00483C48">
      <w:pPr>
        <w:spacing w:before="120" w:after="120" w:line="360" w:lineRule="auto"/>
        <w:jc w:val="both"/>
        <w:rPr>
          <w:rFonts w:eastAsiaTheme="minorEastAsia" w:cs="Arial"/>
          <w:sz w:val="24"/>
          <w:szCs w:val="24"/>
          <w:lang w:val="en-US"/>
        </w:rPr>
      </w:pPr>
      <w:r w:rsidRPr="00483C48">
        <w:rPr>
          <w:rFonts w:eastAsiaTheme="minorEastAsia" w:cs="Arial"/>
          <w:sz w:val="24"/>
          <w:szCs w:val="24"/>
          <w:lang w:val="en-US"/>
        </w:rPr>
        <w:t xml:space="preserve">In the first stage, </w:t>
      </w:r>
      <w:r w:rsidRPr="00483C48">
        <w:rPr>
          <w:rFonts w:eastAsiaTheme="minorEastAsia" w:cs="Arial"/>
          <w:i/>
          <w:iCs/>
          <w:sz w:val="24"/>
          <w:szCs w:val="24"/>
          <w:lang w:val="en-US"/>
        </w:rPr>
        <w:t>mixed-frequency alignment</w:t>
      </w:r>
      <w:r w:rsidRPr="00483C48">
        <w:rPr>
          <w:rFonts w:eastAsiaTheme="minorEastAsia" w:cs="Arial"/>
          <w:sz w:val="24"/>
          <w:szCs w:val="24"/>
          <w:lang w:val="en-US"/>
        </w:rPr>
        <w:t xml:space="preserve">, each daily series </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x</m:t>
            </m:r>
          </m:e>
          <m:sub>
            <m:r>
              <w:rPr>
                <w:rFonts w:ascii="Cambria Math" w:eastAsiaTheme="minorEastAsia" w:hAnsi="Cambria Math" w:cs="Arial"/>
                <w:sz w:val="24"/>
                <w:szCs w:val="24"/>
                <w:lang w:val="en-US"/>
              </w:rPr>
              <m:t>i,t</m:t>
            </m:r>
          </m:sub>
        </m:sSub>
      </m:oMath>
      <w:r w:rsidRPr="00483C48">
        <w:rPr>
          <w:rFonts w:eastAsiaTheme="minorEastAsia" w:cs="Arial"/>
          <w:sz w:val="24"/>
          <w:szCs w:val="24"/>
          <w:lang w:val="en-US"/>
        </w:rPr>
        <w:t xml:space="preserve"> is aggregated into monthly-equivalent features:</w:t>
      </w:r>
    </w:p>
    <w:p w14:paraId="464D7BA0" w14:textId="6C6FBCCC" w:rsidR="00483C48" w:rsidRPr="00483C48" w:rsidRDefault="00000000" w:rsidP="00483C48">
      <w:pPr>
        <w:spacing w:before="120" w:after="120" w:line="360" w:lineRule="auto"/>
        <w:jc w:val="both"/>
        <w:rPr>
          <w:rFonts w:eastAsiaTheme="minorEastAsia" w:cs="Arial"/>
          <w:sz w:val="24"/>
          <w:szCs w:val="24"/>
          <w:lang w:val="en-US"/>
        </w:rPr>
      </w:pPr>
      <m:oMathPara>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X</m:t>
              </m:r>
            </m:e>
            <m:sub>
              <m:r>
                <w:rPr>
                  <w:rFonts w:ascii="Cambria Math" w:eastAsiaTheme="minorEastAsia" w:hAnsi="Cambria Math" w:cs="Arial"/>
                  <w:sz w:val="24"/>
                  <w:szCs w:val="24"/>
                  <w:lang w:val="en-US"/>
                </w:rPr>
                <m:t>i,m</m:t>
              </m:r>
            </m:sub>
          </m:sSub>
          <m:r>
            <w:rPr>
              <w:rFonts w:ascii="Cambria Math" w:eastAsiaTheme="minorEastAsia" w:hAnsi="Cambria Math" w:cs="Arial"/>
              <w:sz w:val="24"/>
              <w:szCs w:val="24"/>
              <w:lang w:val="en-US"/>
            </w:rPr>
            <m:t>=</m:t>
          </m:r>
          <m:f>
            <m:fPr>
              <m:ctrlPr>
                <w:rPr>
                  <w:rFonts w:ascii="Cambria Math" w:eastAsiaTheme="minorEastAsia" w:hAnsi="Cambria Math" w:cs="Arial"/>
                  <w:sz w:val="24"/>
                  <w:szCs w:val="24"/>
                  <w:lang w:val="en-US"/>
                </w:rPr>
              </m:ctrlPr>
            </m:fPr>
            <m:num>
              <m:r>
                <w:rPr>
                  <w:rFonts w:ascii="Cambria Math" w:eastAsiaTheme="minorEastAsia" w:hAnsi="Cambria Math" w:cs="Arial"/>
                  <w:sz w:val="24"/>
                  <w:szCs w:val="24"/>
                  <w:lang w:val="en-US"/>
                </w:rPr>
                <m:t>1</m:t>
              </m:r>
              <m:ctrlPr>
                <w:rPr>
                  <w:rFonts w:ascii="Cambria Math" w:eastAsiaTheme="minorEastAsia" w:hAnsi="Cambria Math" w:cs="Arial"/>
                  <w:i/>
                  <w:sz w:val="24"/>
                  <w:szCs w:val="24"/>
                  <w:lang w:val="en-US"/>
                </w:rPr>
              </m:ctrlPr>
            </m:num>
            <m:den>
              <m:d>
                <m:dPr>
                  <m:begChr m:val="|"/>
                  <m:endChr m:val="|"/>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T</m:t>
                      </m:r>
                    </m:e>
                    <m:sub>
                      <m:r>
                        <w:rPr>
                          <w:rFonts w:ascii="Cambria Math" w:eastAsiaTheme="minorEastAsia" w:hAnsi="Cambria Math" w:cs="Arial"/>
                          <w:sz w:val="24"/>
                          <w:szCs w:val="24"/>
                          <w:lang w:val="en-US"/>
                        </w:rPr>
                        <m:t>m</m:t>
                      </m:r>
                    </m:sub>
                  </m:sSub>
                </m:e>
              </m:d>
              <m:ctrlPr>
                <w:rPr>
                  <w:rFonts w:ascii="Cambria Math" w:eastAsiaTheme="minorEastAsia" w:hAnsi="Cambria Math" w:cs="Arial"/>
                  <w:i/>
                  <w:sz w:val="24"/>
                  <w:szCs w:val="24"/>
                  <w:lang w:val="en-US"/>
                </w:rPr>
              </m:ctrlPr>
            </m:den>
          </m:f>
          <m:nary>
            <m:naryPr>
              <m:chr m:val="∑"/>
              <m:supHide m:val="1"/>
              <m:ctrlPr>
                <w:rPr>
                  <w:rFonts w:ascii="Cambria Math" w:eastAsiaTheme="minorEastAsia" w:hAnsi="Cambria Math" w:cs="Arial"/>
                  <w:sz w:val="24"/>
                  <w:szCs w:val="24"/>
                  <w:lang w:val="en-US"/>
                </w:rPr>
              </m:ctrlPr>
            </m:naryPr>
            <m:sub>
              <m:r>
                <w:rPr>
                  <w:rFonts w:ascii="Cambria Math" w:eastAsiaTheme="minorEastAsia" w:hAnsi="Cambria Math" w:cs="Arial"/>
                  <w:sz w:val="24"/>
                  <w:szCs w:val="24"/>
                  <w:lang w:val="en-US"/>
                </w:rPr>
                <m:t>t</m:t>
              </m:r>
              <m:r>
                <m:rPr>
                  <m:sty m:val="p"/>
                </m:rPr>
                <w:rPr>
                  <w:rFonts w:ascii="Cambria Math" w:eastAsiaTheme="minorEastAsia" w:hAnsi="Cambria Math" w:cs="Arial"/>
                  <w:sz w:val="24"/>
                  <w:szCs w:val="24"/>
                  <w:lang w:val="en-US"/>
                </w:rPr>
                <m:t>∈</m:t>
              </m:r>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T</m:t>
                  </m:r>
                  <m:ctrlPr>
                    <w:rPr>
                      <w:rFonts w:ascii="Cambria Math" w:eastAsiaTheme="minorEastAsia" w:hAnsi="Cambria Math" w:cs="Arial"/>
                      <w:sz w:val="24"/>
                      <w:szCs w:val="24"/>
                      <w:lang w:val="en-US"/>
                    </w:rPr>
                  </m:ctrlPr>
                </m:e>
                <m:sub>
                  <m:r>
                    <w:rPr>
                      <w:rFonts w:ascii="Cambria Math" w:eastAsiaTheme="minorEastAsia" w:hAnsi="Cambria Math" w:cs="Arial"/>
                      <w:sz w:val="24"/>
                      <w:szCs w:val="24"/>
                      <w:lang w:val="en-US"/>
                    </w:rPr>
                    <m:t>m</m:t>
                  </m:r>
                </m:sub>
              </m:sSub>
              <m:ctrlPr>
                <w:rPr>
                  <w:rFonts w:ascii="Cambria Math" w:eastAsiaTheme="minorEastAsia" w:hAnsi="Cambria Math" w:cs="Arial"/>
                  <w:i/>
                  <w:sz w:val="24"/>
                  <w:szCs w:val="24"/>
                  <w:lang w:val="en-US"/>
                </w:rPr>
              </m:ctrlPr>
            </m:sub>
            <m:sup>
              <m:ctrlPr>
                <w:rPr>
                  <w:rFonts w:ascii="Cambria Math" w:eastAsiaTheme="minorEastAsia" w:hAnsi="Cambria Math" w:cs="Arial"/>
                  <w:i/>
                  <w:sz w:val="24"/>
                  <w:szCs w:val="24"/>
                  <w:lang w:val="en-US"/>
                </w:rPr>
              </m:ctrlPr>
            </m:sup>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x</m:t>
                  </m:r>
                </m:e>
                <m:sub>
                  <m:r>
                    <w:rPr>
                      <w:rFonts w:ascii="Cambria Math" w:eastAsiaTheme="minorEastAsia" w:hAnsi="Cambria Math" w:cs="Arial"/>
                      <w:sz w:val="24"/>
                      <w:szCs w:val="24"/>
                      <w:lang w:val="en-US"/>
                    </w:rPr>
                    <m:t>i,t</m:t>
                  </m:r>
                </m:sub>
              </m:sSub>
              <m:ctrlPr>
                <w:rPr>
                  <w:rFonts w:ascii="Cambria Math" w:eastAsiaTheme="minorEastAsia" w:hAnsi="Cambria Math" w:cs="Arial"/>
                  <w:i/>
                  <w:sz w:val="24"/>
                  <w:szCs w:val="24"/>
                  <w:lang w:val="en-US"/>
                </w:rPr>
              </m:ctrlPr>
            </m:e>
          </m:nary>
          <m:r>
            <w:rPr>
              <w:rFonts w:ascii="Cambria Math" w:eastAsiaTheme="minorEastAsia" w:hAnsi="Cambria Math" w:cs="Arial"/>
              <w:sz w:val="24"/>
              <w:szCs w:val="24"/>
              <w:lang w:val="en-US"/>
            </w:rPr>
            <m:t>,</m:t>
          </m:r>
        </m:oMath>
      </m:oMathPara>
    </w:p>
    <w:p w14:paraId="21B98073" w14:textId="4B0FF556" w:rsidR="00483C48" w:rsidRPr="00483C48" w:rsidRDefault="00483C48" w:rsidP="00483C48">
      <w:pPr>
        <w:spacing w:before="120" w:after="120" w:line="360" w:lineRule="auto"/>
        <w:jc w:val="both"/>
        <w:rPr>
          <w:rFonts w:eastAsiaTheme="minorEastAsia" w:cs="Arial"/>
          <w:sz w:val="24"/>
          <w:szCs w:val="24"/>
          <w:lang w:val="en-US"/>
        </w:rPr>
      </w:pPr>
      <w:r w:rsidRPr="00483C48">
        <w:rPr>
          <w:rFonts w:eastAsiaTheme="minorEastAsia" w:cs="Arial"/>
          <w:sz w:val="24"/>
          <w:szCs w:val="24"/>
          <w:lang w:val="en-US"/>
        </w:rPr>
        <w:t xml:space="preserve">where </w:t>
      </w:r>
      <m:oMath>
        <m:sSub>
          <m:sSubPr>
            <m:ctrlPr>
              <w:rPr>
                <w:rFonts w:ascii="Cambria Math" w:eastAsiaTheme="minorEastAsia" w:hAnsi="Cambria Math" w:cs="Arial"/>
                <w:i/>
                <w:sz w:val="24"/>
                <w:szCs w:val="24"/>
                <w:lang w:val="en-US"/>
              </w:rPr>
            </m:ctrlPr>
          </m:sSubPr>
          <m:e>
            <m:r>
              <m:rPr>
                <m:sty m:val="p"/>
              </m:rPr>
              <w:rPr>
                <w:rFonts w:ascii="Cambria Math" w:eastAsiaTheme="minorEastAsia" w:hAnsi="Cambria Math" w:cs="Arial"/>
                <w:sz w:val="24"/>
                <w:szCs w:val="24"/>
                <w:lang w:val="en-US"/>
              </w:rPr>
              <m:t>T</m:t>
            </m:r>
            <m:ctrlPr>
              <w:rPr>
                <w:rFonts w:ascii="Cambria Math" w:eastAsiaTheme="minorEastAsia" w:hAnsi="Cambria Math" w:cs="Arial"/>
                <w:sz w:val="24"/>
                <w:szCs w:val="24"/>
                <w:lang w:val="en-US"/>
              </w:rPr>
            </m:ctrlPr>
          </m:e>
          <m:sub>
            <m:r>
              <m:rPr>
                <m:sty m:val="p"/>
              </m:rPr>
              <w:rPr>
                <w:rFonts w:ascii="Cambria Math" w:eastAsiaTheme="minorEastAsia" w:hAnsi="Cambria Math" w:cs="Arial"/>
                <w:sz w:val="24"/>
                <w:szCs w:val="24"/>
                <w:lang w:val="en-US"/>
              </w:rPr>
              <m:t>m</m:t>
            </m:r>
          </m:sub>
        </m:sSub>
      </m:oMath>
      <w:r w:rsidRPr="00483C48">
        <w:rPr>
          <w:rFonts w:eastAsiaTheme="minorEastAsia" w:cs="Arial"/>
          <w:sz w:val="24"/>
          <w:szCs w:val="24"/>
          <w:lang w:val="en-US"/>
        </w:rPr>
        <w:t xml:space="preserve"> denotes the set of days within month </w:t>
      </w:r>
      <m:oMath>
        <m:r>
          <w:rPr>
            <w:rFonts w:ascii="Cambria Math" w:eastAsiaTheme="minorEastAsia" w:hAnsi="Cambria Math" w:cs="Arial"/>
            <w:sz w:val="24"/>
            <w:szCs w:val="24"/>
            <w:lang w:val="en-US"/>
          </w:rPr>
          <m:t>m</m:t>
        </m:r>
      </m:oMath>
      <w:r w:rsidRPr="00483C48">
        <w:rPr>
          <w:rFonts w:eastAsiaTheme="minorEastAsia" w:cs="Arial"/>
          <w:sz w:val="24"/>
          <w:szCs w:val="24"/>
          <w:lang w:val="en-US"/>
        </w:rPr>
        <w:t xml:space="preserve">. These aggregated predictors are then merged with the official monthly CPI y-o-y inflation series </w:t>
      </w:r>
      <m:oMath>
        <m:sSub>
          <m:sSubPr>
            <m:ctrlPr>
              <w:rPr>
                <w:rFonts w:ascii="Cambria Math" w:eastAsiaTheme="minorEastAsia" w:hAnsi="Cambria Math" w:cs="Arial"/>
                <w:i/>
                <w:sz w:val="24"/>
                <w:szCs w:val="24"/>
                <w:lang w:val="en-US"/>
              </w:rPr>
            </m:ctrlPr>
          </m:sSubPr>
          <m:e>
            <m:r>
              <m:rPr>
                <m:sty m:val="p"/>
              </m:rPr>
              <w:rPr>
                <w:rFonts w:ascii="Cambria Math" w:eastAsiaTheme="minorEastAsia" w:hAnsi="Cambria Math" w:cs="Arial"/>
                <w:sz w:val="24"/>
                <w:szCs w:val="24"/>
                <w:lang w:val="en-US"/>
              </w:rPr>
              <m:t>π</m:t>
            </m:r>
            <m:ctrlPr>
              <w:rPr>
                <w:rFonts w:ascii="Cambria Math" w:eastAsiaTheme="minorEastAsia" w:hAnsi="Cambria Math" w:cs="Arial"/>
                <w:sz w:val="24"/>
                <w:szCs w:val="24"/>
                <w:lang w:val="en-US"/>
              </w:rPr>
            </m:ctrlPr>
          </m:e>
          <m:sub>
            <m:r>
              <w:rPr>
                <w:rFonts w:ascii="Cambria Math" w:eastAsiaTheme="minorEastAsia" w:hAnsi="Cambria Math" w:cs="Arial"/>
                <w:sz w:val="24"/>
                <w:szCs w:val="24"/>
                <w:lang w:val="en-US"/>
              </w:rPr>
              <m:t>m</m:t>
            </m:r>
          </m:sub>
        </m:sSub>
      </m:oMath>
      <w:r w:rsidRPr="00483C48">
        <w:rPr>
          <w:rFonts w:eastAsiaTheme="minorEastAsia" w:cs="Arial"/>
          <w:sz w:val="24"/>
          <w:szCs w:val="24"/>
          <w:lang w:val="en-US"/>
        </w:rPr>
        <w:t xml:space="preserve">, producing a monthly training and validation dataset </w:t>
      </w:r>
      <m:oMath>
        <m:r>
          <m:rPr>
            <m:lit/>
          </m:rPr>
          <w:rPr>
            <w:rFonts w:ascii="Cambria Math" w:eastAsiaTheme="minorEastAsia" w:hAnsi="Cambria Math" w:cs="Arial"/>
            <w:sz w:val="24"/>
            <w:szCs w:val="24"/>
            <w:lang w:val="en-US"/>
          </w:rPr>
          <m:t>{</m:t>
        </m:r>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X</m:t>
                </m:r>
              </m:e>
              <m:sub>
                <m:r>
                  <w:rPr>
                    <w:rFonts w:ascii="Cambria Math" w:eastAsiaTheme="minorEastAsia" w:hAnsi="Cambria Math" w:cs="Arial"/>
                    <w:sz w:val="24"/>
                    <w:szCs w:val="24"/>
                    <w:lang w:val="en-US"/>
                  </w:rPr>
                  <m:t>m</m:t>
                </m:r>
              </m:sub>
            </m:sSub>
            <m:r>
              <w:rPr>
                <w:rFonts w:ascii="Cambria Math" w:eastAsiaTheme="minorEastAsia" w:hAnsi="Cambria Math" w:cs="Arial"/>
                <w:sz w:val="24"/>
                <w:szCs w:val="24"/>
                <w:lang w:val="en-US"/>
              </w:rPr>
              <m:t>,</m:t>
            </m:r>
            <m:sSub>
              <m:sSubPr>
                <m:ctrlPr>
                  <w:rPr>
                    <w:rFonts w:ascii="Cambria Math" w:eastAsiaTheme="minorEastAsia" w:hAnsi="Cambria Math" w:cs="Arial"/>
                    <w:i/>
                    <w:sz w:val="24"/>
                    <w:szCs w:val="24"/>
                    <w:lang w:val="en-US"/>
                  </w:rPr>
                </m:ctrlPr>
              </m:sSubPr>
              <m:e>
                <m:r>
                  <m:rPr>
                    <m:sty m:val="p"/>
                  </m:rPr>
                  <w:rPr>
                    <w:rFonts w:ascii="Cambria Math" w:eastAsiaTheme="minorEastAsia" w:hAnsi="Cambria Math" w:cs="Arial"/>
                    <w:sz w:val="24"/>
                    <w:szCs w:val="24"/>
                    <w:lang w:val="en-US"/>
                  </w:rPr>
                  <m:t>π</m:t>
                </m:r>
              </m:e>
              <m:sub>
                <m:r>
                  <w:rPr>
                    <w:rFonts w:ascii="Cambria Math" w:eastAsiaTheme="minorEastAsia" w:hAnsi="Cambria Math" w:cs="Arial"/>
                    <w:sz w:val="24"/>
                    <w:szCs w:val="24"/>
                    <w:lang w:val="en-US"/>
                  </w:rPr>
                  <m:t>m</m:t>
                </m:r>
              </m:sub>
            </m:sSub>
          </m:e>
        </m:d>
        <m:r>
          <m:rPr>
            <m:lit/>
          </m:rPr>
          <w:rPr>
            <w:rFonts w:ascii="Cambria Math" w:eastAsiaTheme="minorEastAsia" w:hAnsi="Cambria Math" w:cs="Arial"/>
            <w:sz w:val="24"/>
            <w:szCs w:val="24"/>
            <w:lang w:val="en-US"/>
          </w:rPr>
          <m:t>}</m:t>
        </m:r>
      </m:oMath>
      <w:r w:rsidRPr="00483C48">
        <w:rPr>
          <w:rFonts w:eastAsiaTheme="minorEastAsia" w:cs="Arial"/>
          <w:sz w:val="24"/>
          <w:szCs w:val="24"/>
          <w:lang w:val="en-US"/>
        </w:rPr>
        <w:t xml:space="preserve"> spanning January 2010 to March 2025.</w:t>
      </w:r>
    </w:p>
    <w:p w14:paraId="551A1C56" w14:textId="7F1924C1" w:rsidR="00483C48" w:rsidRPr="00483C48" w:rsidRDefault="00483C48" w:rsidP="00483C48">
      <w:pPr>
        <w:spacing w:before="120" w:after="120" w:line="360" w:lineRule="auto"/>
        <w:jc w:val="both"/>
        <w:rPr>
          <w:rFonts w:eastAsiaTheme="minorEastAsia" w:cs="Arial"/>
          <w:sz w:val="24"/>
          <w:szCs w:val="24"/>
          <w:lang w:val="en-US"/>
        </w:rPr>
      </w:pPr>
      <w:r w:rsidRPr="00483C48">
        <w:rPr>
          <w:rFonts w:eastAsiaTheme="minorEastAsia" w:cs="Arial"/>
          <w:sz w:val="24"/>
          <w:szCs w:val="24"/>
          <w:lang w:val="en-US"/>
        </w:rPr>
        <w:t xml:space="preserve">In the second stage, </w:t>
      </w:r>
      <w:r w:rsidRPr="00A86D28">
        <w:rPr>
          <w:rFonts w:eastAsiaTheme="minorEastAsia" w:cs="Arial"/>
          <w:i/>
          <w:iCs/>
          <w:sz w:val="24"/>
          <w:szCs w:val="24"/>
          <w:lang w:val="en-US"/>
        </w:rPr>
        <w:t>modeling and forecasting</w:t>
      </w:r>
      <w:r w:rsidRPr="00483C48">
        <w:rPr>
          <w:rFonts w:eastAsiaTheme="minorEastAsia" w:cs="Arial"/>
          <w:sz w:val="24"/>
          <w:szCs w:val="24"/>
          <w:lang w:val="en-US"/>
        </w:rPr>
        <w:t xml:space="preserve">, we randomly partition the monthly dataset into 80% for training and 20% for validation, apply z-score normalization, and fit a suite of machine learning models—Ridge, Lasso, Random Forest, Gradient Boosting, AdaBoost, Extra Trees, and forecast combination schemes. Hyperparameters are selected via 5-fold cross-validation. The best-performing model, </w:t>
      </w:r>
      <m:oMath>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f</m:t>
            </m:r>
          </m:e>
          <m:sup>
            <m:r>
              <w:rPr>
                <w:rFonts w:ascii="Cambria Math" w:eastAsiaTheme="minorEastAsia" w:hAnsi="Cambria Math" w:cs="Arial"/>
                <w:sz w:val="24"/>
                <w:szCs w:val="24"/>
                <w:lang w:val="en-US"/>
              </w:rPr>
              <m:t>*</m:t>
            </m:r>
          </m:sup>
        </m:sSup>
      </m:oMath>
      <w:r w:rsidRPr="00483C48">
        <w:rPr>
          <w:rFonts w:eastAsiaTheme="minorEastAsia" w:cs="Arial"/>
          <w:sz w:val="24"/>
          <w:szCs w:val="24"/>
          <w:lang w:val="en-US"/>
        </w:rPr>
        <w:t xml:space="preserve">, identified by mean squared error (MSE) and </w:t>
      </w:r>
      <m:oMath>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R</m:t>
            </m:r>
          </m:e>
          <m:sup>
            <m:r>
              <w:rPr>
                <w:rFonts w:ascii="Cambria Math" w:eastAsiaTheme="minorEastAsia" w:hAnsi="Cambria Math" w:cs="Arial"/>
                <w:sz w:val="24"/>
                <w:szCs w:val="24"/>
                <w:lang w:val="en-US"/>
              </w:rPr>
              <m:t>2</m:t>
            </m:r>
          </m:sup>
        </m:sSup>
      </m:oMath>
      <w:r w:rsidRPr="00483C48">
        <w:rPr>
          <w:rFonts w:eastAsiaTheme="minorEastAsia" w:cs="Arial"/>
          <w:sz w:val="24"/>
          <w:szCs w:val="24"/>
          <w:lang w:val="en-US"/>
        </w:rPr>
        <w:t xml:space="preserve"> on the hold-out set, is then deployed directly on the unaggregated 146-dimensional daily </w:t>
      </w:r>
      <w:r w:rsidRPr="00483C48">
        <w:rPr>
          <w:rFonts w:eastAsiaTheme="minorEastAsia" w:cs="Arial"/>
          <w:sz w:val="24"/>
          <w:szCs w:val="24"/>
          <w:lang w:val="en-US"/>
        </w:rPr>
        <w:lastRenderedPageBreak/>
        <w:t xml:space="preserve">feature vectors </w:t>
      </w:r>
      <m:oMath>
        <m:r>
          <m:rPr>
            <m:lit/>
          </m:rPr>
          <w:rPr>
            <w:rFonts w:ascii="Cambria Math" w:eastAsiaTheme="minorEastAsia" w:hAnsi="Cambria Math" w:cs="Arial"/>
            <w:sz w:val="24"/>
            <w:szCs w:val="24"/>
            <w:lang w:val="en-US"/>
          </w:rPr>
          <m:t>{</m:t>
        </m:r>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x</m:t>
            </m:r>
          </m:e>
          <m:sub>
            <m:r>
              <w:rPr>
                <w:rFonts w:ascii="Cambria Math" w:eastAsiaTheme="minorEastAsia" w:hAnsi="Cambria Math" w:cs="Arial"/>
                <w:sz w:val="24"/>
                <w:szCs w:val="24"/>
                <w:lang w:val="en-US"/>
              </w:rPr>
              <m:t>t</m:t>
            </m:r>
          </m:sub>
        </m:sSub>
        <m:r>
          <m:rPr>
            <m:lit/>
          </m:rPr>
          <w:rPr>
            <w:rFonts w:ascii="Cambria Math" w:eastAsiaTheme="minorEastAsia" w:hAnsi="Cambria Math" w:cs="Arial"/>
            <w:sz w:val="24"/>
            <w:szCs w:val="24"/>
            <w:lang w:val="en-US"/>
          </w:rPr>
          <m:t>}</m:t>
        </m:r>
      </m:oMath>
      <w:r w:rsidRPr="00483C48">
        <w:rPr>
          <w:rFonts w:eastAsiaTheme="minorEastAsia" w:cs="Arial"/>
          <w:sz w:val="24"/>
          <w:szCs w:val="24"/>
          <w:lang w:val="en-US"/>
        </w:rPr>
        <w:t xml:space="preserve"> for </w:t>
      </w:r>
      <m:oMath>
        <m:r>
          <w:rPr>
            <w:rFonts w:ascii="Cambria Math" w:eastAsiaTheme="minorEastAsia" w:hAnsi="Cambria Math" w:cs="Arial"/>
            <w:sz w:val="24"/>
            <w:szCs w:val="24"/>
            <w:lang w:val="en-US"/>
          </w:rPr>
          <m:t xml:space="preserve">t </m:t>
        </m:r>
        <m:r>
          <m:rPr>
            <m:sty m:val="p"/>
          </m:rPr>
          <w:rPr>
            <w:rFonts w:ascii="Cambria Math" w:eastAsiaTheme="minorEastAsia" w:hAnsi="Cambria Math" w:cs="Arial"/>
            <w:sz w:val="24"/>
            <w:szCs w:val="24"/>
            <w:lang w:val="en-US"/>
          </w:rPr>
          <m:t>≥</m:t>
        </m:r>
      </m:oMath>
      <w:r w:rsidRPr="00483C48">
        <w:rPr>
          <w:rFonts w:eastAsiaTheme="minorEastAsia" w:cs="Arial"/>
          <w:sz w:val="24"/>
          <w:szCs w:val="24"/>
          <w:lang w:val="en-US"/>
        </w:rPr>
        <w:t xml:space="preserve"> January 1, 2023, through April 11, 2025, yielding daily inflation estimates </w:t>
      </w:r>
      <m:oMath>
        <m:sSub>
          <m:sSubPr>
            <m:ctrlPr>
              <w:rPr>
                <w:rFonts w:ascii="Cambria Math" w:eastAsiaTheme="minorEastAsia" w:hAnsi="Cambria Math" w:cs="Arial"/>
                <w:i/>
                <w:sz w:val="24"/>
                <w:szCs w:val="24"/>
                <w:lang w:val="en-US"/>
              </w:rPr>
            </m:ctrlPr>
          </m:sSubPr>
          <m:e>
            <m:acc>
              <m:accPr>
                <m:ctrlPr>
                  <w:rPr>
                    <w:rFonts w:ascii="Cambria Math" w:eastAsiaTheme="minorEastAsia" w:hAnsi="Cambria Math" w:cs="Arial"/>
                    <w:sz w:val="24"/>
                    <w:szCs w:val="24"/>
                    <w:lang w:val="en-US"/>
                  </w:rPr>
                </m:ctrlPr>
              </m:accPr>
              <m:e>
                <m:r>
                  <w:rPr>
                    <w:rFonts w:ascii="Cambria Math" w:eastAsiaTheme="minorEastAsia" w:hAnsi="Cambria Math" w:cs="Arial"/>
                    <w:sz w:val="24"/>
                    <w:szCs w:val="24"/>
                    <w:lang w:val="en-US"/>
                  </w:rPr>
                  <m:t>π</m:t>
                </m:r>
              </m:e>
            </m:acc>
          </m:e>
          <m:sub>
            <m:r>
              <w:rPr>
                <w:rFonts w:ascii="Cambria Math" w:eastAsiaTheme="minorEastAsia" w:hAnsi="Cambria Math" w:cs="Arial"/>
                <w:sz w:val="24"/>
                <w:szCs w:val="24"/>
                <w:lang w:val="en-US"/>
              </w:rPr>
              <m:t>t</m:t>
            </m:r>
          </m:sub>
        </m:sSub>
        <m:r>
          <w:rPr>
            <w:rFonts w:ascii="Cambria Math" w:eastAsiaTheme="minorEastAsia" w:hAnsi="Cambria Math" w:cs="Arial"/>
            <w:sz w:val="24"/>
            <w:szCs w:val="24"/>
            <w:lang w:val="en-US"/>
          </w:rPr>
          <m:t>=</m:t>
        </m:r>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f</m:t>
            </m:r>
          </m:e>
          <m:sup>
            <m:r>
              <w:rPr>
                <w:rFonts w:ascii="Cambria Math" w:eastAsiaTheme="minorEastAsia" w:hAnsi="Cambria Math" w:cs="Arial"/>
                <w:sz w:val="24"/>
                <w:szCs w:val="24"/>
                <w:lang w:val="en-US"/>
              </w:rPr>
              <m:t>*</m:t>
            </m:r>
          </m:sup>
        </m:sSup>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x</m:t>
                </m:r>
              </m:e>
              <m:sub>
                <m:r>
                  <w:rPr>
                    <w:rFonts w:ascii="Cambria Math" w:eastAsiaTheme="minorEastAsia" w:hAnsi="Cambria Math" w:cs="Arial"/>
                    <w:sz w:val="24"/>
                    <w:szCs w:val="24"/>
                    <w:lang w:val="en-US"/>
                  </w:rPr>
                  <m:t>t</m:t>
                </m:r>
              </m:sub>
            </m:sSub>
          </m:e>
        </m:d>
      </m:oMath>
      <w:r w:rsidRPr="00483C48">
        <w:rPr>
          <w:rFonts w:eastAsiaTheme="minorEastAsia" w:cs="Arial"/>
          <w:sz w:val="24"/>
          <w:szCs w:val="24"/>
          <w:lang w:val="en-US"/>
        </w:rPr>
        <w:t>.</w:t>
      </w:r>
    </w:p>
    <w:p w14:paraId="41E89932" w14:textId="7033032C" w:rsidR="00483C48" w:rsidRPr="00483C48" w:rsidRDefault="00483C48" w:rsidP="00483C48">
      <w:pPr>
        <w:spacing w:before="120" w:after="120" w:line="360" w:lineRule="auto"/>
        <w:jc w:val="both"/>
        <w:rPr>
          <w:rFonts w:eastAsiaTheme="minorEastAsia" w:cs="Arial"/>
          <w:sz w:val="24"/>
          <w:szCs w:val="24"/>
          <w:lang w:val="en-US"/>
        </w:rPr>
      </w:pPr>
      <w:r w:rsidRPr="00483C48">
        <w:rPr>
          <w:rFonts w:eastAsiaTheme="minorEastAsia" w:cs="Arial"/>
          <w:sz w:val="24"/>
          <w:szCs w:val="24"/>
          <w:lang w:val="en-US"/>
        </w:rPr>
        <w:t>This methodology is particularly suited for the present analysis for three key reasons. First, the monthly training targets align with the same underlying daily processes that generate the high-frequency predictors, ensuring internal consistency. Second, distributional tests confirm that the aggregated daily predictors are statistically comparable to their monthly counterparts, validating the mixed-frequency alignment.</w:t>
      </w:r>
      <w:r w:rsidR="00A86D28">
        <w:rPr>
          <w:rStyle w:val="Refdenotaalpie"/>
          <w:rFonts w:eastAsiaTheme="minorEastAsia" w:cs="Arial"/>
          <w:sz w:val="24"/>
          <w:szCs w:val="24"/>
          <w:lang w:val="en-US"/>
        </w:rPr>
        <w:footnoteReference w:id="10"/>
      </w:r>
      <w:r w:rsidRPr="00483C48">
        <w:rPr>
          <w:rFonts w:eastAsiaTheme="minorEastAsia" w:cs="Arial"/>
          <w:sz w:val="24"/>
          <w:szCs w:val="24"/>
          <w:lang w:val="en-US"/>
        </w:rPr>
        <w:t xml:space="preserve"> Third, the absence of prior feature selection allows us to fully leverage the informational richness of wholesale prices, financial indicators, and commodity prices—critical in Bolivia’s evolving USDT/BOB parallel market, where structural relationships may be subject to rapid changes.</w:t>
      </w:r>
    </w:p>
    <w:p w14:paraId="07E7C878" w14:textId="311554CF" w:rsidR="00483C48" w:rsidRPr="00483C48" w:rsidRDefault="00483C48" w:rsidP="00483C48">
      <w:pPr>
        <w:spacing w:before="120" w:after="120" w:line="360" w:lineRule="auto"/>
        <w:jc w:val="both"/>
        <w:rPr>
          <w:rFonts w:eastAsiaTheme="minorEastAsia" w:cs="Arial"/>
          <w:sz w:val="24"/>
          <w:szCs w:val="24"/>
          <w:lang w:val="en-US"/>
        </w:rPr>
      </w:pPr>
      <w:r w:rsidRPr="00483C48">
        <w:rPr>
          <w:rFonts w:eastAsiaTheme="minorEastAsia" w:cs="Arial"/>
          <w:sz w:val="24"/>
          <w:szCs w:val="24"/>
          <w:lang w:val="en-US"/>
        </w:rPr>
        <w:t>Appendix</w:t>
      </w:r>
      <w:r w:rsidR="00A86D28">
        <w:rPr>
          <w:rFonts w:eastAsiaTheme="minorEastAsia" w:cs="Arial"/>
          <w:sz w:val="24"/>
          <w:szCs w:val="24"/>
          <w:lang w:val="en-US"/>
        </w:rPr>
        <w:t xml:space="preserve"> A</w:t>
      </w:r>
      <w:r w:rsidRPr="00483C48">
        <w:rPr>
          <w:rFonts w:eastAsiaTheme="minorEastAsia" w:cs="Arial"/>
          <w:sz w:val="24"/>
          <w:szCs w:val="24"/>
          <w:lang w:val="en-US"/>
        </w:rPr>
        <w:t xml:space="preserve"> presents the resulting daily-frequency CPI inflation estimates from January 2010 to April 2025, alongside forecast evaluation metrics. On the validation set, the final model achieves an MSE of 0.154 and an </w:t>
      </w:r>
      <m:oMath>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R</m:t>
            </m:r>
          </m:e>
          <m:sup>
            <m:r>
              <w:rPr>
                <w:rFonts w:ascii="Cambria Math" w:eastAsiaTheme="minorEastAsia" w:hAnsi="Cambria Math" w:cs="Arial"/>
                <w:sz w:val="24"/>
                <w:szCs w:val="24"/>
                <w:lang w:val="en-US"/>
              </w:rPr>
              <m:t>2</m:t>
            </m:r>
          </m:sup>
        </m:sSup>
      </m:oMath>
      <w:r w:rsidRPr="00483C48">
        <w:rPr>
          <w:rFonts w:eastAsiaTheme="minorEastAsia" w:cs="Arial"/>
          <w:sz w:val="24"/>
          <w:szCs w:val="24"/>
          <w:lang w:val="en-US"/>
        </w:rPr>
        <w:t xml:space="preserve"> of 0.974, indicating strong predictive accuracy.</w:t>
      </w:r>
    </w:p>
    <w:p w14:paraId="3D3A7ADE" w14:textId="7ABCF742" w:rsidR="00495AEE" w:rsidRDefault="00E635D3" w:rsidP="00495AEE">
      <w:pPr>
        <w:pStyle w:val="Prrafodelista"/>
        <w:numPr>
          <w:ilvl w:val="1"/>
          <w:numId w:val="1"/>
        </w:numPr>
        <w:spacing w:before="120" w:after="120" w:line="360" w:lineRule="auto"/>
        <w:jc w:val="both"/>
        <w:rPr>
          <w:rFonts w:cs="Arial"/>
          <w:b/>
          <w:bCs/>
          <w:sz w:val="24"/>
          <w:szCs w:val="24"/>
          <w:lang w:val="en-US"/>
        </w:rPr>
      </w:pPr>
      <w:r w:rsidRPr="00E635D3">
        <w:rPr>
          <w:rFonts w:cs="Arial"/>
          <w:b/>
          <w:bCs/>
          <w:sz w:val="24"/>
          <w:szCs w:val="24"/>
          <w:lang w:val="en-US"/>
        </w:rPr>
        <w:t>Daily-Frequency BSVAR Model</w:t>
      </w:r>
    </w:p>
    <w:p w14:paraId="01689FE0" w14:textId="09B729D8" w:rsidR="00E635D3" w:rsidRDefault="00E635D3" w:rsidP="00E635D3">
      <w:pPr>
        <w:spacing w:before="120" w:after="120" w:line="360" w:lineRule="auto"/>
        <w:jc w:val="both"/>
        <w:rPr>
          <w:rFonts w:cs="Arial"/>
          <w:sz w:val="24"/>
          <w:szCs w:val="24"/>
          <w:lang w:val="en-US"/>
        </w:rPr>
      </w:pPr>
      <w:r w:rsidRPr="00E635D3">
        <w:rPr>
          <w:rFonts w:cs="Arial"/>
          <w:sz w:val="24"/>
          <w:szCs w:val="24"/>
          <w:lang w:val="en-US"/>
        </w:rPr>
        <w:t xml:space="preserve">This subsection presents the specification and identification strategy of the Bayesian Structural Vector Autoregressive (BSVAR) model, which empirically evaluates the high-frequency interactions between economic uncertainty sentiment, the cryptocurrency-based parallel exchange rate, and inflation. The endogenous variables, observed daily from January 1, 2023, to April 11, 2025, are defined as follows: (i) the year-on-year depreciation of the BOB/USDT exchange rate, </w:t>
      </w:r>
      <m:oMath>
        <m:r>
          <w:rPr>
            <w:rFonts w:ascii="Cambria Math" w:hAnsi="Cambria Math" w:cs="Arial"/>
            <w:sz w:val="24"/>
            <w:szCs w:val="24"/>
            <w:lang w:val="en-US"/>
          </w:rPr>
          <m:t>e</m:t>
        </m:r>
      </m:oMath>
      <w:r w:rsidRPr="00E635D3">
        <w:rPr>
          <w:rFonts w:cs="Arial"/>
          <w:sz w:val="24"/>
          <w:szCs w:val="24"/>
          <w:lang w:val="en-US"/>
        </w:rPr>
        <w:t xml:space="preserve">; (ii) the standardized economic uncertainty sentiment index (expressed in standard deviation units), </w:t>
      </w:r>
      <m:oMath>
        <m:r>
          <w:rPr>
            <w:rFonts w:ascii="Cambria Math" w:hAnsi="Cambria Math" w:cs="Arial"/>
            <w:sz w:val="24"/>
            <w:szCs w:val="24"/>
            <w:lang w:val="en-US"/>
          </w:rPr>
          <m:t>s</m:t>
        </m:r>
      </m:oMath>
      <w:r w:rsidRPr="00E635D3">
        <w:rPr>
          <w:rFonts w:cs="Arial"/>
          <w:sz w:val="24"/>
          <w:szCs w:val="24"/>
          <w:lang w:val="en-US"/>
        </w:rPr>
        <w:t xml:space="preserve">; and (iii) daily year-on-year inflation estimates for Bolivia, </w:t>
      </w:r>
      <m:oMath>
        <m:acc>
          <m:accPr>
            <m:ctrlPr>
              <w:rPr>
                <w:rFonts w:ascii="Cambria Math" w:hAnsi="Cambria Math" w:cs="Arial"/>
                <w:sz w:val="24"/>
                <w:szCs w:val="24"/>
                <w:lang w:val="en-US"/>
              </w:rPr>
            </m:ctrlPr>
          </m:accPr>
          <m:e>
            <m:r>
              <m:rPr>
                <m:sty m:val="p"/>
              </m:rPr>
              <w:rPr>
                <w:rFonts w:ascii="Cambria Math" w:hAnsi="Cambria Math" w:cs="Arial"/>
                <w:sz w:val="24"/>
                <w:szCs w:val="24"/>
                <w:lang w:val="en-US"/>
              </w:rPr>
              <m:t>π</m:t>
            </m:r>
          </m:e>
        </m:acc>
      </m:oMath>
      <w:r w:rsidRPr="00E635D3">
        <w:rPr>
          <w:rFonts w:cs="Arial"/>
          <w:sz w:val="24"/>
          <w:szCs w:val="24"/>
          <w:lang w:val="en-US"/>
        </w:rPr>
        <w:t>. The model incorporates nine lags, as determined by the Akaike Information Criterion (AIC), which accounts for both weekly cycles and short-term persistence inherent in daily data.</w:t>
      </w:r>
    </w:p>
    <w:p w14:paraId="1CBA2D1F" w14:textId="37E9609B" w:rsidR="002B7067" w:rsidRDefault="002B7067" w:rsidP="00E635D3">
      <w:pPr>
        <w:spacing w:before="120" w:after="120" w:line="360" w:lineRule="auto"/>
        <w:jc w:val="both"/>
        <w:rPr>
          <w:rFonts w:cs="Arial"/>
          <w:sz w:val="24"/>
          <w:szCs w:val="24"/>
          <w:lang w:val="en-US"/>
        </w:rPr>
      </w:pPr>
      <w:r w:rsidRPr="002B7067">
        <w:rPr>
          <w:rFonts w:cs="Arial"/>
          <w:b/>
          <w:bCs/>
          <w:sz w:val="24"/>
          <w:szCs w:val="24"/>
          <w:lang w:val="en-US"/>
        </w:rPr>
        <w:t>BSVAR Model Specification:</w:t>
      </w:r>
      <w:r w:rsidRPr="002B7067">
        <w:rPr>
          <w:rFonts w:cs="Arial"/>
          <w:sz w:val="24"/>
          <w:szCs w:val="24"/>
          <w:lang w:val="en-US"/>
        </w:rPr>
        <w:t xml:space="preserve"> The reduced-form VAR is specified as:</w:t>
      </w:r>
    </w:p>
    <w:p w14:paraId="25D4955F" w14:textId="13CF9AF2" w:rsidR="002B7067" w:rsidRPr="002B7067" w:rsidRDefault="00000000" w:rsidP="00E635D3">
      <w:pPr>
        <w:spacing w:before="120" w:after="120" w:line="360" w:lineRule="auto"/>
        <w:jc w:val="both"/>
        <w:rPr>
          <w:rFonts w:eastAsiaTheme="minorEastAsia" w:cs="Arial"/>
          <w:sz w:val="24"/>
          <w:szCs w:val="24"/>
          <w:lang w:val="en-US"/>
        </w:rPr>
      </w:pPr>
      <m:oMathPara>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t</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1</m:t>
              </m:r>
            </m:sub>
          </m:sSub>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t-1</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2</m:t>
              </m:r>
            </m:sub>
          </m:sSub>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t-2</m:t>
              </m:r>
            </m:sub>
          </m:sSub>
          <m:r>
            <w:rPr>
              <w:rFonts w:ascii="Cambria Math" w:hAnsi="Cambria Math" w:cs="Arial"/>
              <w:sz w:val="24"/>
              <w:szCs w:val="24"/>
              <w:lang w:val="en-US"/>
            </w:rPr>
            <m:t>+</m:t>
          </m:r>
          <m:r>
            <m:rPr>
              <m:sty m:val="p"/>
            </m:rPr>
            <w:rPr>
              <w:rFonts w:ascii="Cambria Math" w:hAnsi="Cambria Math" w:cs="Arial"/>
              <w:sz w:val="24"/>
              <w:szCs w:val="24"/>
              <w:lang w:val="en-US"/>
            </w:rPr>
            <m:t>⋯</m:t>
          </m:r>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9</m:t>
              </m:r>
            </m:sub>
          </m:sSub>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t-9</m:t>
              </m:r>
            </m:sub>
          </m:sSub>
          <m:r>
            <w:rPr>
              <w:rFonts w:ascii="Cambria Math" w:hAnsi="Cambria Math" w:cs="Arial"/>
              <w:sz w:val="24"/>
              <w:szCs w:val="24"/>
              <w:lang w:val="en-US"/>
            </w:rPr>
            <m:t>+c+</m:t>
          </m:r>
          <m:sSub>
            <m:sSubPr>
              <m:ctrlPr>
                <w:rPr>
                  <w:rFonts w:ascii="Cambria Math" w:hAnsi="Cambria Math" w:cs="Arial"/>
                  <w:i/>
                  <w:sz w:val="24"/>
                  <w:szCs w:val="24"/>
                  <w:lang w:val="en-US"/>
                </w:rPr>
              </m:ctrlPr>
            </m:sSubPr>
            <m:e>
              <m:r>
                <m:rPr>
                  <m:sty m:val="p"/>
                </m:rPr>
                <w:rPr>
                  <w:rFonts w:ascii="Cambria Math" w:hAnsi="Cambria Math" w:cs="Arial"/>
                  <w:sz w:val="24"/>
                  <w:szCs w:val="24"/>
                  <w:lang w:val="en-US"/>
                </w:rPr>
                <m:t>ε</m:t>
              </m:r>
            </m:e>
            <m:sub>
              <m:r>
                <w:rPr>
                  <w:rFonts w:ascii="Cambria Math" w:hAnsi="Cambria Math" w:cs="Arial"/>
                  <w:sz w:val="24"/>
                  <w:szCs w:val="24"/>
                  <w:lang w:val="en-US"/>
                </w:rPr>
                <m:t>t</m:t>
              </m:r>
            </m:sub>
          </m:sSub>
        </m:oMath>
      </m:oMathPara>
    </w:p>
    <w:p w14:paraId="07898450" w14:textId="423CA8A5" w:rsidR="002B7067" w:rsidRPr="002B7067" w:rsidRDefault="002B7067" w:rsidP="002B7067">
      <w:pPr>
        <w:spacing w:before="120" w:after="120" w:line="360" w:lineRule="auto"/>
        <w:jc w:val="both"/>
        <w:rPr>
          <w:rFonts w:cs="Arial"/>
          <w:sz w:val="24"/>
          <w:szCs w:val="24"/>
          <w:lang w:val="en-US"/>
        </w:rPr>
      </w:pPr>
      <w:r w:rsidRPr="002B7067">
        <w:rPr>
          <w:rFonts w:cs="Arial"/>
          <w:sz w:val="24"/>
          <w:szCs w:val="24"/>
          <w:lang w:val="en-US"/>
        </w:rPr>
        <w:t xml:space="preserve">where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t</m:t>
            </m:r>
          </m:sub>
        </m:sSub>
        <m:r>
          <w:rPr>
            <w:rFonts w:ascii="Cambria Math" w:hAnsi="Cambria Math" w:cs="Arial"/>
            <w:sz w:val="24"/>
            <w:szCs w:val="24"/>
            <w:lang w:val="en-US"/>
          </w:rPr>
          <m:t>=</m:t>
        </m:r>
        <m:sSup>
          <m:sSupPr>
            <m:ctrlPr>
              <w:rPr>
                <w:rFonts w:ascii="Cambria Math" w:hAnsi="Cambria Math" w:cs="Arial"/>
                <w:i/>
                <w:sz w:val="24"/>
                <w:szCs w:val="24"/>
                <w:lang w:val="en-US"/>
              </w:rPr>
            </m:ctrlPr>
          </m:sSupPr>
          <m:e>
            <m:d>
              <m:dPr>
                <m:begChr m:val="["/>
                <m:endChr m:val="]"/>
                <m:ctrlPr>
                  <w:rPr>
                    <w:rFonts w:ascii="Cambria Math" w:hAnsi="Cambria Math" w:cs="Arial"/>
                    <w:i/>
                    <w:sz w:val="24"/>
                    <w:szCs w:val="24"/>
                    <w:lang w:val="en-US"/>
                  </w:rPr>
                </m:ctrlPr>
              </m:dPr>
              <m:e>
                <m:r>
                  <w:rPr>
                    <w:rFonts w:ascii="Cambria Math" w:hAnsi="Cambria Math" w:cs="Arial"/>
                    <w:sz w:val="24"/>
                    <w:szCs w:val="24"/>
                    <w:lang w:val="en-US"/>
                  </w:rPr>
                  <m:t>s, e, </m:t>
                </m:r>
                <m:acc>
                  <m:accPr>
                    <m:ctrlPr>
                      <w:rPr>
                        <w:rFonts w:ascii="Cambria Math" w:hAnsi="Cambria Math" w:cs="Arial"/>
                        <w:sz w:val="24"/>
                        <w:szCs w:val="24"/>
                        <w:lang w:val="en-US"/>
                      </w:rPr>
                    </m:ctrlPr>
                  </m:accPr>
                  <m:e>
                    <m:r>
                      <m:rPr>
                        <m:sty m:val="p"/>
                      </m:rPr>
                      <w:rPr>
                        <w:rFonts w:ascii="Cambria Math" w:hAnsi="Cambria Math" w:cs="Arial"/>
                        <w:sz w:val="24"/>
                        <w:szCs w:val="24"/>
                        <w:lang w:val="en-US"/>
                      </w:rPr>
                      <m:t>π</m:t>
                    </m:r>
                  </m:e>
                </m:acc>
              </m:e>
            </m:d>
          </m:e>
          <m:sup>
            <m:r>
              <w:rPr>
                <w:rFonts w:ascii="Cambria Math" w:hAnsi="Cambria Math" w:cs="Arial"/>
                <w:sz w:val="24"/>
                <w:szCs w:val="24"/>
                <w:lang w:val="en-US"/>
              </w:rPr>
              <m:t>'</m:t>
            </m:r>
          </m:sup>
        </m:sSup>
      </m:oMath>
      <w:r>
        <w:rPr>
          <w:rFonts w:eastAsiaTheme="minorEastAsia" w:cs="Arial"/>
          <w:sz w:val="24"/>
          <w:szCs w:val="24"/>
          <w:lang w:val="en-US"/>
        </w:rPr>
        <w:t xml:space="preserve"> </w:t>
      </w:r>
      <w:r w:rsidRPr="002B7067">
        <w:rPr>
          <w:rFonts w:cs="Arial"/>
          <w:sz w:val="24"/>
          <w:szCs w:val="24"/>
          <w:lang w:val="en-US"/>
        </w:rPr>
        <w:t xml:space="preserve">and </w:t>
      </w:r>
      <m:oMath>
        <m:sSub>
          <m:sSubPr>
            <m:ctrlPr>
              <w:rPr>
                <w:rFonts w:ascii="Cambria Math" w:hAnsi="Cambria Math" w:cs="Arial"/>
                <w:i/>
                <w:sz w:val="24"/>
                <w:szCs w:val="24"/>
                <w:lang w:val="en-US"/>
              </w:rPr>
            </m:ctrlPr>
          </m:sSubPr>
          <m:e>
            <m:r>
              <m:rPr>
                <m:sty m:val="p"/>
              </m:rPr>
              <w:rPr>
                <w:rFonts w:ascii="Cambria Math" w:hAnsi="Cambria Math" w:cs="Arial"/>
                <w:sz w:val="24"/>
                <w:szCs w:val="24"/>
                <w:lang w:val="en-US"/>
              </w:rPr>
              <m:t>ε</m:t>
            </m:r>
            <m:ctrlPr>
              <w:rPr>
                <w:rFonts w:ascii="Cambria Math" w:hAnsi="Cambria Math" w:cs="Arial"/>
                <w:sz w:val="24"/>
                <w:szCs w:val="24"/>
                <w:lang w:val="en-US"/>
              </w:rPr>
            </m:ctrlPr>
          </m:e>
          <m:sub>
            <m:r>
              <w:rPr>
                <w:rFonts w:ascii="Cambria Math" w:hAnsi="Cambria Math" w:cs="Arial"/>
                <w:sz w:val="24"/>
                <w:szCs w:val="24"/>
                <w:lang w:val="en-US"/>
              </w:rPr>
              <m:t>t</m:t>
            </m:r>
          </m:sub>
        </m:sSub>
      </m:oMath>
      <w:r w:rsidRPr="002B7067">
        <w:rPr>
          <w:rFonts w:cs="Arial"/>
          <w:sz w:val="24"/>
          <w:szCs w:val="24"/>
          <w:lang w:val="en-US"/>
        </w:rPr>
        <w:t xml:space="preserve"> is the vector of reduced-form residuals. The Bayesian framework is adopted due to the relatively short time span of the daily dataset, ensuring robust </w:t>
      </w:r>
      <w:r w:rsidRPr="002B7067">
        <w:rPr>
          <w:rFonts w:cs="Arial"/>
          <w:sz w:val="24"/>
          <w:szCs w:val="24"/>
          <w:lang w:val="en-US"/>
        </w:rPr>
        <w:lastRenderedPageBreak/>
        <w:t xml:space="preserve">estimation through the incorporation of prior information. We employ the Hierarchical Minnesota prior, following </w:t>
      </w:r>
      <w:r w:rsidRPr="002B7067">
        <w:rPr>
          <w:rFonts w:cs="Arial"/>
          <w:color w:val="0000CC"/>
          <w:sz w:val="24"/>
          <w:szCs w:val="24"/>
          <w:lang w:val="en-US"/>
        </w:rPr>
        <w:t xml:space="preserve">Giannone et al. </w:t>
      </w:r>
      <w:r w:rsidRPr="002B7067">
        <w:rPr>
          <w:rFonts w:cs="Arial"/>
          <w:sz w:val="24"/>
          <w:szCs w:val="24"/>
          <w:lang w:val="en-US"/>
        </w:rPr>
        <w:t>(</w:t>
      </w:r>
      <w:r w:rsidRPr="002B7067">
        <w:rPr>
          <w:rFonts w:cs="Arial"/>
          <w:color w:val="0000CC"/>
          <w:sz w:val="24"/>
          <w:szCs w:val="24"/>
          <w:lang w:val="en-US"/>
        </w:rPr>
        <w:t>2015</w:t>
      </w:r>
      <w:r w:rsidRPr="002B7067">
        <w:rPr>
          <w:rFonts w:cs="Arial"/>
          <w:sz w:val="24"/>
          <w:szCs w:val="24"/>
          <w:lang w:val="en-US"/>
        </w:rPr>
        <w:t>), which shrinks higher-order lag coefficients toward zero while allowing for persistence in highly autocorrelated series. This approach mitigates overfitting risks and stabilizes parameter estimates under potential near-unit-root behavior.</w:t>
      </w:r>
    </w:p>
    <w:p w14:paraId="7A41477D" w14:textId="5566ADBA" w:rsidR="002B7067" w:rsidRDefault="002B7067" w:rsidP="002B7067">
      <w:pPr>
        <w:spacing w:before="120" w:after="120" w:line="360" w:lineRule="auto"/>
        <w:jc w:val="both"/>
        <w:rPr>
          <w:rFonts w:cs="Arial"/>
          <w:sz w:val="24"/>
          <w:szCs w:val="24"/>
          <w:lang w:val="en-US"/>
        </w:rPr>
      </w:pPr>
      <w:r w:rsidRPr="002B7067">
        <w:rPr>
          <w:rFonts w:cs="Arial"/>
          <w:sz w:val="24"/>
          <w:szCs w:val="24"/>
          <w:lang w:val="en-US"/>
        </w:rPr>
        <w:t xml:space="preserve">Estimation is conducted via Markov Chain Monte Carlo (MCMC) sampling, drawing from the posterior distributions of the VAR parameters and structural shocks. A sufficiently large number of posterior draws (i.e., 50,000 after 5,000 burn-in and thinning) ensures convergence and reliable inference. The reduced-form parameter posterior follows a conjugate Normal-Inverse-Wishart distribution, while structural identification is achieved through post-estimation rotation methods consistent with the imposed restrictions, as outlined by </w:t>
      </w:r>
      <w:r w:rsidRPr="002B7067">
        <w:rPr>
          <w:rFonts w:cs="Arial"/>
          <w:color w:val="0000CC"/>
          <w:sz w:val="24"/>
          <w:szCs w:val="24"/>
          <w:lang w:val="en-US"/>
        </w:rPr>
        <w:t xml:space="preserve">Arias et al. </w:t>
      </w:r>
      <w:r w:rsidRPr="002B7067">
        <w:rPr>
          <w:rFonts w:cs="Arial"/>
          <w:sz w:val="24"/>
          <w:szCs w:val="24"/>
          <w:lang w:val="en-US"/>
        </w:rPr>
        <w:t>(</w:t>
      </w:r>
      <w:r w:rsidRPr="002B7067">
        <w:rPr>
          <w:rFonts w:cs="Arial"/>
          <w:color w:val="0000CC"/>
          <w:sz w:val="24"/>
          <w:szCs w:val="24"/>
          <w:lang w:val="en-US"/>
        </w:rPr>
        <w:t>2018</w:t>
      </w:r>
      <w:r w:rsidRPr="002B7067">
        <w:rPr>
          <w:rFonts w:cs="Arial"/>
          <w:sz w:val="24"/>
          <w:szCs w:val="24"/>
          <w:lang w:val="en-US"/>
        </w:rPr>
        <w:t>).</w:t>
      </w:r>
    </w:p>
    <w:p w14:paraId="7DABD158" w14:textId="4F470717" w:rsidR="002B7067" w:rsidRPr="002B7067" w:rsidRDefault="002B7067" w:rsidP="002B7067">
      <w:pPr>
        <w:spacing w:before="120" w:after="120" w:line="360" w:lineRule="auto"/>
        <w:jc w:val="both"/>
        <w:rPr>
          <w:rFonts w:cs="Arial"/>
          <w:sz w:val="24"/>
          <w:szCs w:val="24"/>
          <w:lang w:val="en-US"/>
        </w:rPr>
      </w:pPr>
      <w:r w:rsidRPr="002B7067">
        <w:rPr>
          <w:rFonts w:cs="Arial"/>
          <w:b/>
          <w:bCs/>
          <w:sz w:val="24"/>
          <w:szCs w:val="24"/>
          <w:lang w:val="en-US"/>
        </w:rPr>
        <w:t>Structural Shock Identification Scheme (Sign and Zero Restrictions):</w:t>
      </w:r>
      <w:r w:rsidRPr="002B7067">
        <w:rPr>
          <w:rFonts w:cs="Arial"/>
          <w:sz w:val="24"/>
          <w:szCs w:val="24"/>
          <w:lang w:val="en-US"/>
        </w:rPr>
        <w:t xml:space="preserve"> To identify structural shocks, we impose contemporaneous sign and zero restrictions on the impact responses, consistent with the theoretical framework. Three structural shocks are identified: (i) an Uncertainty Sentiment shock, (ii) a Cryptocurrency-based Exchange rate shock, and (iii) a Supply Inflation shock. Restrictions are applied to the immediate (impact) responses as follows:</w:t>
      </w:r>
    </w:p>
    <w:p w14:paraId="7555398D" w14:textId="1C42EA45" w:rsidR="002B7067" w:rsidRDefault="002B7067" w:rsidP="002B7067">
      <w:pPr>
        <w:spacing w:before="120" w:after="120" w:line="360" w:lineRule="auto"/>
        <w:jc w:val="both"/>
        <w:rPr>
          <w:rFonts w:cs="Arial"/>
          <w:sz w:val="24"/>
          <w:szCs w:val="24"/>
          <w:lang w:val="en-US"/>
        </w:rPr>
      </w:pPr>
      <w:r w:rsidRPr="002B7067">
        <w:rPr>
          <w:rFonts w:cs="Arial"/>
          <w:sz w:val="24"/>
          <w:szCs w:val="24"/>
          <w:lang w:val="en-US"/>
        </w:rPr>
        <w:t>For the sentiment shock, we impose a positive sign on the exchange rate response, capturing the depreciation of the BOB in response to rising uncertainty. This reflects the mechanism where heightened uncertainty induces capital outflows or dollar hoarding, depreciating the local currency (Glebocki and Saha, 2024</w:t>
      </w:r>
      <w:r>
        <w:rPr>
          <w:rFonts w:cs="Arial"/>
          <w:sz w:val="24"/>
          <w:szCs w:val="24"/>
          <w:lang w:val="en-US"/>
        </w:rPr>
        <w:t>)</w:t>
      </w:r>
      <w:r w:rsidRPr="002B7067">
        <w:rPr>
          <w:rFonts w:cs="Arial"/>
          <w:sz w:val="24"/>
          <w:szCs w:val="24"/>
          <w:lang w:val="en-US"/>
        </w:rPr>
        <w:t>. The impact on inflation remains unrestricted, recognizing the ambiguous short-run effects of uncertainty on prices, while the sentiment index itself rises by construction.</w:t>
      </w:r>
    </w:p>
    <w:p w14:paraId="20A58219" w14:textId="3721E001" w:rsidR="002B7067" w:rsidRPr="002B7067" w:rsidRDefault="002B7067" w:rsidP="002B7067">
      <w:pPr>
        <w:spacing w:before="120" w:after="120" w:line="360" w:lineRule="auto"/>
        <w:jc w:val="both"/>
        <w:rPr>
          <w:rFonts w:cs="Arial"/>
          <w:sz w:val="24"/>
          <w:szCs w:val="24"/>
          <w:lang w:val="en-US"/>
        </w:rPr>
      </w:pPr>
      <w:r w:rsidRPr="002B7067">
        <w:rPr>
          <w:rFonts w:cs="Arial"/>
          <w:sz w:val="24"/>
          <w:szCs w:val="24"/>
          <w:lang w:val="en-US"/>
        </w:rPr>
        <w:t>For the cryptocurrency-based exchange rate shock, we impose a positive sign on inflation, reflecting exchange rate pass-through effects, and a zero restriction on the sentiment index, assuming that contemporaneous exchange rate fluctuations do not immediately alter uncertainty sentiment. This distinction allows for delayed sentiment responses, isolating the direct inflationary impact of exchange rate shocks.</w:t>
      </w:r>
    </w:p>
    <w:p w14:paraId="0BFA3A27" w14:textId="087CCF1A" w:rsidR="002B7067" w:rsidRDefault="002B7067" w:rsidP="002B7067">
      <w:pPr>
        <w:spacing w:before="120" w:after="120" w:line="360" w:lineRule="auto"/>
        <w:jc w:val="both"/>
        <w:rPr>
          <w:rFonts w:cs="Arial"/>
          <w:sz w:val="24"/>
          <w:szCs w:val="24"/>
          <w:lang w:val="en-US"/>
        </w:rPr>
      </w:pPr>
      <w:r w:rsidRPr="002B7067">
        <w:rPr>
          <w:rFonts w:cs="Arial"/>
          <w:sz w:val="24"/>
          <w:szCs w:val="24"/>
          <w:lang w:val="en-US"/>
        </w:rPr>
        <w:lastRenderedPageBreak/>
        <w:t>For the supply inflation shock, which captures price pressures unrelated to sentiment or exchange rate movements (e.g., supply shocks), we impose zero restrictions on the immediate responses of both the exchange rate and sentiment index, ensuring that this shock exclusively affects inflation contemporaneously.</w:t>
      </w:r>
    </w:p>
    <w:p w14:paraId="45B5BFDE" w14:textId="0ADD196B" w:rsidR="002B7067" w:rsidRDefault="002B7067" w:rsidP="002B7067">
      <w:pPr>
        <w:spacing w:before="120" w:after="120" w:line="360" w:lineRule="auto"/>
        <w:jc w:val="both"/>
        <w:rPr>
          <w:rFonts w:cs="Arial"/>
          <w:sz w:val="24"/>
          <w:szCs w:val="24"/>
          <w:lang w:val="en-US"/>
        </w:rPr>
      </w:pPr>
      <w:r w:rsidRPr="002B7067">
        <w:rPr>
          <w:rFonts w:cs="Arial"/>
          <w:sz w:val="24"/>
          <w:szCs w:val="24"/>
          <w:lang w:val="en-US"/>
        </w:rPr>
        <w:t>Formally, these on-impact restrictions are expressed as:</w:t>
      </w:r>
    </w:p>
    <w:p w14:paraId="240CC329" w14:textId="1B0B894C" w:rsidR="002B7067" w:rsidRPr="004F3F66" w:rsidRDefault="00000000" w:rsidP="002B7067">
      <w:pPr>
        <w:spacing w:before="120" w:after="120" w:line="360" w:lineRule="auto"/>
        <w:jc w:val="both"/>
        <w:rPr>
          <w:rFonts w:eastAsiaTheme="minorEastAsia" w:cs="Arial"/>
          <w:sz w:val="24"/>
          <w:szCs w:val="24"/>
          <w:lang w:val="en-US"/>
        </w:rPr>
      </w:pPr>
      <m:oMathPara>
        <m:oMath>
          <m:sSub>
            <m:sSubPr>
              <m:ctrlPr>
                <w:rPr>
                  <w:rFonts w:ascii="Cambria Math" w:hAnsi="Cambria Math" w:cs="Arial"/>
                  <w:i/>
                  <w:sz w:val="24"/>
                  <w:szCs w:val="24"/>
                  <w:lang w:val="en-US"/>
                </w:rPr>
              </m:ctrlPr>
            </m:sSubPr>
            <m:e>
              <m:r>
                <m:rPr>
                  <m:sty m:val="p"/>
                </m:rPr>
                <w:rPr>
                  <w:rFonts w:ascii="Cambria Math" w:hAnsi="Cambria Math" w:cs="Arial"/>
                  <w:sz w:val="24"/>
                  <w:szCs w:val="24"/>
                  <w:lang w:val="en-US"/>
                </w:rPr>
                <m:t>Θ</m:t>
              </m:r>
              <m:ctrlPr>
                <w:rPr>
                  <w:rFonts w:ascii="Cambria Math" w:hAnsi="Cambria Math" w:cs="Arial"/>
                  <w:sz w:val="24"/>
                  <w:szCs w:val="24"/>
                  <w:lang w:val="en-US"/>
                </w:rPr>
              </m:ctrlPr>
            </m:e>
            <m:sub>
              <m:r>
                <w:rPr>
                  <w:rFonts w:ascii="Cambria Math" w:hAnsi="Cambria Math" w:cs="Arial"/>
                  <w:sz w:val="24"/>
                  <w:szCs w:val="24"/>
                  <w:lang w:val="en-US"/>
                </w:rPr>
                <m:t>0</m:t>
              </m:r>
            </m:sub>
          </m:sSub>
          <m:d>
            <m:dPr>
              <m:ctrlPr>
                <w:rPr>
                  <w:rFonts w:ascii="Cambria Math" w:hAnsi="Cambria Math" w:cs="Arial"/>
                  <w:i/>
                  <w:sz w:val="24"/>
                  <w:szCs w:val="24"/>
                  <w:lang w:val="en-US"/>
                </w:rPr>
              </m:ctrlPr>
            </m:dPr>
            <m:e>
              <m:r>
                <m:rPr>
                  <m:nor/>
                </m:rPr>
                <w:rPr>
                  <w:rFonts w:ascii="Cambria Math" w:hAnsi="Cambria Math" w:cs="Arial"/>
                  <w:sz w:val="24"/>
                  <w:szCs w:val="24"/>
                  <w:lang w:val="en-US"/>
                </w:rPr>
                <m:t>sentiment shock</m:t>
              </m:r>
              <m:r>
                <m:rPr>
                  <m:sty m:val="p"/>
                </m:rPr>
                <w:rPr>
                  <w:rFonts w:ascii="Cambria Math" w:hAnsi="Cambria Math" w:cs="Arial"/>
                  <w:sz w:val="24"/>
                  <w:szCs w:val="24"/>
                  <w:lang w:val="en-US"/>
                </w:rPr>
                <m:t>→</m:t>
              </m:r>
              <m:r>
                <w:rPr>
                  <w:rFonts w:ascii="Cambria Math" w:hAnsi="Cambria Math" w:cs="Arial"/>
                  <w:sz w:val="24"/>
                  <w:szCs w:val="24"/>
                  <w:lang w:val="en-US"/>
                </w:rPr>
                <m:t>e</m:t>
              </m:r>
            </m:e>
          </m:d>
          <m:r>
            <w:rPr>
              <w:rFonts w:ascii="Cambria Math" w:hAnsi="Cambria Math" w:cs="Arial"/>
              <w:sz w:val="24"/>
              <w:szCs w:val="24"/>
              <w:lang w:val="en-US"/>
            </w:rPr>
            <m:t>&gt;0,</m:t>
          </m:r>
        </m:oMath>
      </m:oMathPara>
    </w:p>
    <w:p w14:paraId="3932DBE1" w14:textId="40B1083B" w:rsidR="004F3F66" w:rsidRPr="004F3F66" w:rsidRDefault="00000000" w:rsidP="002B7067">
      <w:pPr>
        <w:spacing w:before="120" w:after="120" w:line="360" w:lineRule="auto"/>
        <w:jc w:val="both"/>
        <w:rPr>
          <w:rFonts w:eastAsiaTheme="minorEastAsia" w:cs="Arial"/>
          <w:sz w:val="24"/>
          <w:szCs w:val="24"/>
          <w:lang w:val="en-US"/>
        </w:rPr>
      </w:pPr>
      <m:oMathPara>
        <m:oMath>
          <m:sSub>
            <m:sSubPr>
              <m:ctrlPr>
                <w:rPr>
                  <w:rFonts w:ascii="Cambria Math" w:hAnsi="Cambria Math" w:cs="Arial"/>
                  <w:i/>
                  <w:sz w:val="24"/>
                  <w:szCs w:val="24"/>
                  <w:lang w:val="en-US"/>
                </w:rPr>
              </m:ctrlPr>
            </m:sSubPr>
            <m:e>
              <m:r>
                <m:rPr>
                  <m:sty m:val="p"/>
                </m:rPr>
                <w:rPr>
                  <w:rFonts w:ascii="Cambria Math" w:hAnsi="Cambria Math" w:cs="Arial"/>
                  <w:sz w:val="24"/>
                  <w:szCs w:val="24"/>
                  <w:lang w:val="en-US"/>
                </w:rPr>
                <m:t>Θ</m:t>
              </m:r>
              <m:ctrlPr>
                <w:rPr>
                  <w:rFonts w:ascii="Cambria Math" w:hAnsi="Cambria Math" w:cs="Arial"/>
                  <w:sz w:val="24"/>
                  <w:szCs w:val="24"/>
                  <w:lang w:val="en-US"/>
                </w:rPr>
              </m:ctrlPr>
            </m:e>
            <m:sub>
              <m:r>
                <w:rPr>
                  <w:rFonts w:ascii="Cambria Math" w:hAnsi="Cambria Math" w:cs="Arial"/>
                  <w:sz w:val="24"/>
                  <w:szCs w:val="24"/>
                  <w:lang w:val="en-US"/>
                </w:rPr>
                <m:t>0</m:t>
              </m:r>
            </m:sub>
          </m:sSub>
          <m:d>
            <m:dPr>
              <m:ctrlPr>
                <w:rPr>
                  <w:rFonts w:ascii="Cambria Math" w:hAnsi="Cambria Math" w:cs="Arial"/>
                  <w:i/>
                  <w:sz w:val="24"/>
                  <w:szCs w:val="24"/>
                  <w:lang w:val="en-US"/>
                </w:rPr>
              </m:ctrlPr>
            </m:dPr>
            <m:e>
              <m:r>
                <m:rPr>
                  <m:nor/>
                </m:rPr>
                <w:rPr>
                  <w:rFonts w:ascii="Cambria Math" w:hAnsi="Cambria Math" w:cs="Arial"/>
                  <w:sz w:val="24"/>
                  <w:szCs w:val="24"/>
                  <w:lang w:val="en-US"/>
                </w:rPr>
                <m:t>exchange shock</m:t>
              </m:r>
              <m:r>
                <m:rPr>
                  <m:sty m:val="p"/>
                </m:rPr>
                <w:rPr>
                  <w:rFonts w:ascii="Cambria Math" w:hAnsi="Cambria Math" w:cs="Arial"/>
                  <w:sz w:val="24"/>
                  <w:szCs w:val="24"/>
                  <w:lang w:val="en-US"/>
                </w:rPr>
                <m:t>→π</m:t>
              </m:r>
            </m:e>
          </m:d>
          <m:r>
            <w:rPr>
              <w:rFonts w:ascii="Cambria Math" w:hAnsi="Cambria Math" w:cs="Arial"/>
              <w:sz w:val="24"/>
              <w:szCs w:val="24"/>
              <w:lang w:val="en-US"/>
            </w:rPr>
            <m:t>&gt;0,</m:t>
          </m:r>
          <m:r>
            <m:rPr>
              <m:sty m:val="p"/>
            </m:rPr>
            <w:rPr>
              <w:rFonts w:ascii="Cambria Math" w:hAnsi="Cambria Math" w:cs="Arial"/>
              <w:sz w:val="24"/>
              <w:szCs w:val="24"/>
              <w:lang w:val="en-US"/>
            </w:rPr>
            <m:t> </m:t>
          </m:r>
          <m:sSub>
            <m:sSubPr>
              <m:ctrlPr>
                <w:rPr>
                  <w:rFonts w:ascii="Cambria Math" w:hAnsi="Cambria Math" w:cs="Arial"/>
                  <w:i/>
                  <w:sz w:val="24"/>
                  <w:szCs w:val="24"/>
                  <w:lang w:val="en-US"/>
                </w:rPr>
              </m:ctrlPr>
            </m:sSubPr>
            <m:e>
              <m:r>
                <m:rPr>
                  <m:sty m:val="p"/>
                </m:rPr>
                <w:rPr>
                  <w:rFonts w:ascii="Cambria Math" w:hAnsi="Cambria Math" w:cs="Arial"/>
                  <w:sz w:val="24"/>
                  <w:szCs w:val="24"/>
                  <w:lang w:val="en-US"/>
                </w:rPr>
                <m:t>Θ</m:t>
              </m:r>
              <m:ctrlPr>
                <w:rPr>
                  <w:rFonts w:ascii="Cambria Math" w:hAnsi="Cambria Math" w:cs="Arial"/>
                  <w:sz w:val="24"/>
                  <w:szCs w:val="24"/>
                  <w:lang w:val="en-US"/>
                </w:rPr>
              </m:ctrlPr>
            </m:e>
            <m:sub>
              <m:r>
                <w:rPr>
                  <w:rFonts w:ascii="Cambria Math" w:hAnsi="Cambria Math" w:cs="Arial"/>
                  <w:sz w:val="24"/>
                  <w:szCs w:val="24"/>
                  <w:lang w:val="en-US"/>
                </w:rPr>
                <m:t>0</m:t>
              </m:r>
            </m:sub>
          </m:sSub>
          <m:d>
            <m:dPr>
              <m:ctrlPr>
                <w:rPr>
                  <w:rFonts w:ascii="Cambria Math" w:hAnsi="Cambria Math" w:cs="Arial"/>
                  <w:i/>
                  <w:sz w:val="24"/>
                  <w:szCs w:val="24"/>
                  <w:lang w:val="en-US"/>
                </w:rPr>
              </m:ctrlPr>
            </m:dPr>
            <m:e>
              <m:r>
                <m:rPr>
                  <m:nor/>
                </m:rPr>
                <w:rPr>
                  <w:rFonts w:ascii="Cambria Math" w:hAnsi="Cambria Math" w:cs="Arial"/>
                  <w:sz w:val="24"/>
                  <w:szCs w:val="24"/>
                  <w:lang w:val="en-US"/>
                </w:rPr>
                <m:t>exchange shock</m:t>
              </m:r>
              <m:r>
                <m:rPr>
                  <m:sty m:val="p"/>
                </m:rPr>
                <w:rPr>
                  <w:rFonts w:ascii="Cambria Math" w:hAnsi="Cambria Math" w:cs="Arial"/>
                  <w:sz w:val="24"/>
                  <w:szCs w:val="24"/>
                  <w:lang w:val="en-US"/>
                </w:rPr>
                <m:t>→</m:t>
              </m:r>
              <m:r>
                <w:rPr>
                  <w:rFonts w:ascii="Cambria Math" w:hAnsi="Cambria Math" w:cs="Arial"/>
                  <w:sz w:val="24"/>
                  <w:szCs w:val="24"/>
                  <w:lang w:val="en-US"/>
                </w:rPr>
                <m:t>s</m:t>
              </m:r>
            </m:e>
          </m:d>
          <m:r>
            <w:rPr>
              <w:rFonts w:ascii="Cambria Math" w:hAnsi="Cambria Math" w:cs="Arial"/>
              <w:sz w:val="24"/>
              <w:szCs w:val="24"/>
              <w:lang w:val="en-US"/>
            </w:rPr>
            <m:t>=0,</m:t>
          </m:r>
        </m:oMath>
      </m:oMathPara>
    </w:p>
    <w:p w14:paraId="7E91FB94" w14:textId="62B1EEF4" w:rsidR="004F3F66" w:rsidRPr="004F3F66" w:rsidRDefault="00000000" w:rsidP="002B7067">
      <w:pPr>
        <w:spacing w:before="120" w:after="120" w:line="360" w:lineRule="auto"/>
        <w:jc w:val="both"/>
        <w:rPr>
          <w:rFonts w:eastAsiaTheme="minorEastAsia" w:cs="Arial"/>
          <w:sz w:val="24"/>
          <w:szCs w:val="24"/>
          <w:lang w:val="en-US"/>
        </w:rPr>
      </w:pPr>
      <m:oMathPara>
        <m:oMath>
          <m:sSub>
            <m:sSubPr>
              <m:ctrlPr>
                <w:rPr>
                  <w:rFonts w:ascii="Cambria Math" w:hAnsi="Cambria Math" w:cs="Arial"/>
                  <w:i/>
                  <w:sz w:val="24"/>
                  <w:szCs w:val="24"/>
                  <w:lang w:val="en-US"/>
                </w:rPr>
              </m:ctrlPr>
            </m:sSubPr>
            <m:e>
              <m:r>
                <m:rPr>
                  <m:sty m:val="p"/>
                </m:rPr>
                <w:rPr>
                  <w:rFonts w:ascii="Cambria Math" w:hAnsi="Cambria Math" w:cs="Arial"/>
                  <w:sz w:val="24"/>
                  <w:szCs w:val="24"/>
                  <w:lang w:val="en-US"/>
                </w:rPr>
                <m:t>Θ</m:t>
              </m:r>
              <m:ctrlPr>
                <w:rPr>
                  <w:rFonts w:ascii="Cambria Math" w:hAnsi="Cambria Math" w:cs="Arial"/>
                  <w:sz w:val="24"/>
                  <w:szCs w:val="24"/>
                  <w:lang w:val="en-US"/>
                </w:rPr>
              </m:ctrlPr>
            </m:e>
            <m:sub>
              <m:r>
                <w:rPr>
                  <w:rFonts w:ascii="Cambria Math" w:hAnsi="Cambria Math" w:cs="Arial"/>
                  <w:sz w:val="24"/>
                  <w:szCs w:val="24"/>
                  <w:lang w:val="en-US"/>
                </w:rPr>
                <m:t>0</m:t>
              </m:r>
            </m:sub>
          </m:sSub>
          <m:d>
            <m:dPr>
              <m:ctrlPr>
                <w:rPr>
                  <w:rFonts w:ascii="Cambria Math" w:hAnsi="Cambria Math" w:cs="Arial"/>
                  <w:i/>
                  <w:sz w:val="24"/>
                  <w:szCs w:val="24"/>
                  <w:lang w:val="en-US"/>
                </w:rPr>
              </m:ctrlPr>
            </m:dPr>
            <m:e>
              <m:r>
                <m:rPr>
                  <m:nor/>
                </m:rPr>
                <w:rPr>
                  <w:rFonts w:ascii="Cambria Math" w:hAnsi="Cambria Math" w:cs="Arial"/>
                  <w:sz w:val="24"/>
                  <w:szCs w:val="24"/>
                  <w:lang w:val="en-US"/>
                </w:rPr>
                <m:t>inflation shock</m:t>
              </m:r>
              <m:r>
                <m:rPr>
                  <m:sty m:val="p"/>
                </m:rPr>
                <w:rPr>
                  <w:rFonts w:ascii="Cambria Math" w:hAnsi="Cambria Math" w:cs="Arial"/>
                  <w:sz w:val="24"/>
                  <w:szCs w:val="24"/>
                  <w:lang w:val="en-US"/>
                </w:rPr>
                <m:t>→</m:t>
              </m:r>
              <m:r>
                <w:rPr>
                  <w:rFonts w:ascii="Cambria Math" w:hAnsi="Cambria Math" w:cs="Arial"/>
                  <w:sz w:val="24"/>
                  <w:szCs w:val="24"/>
                  <w:lang w:val="en-US"/>
                </w:rPr>
                <m:t>s</m:t>
              </m:r>
            </m:e>
          </m:d>
          <m:r>
            <w:rPr>
              <w:rFonts w:ascii="Cambria Math" w:hAnsi="Cambria Math" w:cs="Arial"/>
              <w:sz w:val="24"/>
              <w:szCs w:val="24"/>
              <w:lang w:val="en-US"/>
            </w:rPr>
            <m:t>=0,</m:t>
          </m:r>
          <m:r>
            <m:rPr>
              <m:sty m:val="p"/>
            </m:rPr>
            <w:rPr>
              <w:rFonts w:ascii="Cambria Math" w:hAnsi="Cambria Math" w:cs="Arial"/>
              <w:sz w:val="24"/>
              <w:szCs w:val="24"/>
              <w:lang w:val="en-US"/>
            </w:rPr>
            <m:t> </m:t>
          </m:r>
          <m:sSub>
            <m:sSubPr>
              <m:ctrlPr>
                <w:rPr>
                  <w:rFonts w:ascii="Cambria Math" w:hAnsi="Cambria Math" w:cs="Arial"/>
                  <w:i/>
                  <w:sz w:val="24"/>
                  <w:szCs w:val="24"/>
                  <w:lang w:val="en-US"/>
                </w:rPr>
              </m:ctrlPr>
            </m:sSubPr>
            <m:e>
              <m:r>
                <m:rPr>
                  <m:sty m:val="p"/>
                </m:rPr>
                <w:rPr>
                  <w:rFonts w:ascii="Cambria Math" w:hAnsi="Cambria Math" w:cs="Arial"/>
                  <w:sz w:val="24"/>
                  <w:szCs w:val="24"/>
                  <w:lang w:val="en-US"/>
                </w:rPr>
                <m:t>Θ</m:t>
              </m:r>
              <m:ctrlPr>
                <w:rPr>
                  <w:rFonts w:ascii="Cambria Math" w:hAnsi="Cambria Math" w:cs="Arial"/>
                  <w:sz w:val="24"/>
                  <w:szCs w:val="24"/>
                  <w:lang w:val="en-US"/>
                </w:rPr>
              </m:ctrlPr>
            </m:e>
            <m:sub>
              <m:r>
                <w:rPr>
                  <w:rFonts w:ascii="Cambria Math" w:hAnsi="Cambria Math" w:cs="Arial"/>
                  <w:sz w:val="24"/>
                  <w:szCs w:val="24"/>
                  <w:lang w:val="en-US"/>
                </w:rPr>
                <m:t>0</m:t>
              </m:r>
            </m:sub>
          </m:sSub>
          <m:d>
            <m:dPr>
              <m:ctrlPr>
                <w:rPr>
                  <w:rFonts w:ascii="Cambria Math" w:hAnsi="Cambria Math" w:cs="Arial"/>
                  <w:i/>
                  <w:sz w:val="24"/>
                  <w:szCs w:val="24"/>
                  <w:lang w:val="en-US"/>
                </w:rPr>
              </m:ctrlPr>
            </m:dPr>
            <m:e>
              <m:r>
                <m:rPr>
                  <m:nor/>
                </m:rPr>
                <w:rPr>
                  <w:rFonts w:ascii="Cambria Math" w:hAnsi="Cambria Math" w:cs="Arial"/>
                  <w:sz w:val="24"/>
                  <w:szCs w:val="24"/>
                  <w:lang w:val="en-US"/>
                </w:rPr>
                <m:t>inflation shock</m:t>
              </m:r>
              <m:r>
                <m:rPr>
                  <m:sty m:val="p"/>
                </m:rPr>
                <w:rPr>
                  <w:rFonts w:ascii="Cambria Math" w:hAnsi="Cambria Math" w:cs="Arial"/>
                  <w:sz w:val="24"/>
                  <w:szCs w:val="24"/>
                  <w:lang w:val="en-US"/>
                </w:rPr>
                <m:t>→</m:t>
              </m:r>
              <m:r>
                <w:rPr>
                  <w:rFonts w:ascii="Cambria Math" w:hAnsi="Cambria Math" w:cs="Arial"/>
                  <w:sz w:val="24"/>
                  <w:szCs w:val="24"/>
                  <w:lang w:val="en-US"/>
                </w:rPr>
                <m:t>e</m:t>
              </m:r>
            </m:e>
          </m:d>
          <m:r>
            <w:rPr>
              <w:rFonts w:ascii="Cambria Math" w:hAnsi="Cambria Math" w:cs="Arial"/>
              <w:sz w:val="24"/>
              <w:szCs w:val="24"/>
              <w:lang w:val="en-US"/>
            </w:rPr>
            <m:t>=0,</m:t>
          </m:r>
        </m:oMath>
      </m:oMathPara>
    </w:p>
    <w:p w14:paraId="515A45FD" w14:textId="1E07A843" w:rsidR="004F3F66" w:rsidRPr="00E635D3" w:rsidRDefault="004F3F66" w:rsidP="002B7067">
      <w:pPr>
        <w:spacing w:before="120" w:after="120" w:line="360" w:lineRule="auto"/>
        <w:jc w:val="both"/>
        <w:rPr>
          <w:rFonts w:cs="Arial"/>
          <w:sz w:val="24"/>
          <w:szCs w:val="24"/>
          <w:lang w:val="en-US"/>
        </w:rPr>
      </w:pPr>
      <w:r w:rsidRPr="004F3F66">
        <w:rPr>
          <w:rFonts w:cs="Arial"/>
          <w:sz w:val="24"/>
          <w:szCs w:val="24"/>
          <w:lang w:val="en-US"/>
        </w:rPr>
        <w:t xml:space="preserve">where </w:t>
      </w:r>
      <m:oMath>
        <m:sSub>
          <m:sSubPr>
            <m:ctrlPr>
              <w:rPr>
                <w:rFonts w:ascii="Cambria Math" w:hAnsi="Cambria Math" w:cs="Arial"/>
                <w:i/>
                <w:sz w:val="24"/>
                <w:szCs w:val="24"/>
                <w:lang w:val="en-US"/>
              </w:rPr>
            </m:ctrlPr>
          </m:sSubPr>
          <m:e>
            <m:r>
              <m:rPr>
                <m:sty m:val="p"/>
              </m:rPr>
              <w:rPr>
                <w:rFonts w:ascii="Cambria Math" w:hAnsi="Cambria Math" w:cs="Arial"/>
                <w:sz w:val="24"/>
                <w:szCs w:val="24"/>
                <w:lang w:val="en-US"/>
              </w:rPr>
              <m:t>Θ</m:t>
            </m:r>
            <m:ctrlPr>
              <w:rPr>
                <w:rFonts w:ascii="Cambria Math" w:hAnsi="Cambria Math" w:cs="Arial"/>
                <w:sz w:val="24"/>
                <w:szCs w:val="24"/>
                <w:lang w:val="en-US"/>
              </w:rPr>
            </m:ctrlPr>
          </m:e>
          <m:sub>
            <m:r>
              <w:rPr>
                <w:rFonts w:ascii="Cambria Math" w:hAnsi="Cambria Math" w:cs="Arial"/>
                <w:sz w:val="24"/>
                <w:szCs w:val="24"/>
                <w:lang w:val="en-US"/>
              </w:rPr>
              <m:t>0</m:t>
            </m:r>
          </m:sub>
        </m:sSub>
        <m:r>
          <w:rPr>
            <w:rFonts w:ascii="Cambria Math" w:hAnsi="Cambria Math" w:cs="Arial"/>
            <w:sz w:val="24"/>
            <w:szCs w:val="24"/>
            <w:lang w:val="en-US"/>
          </w:rPr>
          <m:t>=</m:t>
        </m:r>
        <m:sSup>
          <m:sSupPr>
            <m:ctrlPr>
              <w:rPr>
                <w:rFonts w:ascii="Cambria Math" w:hAnsi="Cambria Math" w:cs="Arial"/>
                <w:i/>
                <w:sz w:val="24"/>
                <w:szCs w:val="24"/>
                <w:lang w:val="en-US"/>
              </w:rPr>
            </m:ctrlPr>
          </m:sSupPr>
          <m:e>
            <m:r>
              <w:rPr>
                <w:rFonts w:ascii="Cambria Math" w:hAnsi="Cambria Math" w:cs="Arial"/>
                <w:sz w:val="24"/>
                <w:szCs w:val="24"/>
                <w:lang w:val="en-US"/>
              </w:rPr>
              <m:t>B</m:t>
            </m:r>
          </m:e>
          <m:sup>
            <m:r>
              <w:rPr>
                <w:rFonts w:ascii="Cambria Math" w:hAnsi="Cambria Math" w:cs="Arial"/>
                <w:sz w:val="24"/>
                <w:szCs w:val="24"/>
                <w:lang w:val="en-US"/>
              </w:rPr>
              <m:t>-1</m:t>
            </m:r>
          </m:sup>
        </m:sSup>
      </m:oMath>
      <w:r w:rsidRPr="004F3F66">
        <w:rPr>
          <w:rFonts w:cs="Arial"/>
          <w:sz w:val="24"/>
          <w:szCs w:val="24"/>
          <w:lang w:val="en-US"/>
        </w:rPr>
        <w:t xml:space="preserve"> is the impact multiplier matrix. These restrictions are imposed only at the contemporaneous horizon, allowing subsequent responses to </w:t>
      </w:r>
      <w:r w:rsidRPr="004F3F66">
        <w:rPr>
          <w:rFonts w:cs="Arial"/>
          <w:i/>
          <w:iCs/>
          <w:sz w:val="24"/>
          <w:szCs w:val="24"/>
          <w:lang w:val="en-US"/>
        </w:rPr>
        <w:t>evolve freely</w:t>
      </w:r>
      <w:r w:rsidRPr="004F3F66">
        <w:rPr>
          <w:rFonts w:cs="Arial"/>
          <w:sz w:val="24"/>
          <w:szCs w:val="24"/>
          <w:lang w:val="en-US"/>
        </w:rPr>
        <w:t xml:space="preserve"> according to the VAR dynamics. The identification strategy ensures that structural shocks are uniquely labeled and aligned with theoretical expectations, facilitating inference on the dynamic interplay between sentiment, cryptocurrency-based exchange rate movements, and inflation in Bolivia’s high-frequency context.</w:t>
      </w:r>
    </w:p>
    <w:p w14:paraId="48EE90A6" w14:textId="4BD8FDD8" w:rsidR="00495AEE" w:rsidRDefault="004F3F66" w:rsidP="00495AEE">
      <w:pPr>
        <w:pStyle w:val="Prrafodelista"/>
        <w:numPr>
          <w:ilvl w:val="1"/>
          <w:numId w:val="1"/>
        </w:numPr>
        <w:spacing w:before="120" w:after="120" w:line="360" w:lineRule="auto"/>
        <w:jc w:val="both"/>
        <w:rPr>
          <w:rFonts w:cs="Arial"/>
          <w:b/>
          <w:bCs/>
          <w:sz w:val="24"/>
          <w:szCs w:val="24"/>
          <w:lang w:val="en-US"/>
        </w:rPr>
      </w:pPr>
      <w:r w:rsidRPr="004F3F66">
        <w:rPr>
          <w:rFonts w:cs="Arial"/>
          <w:b/>
          <w:bCs/>
          <w:sz w:val="24"/>
          <w:szCs w:val="24"/>
          <w:lang w:val="en-US"/>
        </w:rPr>
        <w:t>Empirical Transmission Channel</w:t>
      </w:r>
    </w:p>
    <w:p w14:paraId="70730C7F" w14:textId="7410EE89" w:rsidR="004F3F66" w:rsidRPr="004F3F66" w:rsidRDefault="004F3F66" w:rsidP="004F3F66">
      <w:pPr>
        <w:spacing w:before="120" w:after="120" w:line="360" w:lineRule="auto"/>
        <w:jc w:val="both"/>
        <w:rPr>
          <w:rFonts w:cs="Arial"/>
          <w:sz w:val="24"/>
          <w:szCs w:val="24"/>
          <w:lang w:val="en-US"/>
        </w:rPr>
      </w:pPr>
      <w:r w:rsidRPr="004F3F66">
        <w:rPr>
          <w:rFonts w:cs="Arial"/>
          <w:sz w:val="24"/>
          <w:szCs w:val="24"/>
          <w:lang w:val="en-US"/>
        </w:rPr>
        <w:t>This section evaluates whether the hypothesized transmission channel—</w:t>
      </w:r>
      <w:r w:rsidRPr="004F3F66">
        <w:rPr>
          <w:rFonts w:cs="Arial"/>
          <w:i/>
          <w:iCs/>
          <w:sz w:val="24"/>
          <w:szCs w:val="24"/>
          <w:lang w:val="en-US"/>
        </w:rPr>
        <w:t>uncertainty sentiment</w:t>
      </w:r>
      <w:r w:rsidRPr="004F3F66">
        <w:rPr>
          <w:rFonts w:cs="Arial"/>
          <w:sz w:val="24"/>
          <w:szCs w:val="24"/>
          <w:lang w:val="en-US"/>
        </w:rPr>
        <w:t xml:space="preserve"> </w:t>
      </w:r>
      <m:oMath>
        <m:r>
          <m:rPr>
            <m:sty m:val="p"/>
          </m:rPr>
          <w:rPr>
            <w:rFonts w:ascii="Cambria Math" w:hAnsi="Cambria Math" w:cs="Arial"/>
            <w:sz w:val="24"/>
            <w:szCs w:val="24"/>
            <w:lang w:val="en-US"/>
          </w:rPr>
          <m:t>→</m:t>
        </m:r>
      </m:oMath>
      <w:r w:rsidRPr="004F3F66">
        <w:rPr>
          <w:rFonts w:cs="Arial"/>
          <w:sz w:val="24"/>
          <w:szCs w:val="24"/>
          <w:lang w:val="en-US"/>
        </w:rPr>
        <w:t xml:space="preserve"> </w:t>
      </w:r>
      <w:r w:rsidRPr="004F3F66">
        <w:rPr>
          <w:rFonts w:cs="Arial"/>
          <w:i/>
          <w:iCs/>
          <w:sz w:val="24"/>
          <w:szCs w:val="24"/>
          <w:lang w:val="en-US"/>
        </w:rPr>
        <w:t>BOB/USDT</w:t>
      </w:r>
      <w:r w:rsidRPr="004F3F66">
        <w:rPr>
          <w:rFonts w:cs="Arial"/>
          <w:sz w:val="24"/>
          <w:szCs w:val="24"/>
          <w:lang w:val="en-US"/>
        </w:rPr>
        <w:t xml:space="preserve"> </w:t>
      </w:r>
      <w:r w:rsidRPr="004F3F66">
        <w:rPr>
          <w:rFonts w:cs="Arial"/>
          <w:i/>
          <w:iCs/>
          <w:sz w:val="24"/>
          <w:szCs w:val="24"/>
          <w:lang w:val="en-US"/>
        </w:rPr>
        <w:t>depreciation</w:t>
      </w:r>
      <w:r w:rsidRPr="004F3F66">
        <w:rPr>
          <w:rFonts w:cs="Arial"/>
          <w:sz w:val="24"/>
          <w:szCs w:val="24"/>
          <w:lang w:val="en-US"/>
        </w:rPr>
        <w:t xml:space="preserve"> </w:t>
      </w:r>
      <m:oMath>
        <m:r>
          <m:rPr>
            <m:sty m:val="p"/>
          </m:rPr>
          <w:rPr>
            <w:rFonts w:ascii="Cambria Math" w:hAnsi="Cambria Math" w:cs="Arial"/>
            <w:sz w:val="24"/>
            <w:szCs w:val="24"/>
            <w:lang w:val="en-US"/>
          </w:rPr>
          <m:t>→</m:t>
        </m:r>
      </m:oMath>
      <w:r w:rsidRPr="004F3F66">
        <w:rPr>
          <w:rFonts w:cs="Arial"/>
          <w:sz w:val="24"/>
          <w:szCs w:val="24"/>
          <w:lang w:val="en-US"/>
        </w:rPr>
        <w:t xml:space="preserve"> </w:t>
      </w:r>
      <w:r w:rsidRPr="004F3F66">
        <w:rPr>
          <w:rFonts w:cs="Arial"/>
          <w:i/>
          <w:iCs/>
          <w:sz w:val="24"/>
          <w:szCs w:val="24"/>
          <w:lang w:val="en-US"/>
        </w:rPr>
        <w:t>inflation</w:t>
      </w:r>
      <w:r w:rsidRPr="004F3F66">
        <w:rPr>
          <w:rFonts w:cs="Arial"/>
          <w:sz w:val="24"/>
          <w:szCs w:val="24"/>
          <w:lang w:val="en-US"/>
        </w:rPr>
        <w:t>—is empirically supported, as postulated in the theoretical and simulation frameworks (Sections</w:t>
      </w:r>
      <w:r>
        <w:rPr>
          <w:rFonts w:cs="Arial"/>
          <w:sz w:val="24"/>
          <w:szCs w:val="24"/>
          <w:lang w:val="en-US"/>
        </w:rPr>
        <w:t xml:space="preserve"> 2</w:t>
      </w:r>
      <w:r w:rsidRPr="004F3F66">
        <w:rPr>
          <w:rFonts w:cs="Arial"/>
          <w:sz w:val="24"/>
          <w:szCs w:val="24"/>
          <w:lang w:val="en-US"/>
        </w:rPr>
        <w:t xml:space="preserve"> and </w:t>
      </w:r>
      <w:r>
        <w:rPr>
          <w:rFonts w:cs="Arial"/>
          <w:sz w:val="24"/>
          <w:szCs w:val="24"/>
          <w:lang w:val="en-US"/>
        </w:rPr>
        <w:t>3</w:t>
      </w:r>
      <w:r w:rsidRPr="004F3F66">
        <w:rPr>
          <w:rFonts w:cs="Arial"/>
          <w:sz w:val="24"/>
          <w:szCs w:val="24"/>
          <w:lang w:val="en-US"/>
        </w:rPr>
        <w:t>). Using the daily-frequency BSVAR model described earlier, we estimate impulse-response functions (IRFs) to assess this channel. Median responses from the posterior distributions represent the IRF estimates, while the 32nd and 68th percentiles provide Bayesian credible intervals.</w:t>
      </w:r>
    </w:p>
    <w:p w14:paraId="3384EACE" w14:textId="3DEB28E6" w:rsidR="004F3F66" w:rsidRDefault="004F3F66" w:rsidP="004F3F66">
      <w:pPr>
        <w:spacing w:before="120" w:after="120" w:line="360" w:lineRule="auto"/>
        <w:jc w:val="both"/>
        <w:rPr>
          <w:rFonts w:cs="Arial"/>
          <w:sz w:val="24"/>
          <w:szCs w:val="24"/>
          <w:lang w:val="en-US"/>
        </w:rPr>
      </w:pPr>
      <w:r w:rsidRPr="004F3F66">
        <w:rPr>
          <w:rFonts w:cs="Arial"/>
          <w:sz w:val="24"/>
          <w:szCs w:val="24"/>
          <w:lang w:val="en-US"/>
        </w:rPr>
        <w:t>The first link in the transmission chain examines whether economic uncertainty sentiment significantly affects the parallel (digital) BOB/USDT exchange rate. Figure</w:t>
      </w:r>
      <w:r>
        <w:rPr>
          <w:rFonts w:cs="Arial"/>
          <w:sz w:val="24"/>
          <w:szCs w:val="24"/>
          <w:lang w:val="en-US"/>
        </w:rPr>
        <w:t xml:space="preserve"> 6</w:t>
      </w:r>
      <w:r w:rsidRPr="004F3F66">
        <w:rPr>
          <w:rFonts w:cs="Arial"/>
          <w:sz w:val="24"/>
          <w:szCs w:val="24"/>
          <w:lang w:val="en-US"/>
        </w:rPr>
        <w:t xml:space="preserve"> illustrates that a one-standard-deviation sentiment shock induces an immediate BOB 0.04 depreciation in the exchange rate, consistent with heightened risk aversion and flight-to-quality behavior. This depreciation amplifies over time, reaching BOB 0.10 after one week, BOB 0.23 after one month, and stabilizing near BOB 0.31 by three months post-shock. All effects are statistically significant within the Bayesian credible bands. The magnitude of this response can be contextualized by referring to the intervention and subsequent bankruptcy of Banco Fassil in </w:t>
      </w:r>
      <w:r w:rsidRPr="004F3F66">
        <w:rPr>
          <w:rFonts w:cs="Arial"/>
          <w:sz w:val="24"/>
          <w:szCs w:val="24"/>
          <w:lang w:val="en-US"/>
        </w:rPr>
        <w:lastRenderedPageBreak/>
        <w:t>March–April 2023, one of the most prominent financial shocks within the period of analysis. During this episode, the uncertainty sentiment index surged to 1.7 standard deviations above its mean, suggesting that real-world shocks of this scale are comparable, if not larger, than the one-standard-deviation sentiment shock modeled here. This provides an economically relevant benchmark for interpreting the model’s estimates of sentiment-driven exchange rate depreciation.</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20"/>
      </w:tblGrid>
      <w:tr w:rsidR="004F3F66" w:rsidRPr="00B51617" w14:paraId="6426E4FC" w14:textId="77777777" w:rsidTr="00B51617">
        <w:trPr>
          <w:jc w:val="center"/>
        </w:trPr>
        <w:tc>
          <w:tcPr>
            <w:tcW w:w="9720" w:type="dxa"/>
          </w:tcPr>
          <w:p w14:paraId="76BA4CF2" w14:textId="1798B8C3" w:rsidR="004F3F66" w:rsidRPr="00B51617" w:rsidRDefault="004F3F66" w:rsidP="00B51617">
            <w:pPr>
              <w:pStyle w:val="Sinespaciado"/>
              <w:jc w:val="center"/>
              <w:rPr>
                <w:rFonts w:cs="Arial"/>
                <w:lang w:val="en-US"/>
              </w:rPr>
            </w:pPr>
            <w:r w:rsidRPr="00B51617">
              <w:rPr>
                <w:rFonts w:cs="Arial"/>
                <w:noProof/>
                <w:lang w:val="en-US"/>
              </w:rPr>
              <w:drawing>
                <wp:inline distT="0" distB="0" distL="0" distR="0" wp14:anchorId="58F4DDB7" wp14:editId="72524580">
                  <wp:extent cx="3233166" cy="2465879"/>
                  <wp:effectExtent l="0" t="0" r="5715" b="0"/>
                  <wp:docPr id="9085679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67933" name="Imagen 908567933"/>
                          <pic:cNvPicPr/>
                        </pic:nvPicPr>
                        <pic:blipFill rotWithShape="1">
                          <a:blip r:embed="rId19" cstate="print">
                            <a:extLst>
                              <a:ext uri="{28A0092B-C50C-407E-A947-70E740481C1C}">
                                <a14:useLocalDpi xmlns:a14="http://schemas.microsoft.com/office/drawing/2010/main" val="0"/>
                              </a:ext>
                            </a:extLst>
                          </a:blip>
                          <a:srcRect t="9185"/>
                          <a:stretch/>
                        </pic:blipFill>
                        <pic:spPr bwMode="auto">
                          <a:xfrm>
                            <a:off x="0" y="0"/>
                            <a:ext cx="3246888" cy="2476345"/>
                          </a:xfrm>
                          <a:prstGeom prst="rect">
                            <a:avLst/>
                          </a:prstGeom>
                          <a:ln>
                            <a:noFill/>
                          </a:ln>
                          <a:extLst>
                            <a:ext uri="{53640926-AAD7-44D8-BBD7-CCE9431645EC}">
                              <a14:shadowObscured xmlns:a14="http://schemas.microsoft.com/office/drawing/2010/main"/>
                            </a:ext>
                          </a:extLst>
                        </pic:spPr>
                      </pic:pic>
                    </a:graphicData>
                  </a:graphic>
                </wp:inline>
              </w:drawing>
            </w:r>
          </w:p>
        </w:tc>
      </w:tr>
      <w:tr w:rsidR="004F3F66" w:rsidRPr="00CF0423" w14:paraId="78138D52" w14:textId="77777777" w:rsidTr="00B51617">
        <w:trPr>
          <w:jc w:val="center"/>
        </w:trPr>
        <w:tc>
          <w:tcPr>
            <w:tcW w:w="9720" w:type="dxa"/>
          </w:tcPr>
          <w:p w14:paraId="1EF2DBD3" w14:textId="77777777" w:rsidR="004F3F66" w:rsidRDefault="004F3F66" w:rsidP="00B51617">
            <w:pPr>
              <w:pStyle w:val="Sinespaciado"/>
              <w:jc w:val="center"/>
              <w:rPr>
                <w:rFonts w:cs="Arial"/>
                <w:lang w:val="en-US"/>
              </w:rPr>
            </w:pPr>
            <w:r w:rsidRPr="00B51617">
              <w:rPr>
                <w:rFonts w:cs="Arial"/>
                <w:lang w:val="en-US"/>
              </w:rPr>
              <w:t>Figure 6: Sentiment (</w:t>
            </w:r>
            <m:oMath>
              <m:r>
                <m:rPr>
                  <m:sty m:val="p"/>
                </m:rPr>
                <w:rPr>
                  <w:rFonts w:ascii="Cambria Math" w:hAnsi="Cambria Math" w:cs="Arial"/>
                  <w:lang w:val="en-US"/>
                </w:rPr>
                <m:t>↑</m:t>
              </m:r>
            </m:oMath>
            <w:r w:rsidRPr="00B51617">
              <w:rPr>
                <w:rFonts w:cs="Arial"/>
                <w:lang w:val="en-US"/>
              </w:rPr>
              <w:t xml:space="preserve"> Uncertainty) Shock </w:t>
            </w:r>
            <m:oMath>
              <m:r>
                <m:rPr>
                  <m:sty m:val="p"/>
                </m:rPr>
                <w:rPr>
                  <w:rFonts w:ascii="Cambria Math" w:hAnsi="Cambria Math" w:cs="Arial"/>
                  <w:lang w:val="en-US"/>
                </w:rPr>
                <m:t>→</m:t>
              </m:r>
            </m:oMath>
            <w:r w:rsidRPr="00B51617">
              <w:rPr>
                <w:rFonts w:cs="Arial"/>
                <w:lang w:val="en-US"/>
              </w:rPr>
              <w:t xml:space="preserve"> BOB/USDT y-o-y Depreciation</w:t>
            </w:r>
          </w:p>
          <w:p w14:paraId="432B882A" w14:textId="27AAC893" w:rsidR="009A6DEA" w:rsidRPr="00B51617" w:rsidRDefault="009A6DEA" w:rsidP="00B51617">
            <w:pPr>
              <w:pStyle w:val="Sinespaciado"/>
              <w:jc w:val="center"/>
              <w:rPr>
                <w:rFonts w:cs="Arial"/>
                <w:lang w:val="en-US"/>
              </w:rPr>
            </w:pPr>
          </w:p>
        </w:tc>
      </w:tr>
    </w:tbl>
    <w:p w14:paraId="103E0EBE" w14:textId="597DBC5D" w:rsidR="004F3F66" w:rsidRDefault="004F3F66" w:rsidP="004F3F66">
      <w:pPr>
        <w:spacing w:before="120" w:after="120" w:line="360" w:lineRule="auto"/>
        <w:jc w:val="both"/>
        <w:rPr>
          <w:rFonts w:cs="Arial"/>
          <w:sz w:val="24"/>
          <w:szCs w:val="24"/>
          <w:lang w:val="en-US"/>
        </w:rPr>
      </w:pPr>
      <w:r w:rsidRPr="004F3F66">
        <w:rPr>
          <w:rFonts w:cs="Arial"/>
          <w:sz w:val="24"/>
          <w:szCs w:val="24"/>
          <w:lang w:val="en-US"/>
        </w:rPr>
        <w:t>The second step assesses how uncertainty sentiment and BOB/USDT depreciation influence inflation dynamics. Figure</w:t>
      </w:r>
      <w:r>
        <w:rPr>
          <w:rFonts w:cs="Arial"/>
          <w:sz w:val="24"/>
          <w:szCs w:val="24"/>
          <w:lang w:val="en-US"/>
        </w:rPr>
        <w:t xml:space="preserve"> 7</w:t>
      </w:r>
      <w:r w:rsidRPr="004F3F66">
        <w:rPr>
          <w:rFonts w:cs="Arial"/>
          <w:sz w:val="24"/>
          <w:szCs w:val="24"/>
          <w:lang w:val="en-US"/>
        </w:rPr>
        <w:t>-(a) shows that following a sentiment shock, inflation initially declines over the first week, consistent with a contractionary demand-side effect predicted by the theoretical framework. However, from the second week onward, inflation reverses and enters a sustained upward trajectory due to the exchange-rate pass-through mechanism. Specifically, a one-standard-deviation sentiment shock raises y-o-y inflation by 0.25 percentage points after 30 days, with the effect continuing to accumulate, reaching 0.60 percentage points after 90 days. This persistence highlights the capacity of transitory uncertainty shocks to produce lasting inflationary pressures, a dynamic captured effectively by the BSVAR framework's accommodation of non-stationary processes.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895"/>
      </w:tblGrid>
      <w:tr w:rsidR="00B51617" w:rsidRPr="00B51617" w14:paraId="781A40DA" w14:textId="7678028B" w:rsidTr="00B51617">
        <w:trPr>
          <w:trHeight w:val="3389"/>
          <w:jc w:val="center"/>
        </w:trPr>
        <w:tc>
          <w:tcPr>
            <w:tcW w:w="4815" w:type="dxa"/>
          </w:tcPr>
          <w:p w14:paraId="3DF4EC4E" w14:textId="0DD22D8D" w:rsidR="004F3F66" w:rsidRPr="00B51617" w:rsidRDefault="00B51617" w:rsidP="00B51617">
            <w:pPr>
              <w:pStyle w:val="Sinespaciado"/>
              <w:rPr>
                <w:rFonts w:cs="Arial"/>
                <w:lang w:val="en-US"/>
              </w:rPr>
            </w:pPr>
            <w:r w:rsidRPr="00B51617">
              <w:rPr>
                <w:rFonts w:cs="Arial"/>
                <w:noProof/>
                <w:lang w:val="en-US"/>
              </w:rPr>
              <w:lastRenderedPageBreak/>
              <w:drawing>
                <wp:inline distT="0" distB="0" distL="0" distR="0" wp14:anchorId="532A2D06" wp14:editId="3F1FF846">
                  <wp:extent cx="2897008" cy="2223654"/>
                  <wp:effectExtent l="0" t="0" r="0" b="5715"/>
                  <wp:docPr id="10976670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6701" name="Imagen 109766701"/>
                          <pic:cNvPicPr/>
                        </pic:nvPicPr>
                        <pic:blipFill rotWithShape="1">
                          <a:blip r:embed="rId20" cstate="print">
                            <a:extLst>
                              <a:ext uri="{28A0092B-C50C-407E-A947-70E740481C1C}">
                                <a14:useLocalDpi xmlns:a14="http://schemas.microsoft.com/office/drawing/2010/main" val="0"/>
                              </a:ext>
                            </a:extLst>
                          </a:blip>
                          <a:srcRect t="8882"/>
                          <a:stretch/>
                        </pic:blipFill>
                        <pic:spPr bwMode="auto">
                          <a:xfrm>
                            <a:off x="0" y="0"/>
                            <a:ext cx="2931030" cy="2249768"/>
                          </a:xfrm>
                          <a:prstGeom prst="rect">
                            <a:avLst/>
                          </a:prstGeom>
                          <a:ln>
                            <a:noFill/>
                          </a:ln>
                          <a:extLst>
                            <a:ext uri="{53640926-AAD7-44D8-BBD7-CCE9431645EC}">
                              <a14:shadowObscured xmlns:a14="http://schemas.microsoft.com/office/drawing/2010/main"/>
                            </a:ext>
                          </a:extLst>
                        </pic:spPr>
                      </pic:pic>
                    </a:graphicData>
                  </a:graphic>
                </wp:inline>
              </w:drawing>
            </w:r>
          </w:p>
        </w:tc>
        <w:tc>
          <w:tcPr>
            <w:tcW w:w="4895" w:type="dxa"/>
          </w:tcPr>
          <w:p w14:paraId="750682C8" w14:textId="6CF3C9F1" w:rsidR="004F3F66" w:rsidRPr="00B51617" w:rsidRDefault="00B51617" w:rsidP="00B51617">
            <w:pPr>
              <w:pStyle w:val="Sinespaciado"/>
              <w:rPr>
                <w:rFonts w:cs="Arial"/>
                <w:noProof/>
                <w:lang w:val="en-US"/>
              </w:rPr>
            </w:pPr>
            <w:r w:rsidRPr="00B51617">
              <w:rPr>
                <w:rFonts w:cs="Arial"/>
                <w:noProof/>
                <w:lang w:val="en-US"/>
              </w:rPr>
              <w:drawing>
                <wp:inline distT="0" distB="0" distL="0" distR="0" wp14:anchorId="5F970980" wp14:editId="3D429A23">
                  <wp:extent cx="2931248" cy="2244436"/>
                  <wp:effectExtent l="0" t="0" r="2540" b="3810"/>
                  <wp:docPr id="15018320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32085" name="Imagen 1501832085"/>
                          <pic:cNvPicPr/>
                        </pic:nvPicPr>
                        <pic:blipFill rotWithShape="1">
                          <a:blip r:embed="rId21" cstate="print">
                            <a:extLst>
                              <a:ext uri="{28A0092B-C50C-407E-A947-70E740481C1C}">
                                <a14:useLocalDpi xmlns:a14="http://schemas.microsoft.com/office/drawing/2010/main" val="0"/>
                              </a:ext>
                            </a:extLst>
                          </a:blip>
                          <a:srcRect t="9193"/>
                          <a:stretch/>
                        </pic:blipFill>
                        <pic:spPr bwMode="auto">
                          <a:xfrm>
                            <a:off x="0" y="0"/>
                            <a:ext cx="2941738" cy="2252468"/>
                          </a:xfrm>
                          <a:prstGeom prst="rect">
                            <a:avLst/>
                          </a:prstGeom>
                          <a:ln>
                            <a:noFill/>
                          </a:ln>
                          <a:extLst>
                            <a:ext uri="{53640926-AAD7-44D8-BBD7-CCE9431645EC}">
                              <a14:shadowObscured xmlns:a14="http://schemas.microsoft.com/office/drawing/2010/main"/>
                            </a:ext>
                          </a:extLst>
                        </pic:spPr>
                      </pic:pic>
                    </a:graphicData>
                  </a:graphic>
                </wp:inline>
              </w:drawing>
            </w:r>
          </w:p>
        </w:tc>
      </w:tr>
      <w:tr w:rsidR="00B51617" w:rsidRPr="00B51617" w14:paraId="3FCA4AC9" w14:textId="77777777" w:rsidTr="00B51617">
        <w:trPr>
          <w:jc w:val="center"/>
        </w:trPr>
        <w:tc>
          <w:tcPr>
            <w:tcW w:w="4815" w:type="dxa"/>
          </w:tcPr>
          <w:p w14:paraId="410DBC56" w14:textId="270E031F" w:rsidR="00B51617" w:rsidRPr="0022142B" w:rsidRDefault="00B51617" w:rsidP="00B51617">
            <w:pPr>
              <w:pStyle w:val="Sinespaciado"/>
              <w:jc w:val="center"/>
              <w:rPr>
                <w:rFonts w:cs="Arial"/>
                <w:lang w:val="en-US"/>
              </w:rPr>
            </w:pPr>
            <w:r w:rsidRPr="0022142B">
              <w:rPr>
                <w:rFonts w:cs="Arial"/>
                <w:lang w:val="en-US"/>
              </w:rPr>
              <w:t>(a) Sentiment (</w:t>
            </w:r>
            <m:oMath>
              <m:r>
                <m:rPr>
                  <m:sty m:val="p"/>
                </m:rPr>
                <w:rPr>
                  <w:rFonts w:ascii="Cambria Math" w:hAnsi="Cambria Math" w:cs="Arial"/>
                  <w:lang w:val="en-US"/>
                </w:rPr>
                <m:t>↑</m:t>
              </m:r>
            </m:oMath>
            <w:r w:rsidRPr="0022142B">
              <w:rPr>
                <w:rFonts w:cs="Arial"/>
                <w:lang w:val="en-US"/>
              </w:rPr>
              <w:t xml:space="preserve"> Uncertainty) Shock</w:t>
            </w:r>
          </w:p>
        </w:tc>
        <w:tc>
          <w:tcPr>
            <w:tcW w:w="4895" w:type="dxa"/>
          </w:tcPr>
          <w:p w14:paraId="4D6E884F" w14:textId="77777777" w:rsidR="00B51617" w:rsidRPr="0022142B" w:rsidRDefault="00B51617" w:rsidP="00B51617">
            <w:pPr>
              <w:pStyle w:val="Sinespaciado"/>
              <w:jc w:val="center"/>
              <w:rPr>
                <w:rFonts w:cs="Arial"/>
                <w:noProof/>
                <w:lang w:val="en-US"/>
              </w:rPr>
            </w:pPr>
            <w:r w:rsidRPr="0022142B">
              <w:rPr>
                <w:rFonts w:cs="Arial"/>
                <w:noProof/>
                <w:lang w:val="en-US"/>
              </w:rPr>
              <w:t>(b) BOB/USDT Depreciation Shock</w:t>
            </w:r>
          </w:p>
          <w:p w14:paraId="46FF00B0" w14:textId="4A4ADB0A" w:rsidR="00B51617" w:rsidRPr="0022142B" w:rsidRDefault="00B51617" w:rsidP="00B51617">
            <w:pPr>
              <w:pStyle w:val="Sinespaciado"/>
              <w:jc w:val="center"/>
              <w:rPr>
                <w:rFonts w:cs="Arial"/>
                <w:noProof/>
                <w:lang w:val="en-US"/>
              </w:rPr>
            </w:pPr>
          </w:p>
        </w:tc>
      </w:tr>
      <w:tr w:rsidR="004F3F66" w:rsidRPr="00CF0423" w14:paraId="2F50810C" w14:textId="15D42F44" w:rsidTr="00B51617">
        <w:trPr>
          <w:jc w:val="center"/>
        </w:trPr>
        <w:tc>
          <w:tcPr>
            <w:tcW w:w="9710" w:type="dxa"/>
            <w:gridSpan w:val="2"/>
          </w:tcPr>
          <w:p w14:paraId="5BD835C8" w14:textId="77777777" w:rsidR="004F3F66" w:rsidRDefault="004F3F66" w:rsidP="00B51617">
            <w:pPr>
              <w:pStyle w:val="Sinespaciado"/>
              <w:jc w:val="center"/>
              <w:rPr>
                <w:rFonts w:cs="Arial"/>
                <w:lang w:val="en-US"/>
              </w:rPr>
            </w:pPr>
            <w:r w:rsidRPr="0022142B">
              <w:rPr>
                <w:rFonts w:cs="Arial"/>
                <w:lang w:val="en-US"/>
              </w:rPr>
              <w:t xml:space="preserve">Figure </w:t>
            </w:r>
            <w:r w:rsidR="0022142B">
              <w:rPr>
                <w:rFonts w:cs="Arial"/>
                <w:lang w:val="en-US"/>
              </w:rPr>
              <w:t>7</w:t>
            </w:r>
            <w:r w:rsidRPr="0022142B">
              <w:rPr>
                <w:rFonts w:cs="Arial"/>
                <w:lang w:val="en-US"/>
              </w:rPr>
              <w:t xml:space="preserve">: Shock </w:t>
            </w:r>
            <m:oMath>
              <m:r>
                <m:rPr>
                  <m:sty m:val="p"/>
                </m:rPr>
                <w:rPr>
                  <w:rFonts w:ascii="Cambria Math" w:hAnsi="Cambria Math" w:cs="Arial"/>
                  <w:lang w:val="en-US"/>
                </w:rPr>
                <m:t>→</m:t>
              </m:r>
            </m:oMath>
            <w:r w:rsidRPr="0022142B">
              <w:rPr>
                <w:rFonts w:cs="Arial"/>
                <w:lang w:val="en-US"/>
              </w:rPr>
              <w:t xml:space="preserve"> </w:t>
            </w:r>
            <w:r w:rsidR="00B51617" w:rsidRPr="0022142B">
              <w:rPr>
                <w:rFonts w:cs="Arial"/>
                <w:lang w:val="en-US"/>
              </w:rPr>
              <w:t>y-o-y Inflation Forecast</w:t>
            </w:r>
          </w:p>
          <w:p w14:paraId="0825F9E1" w14:textId="0DA466A2" w:rsidR="009A6DEA" w:rsidRPr="0022142B" w:rsidRDefault="009A6DEA" w:rsidP="00B51617">
            <w:pPr>
              <w:pStyle w:val="Sinespaciado"/>
              <w:jc w:val="center"/>
              <w:rPr>
                <w:rFonts w:cs="Arial"/>
                <w:lang w:val="en-US"/>
              </w:rPr>
            </w:pPr>
          </w:p>
        </w:tc>
      </w:tr>
    </w:tbl>
    <w:p w14:paraId="6A807643" w14:textId="32E967D0" w:rsidR="00B51617" w:rsidRPr="00B51617" w:rsidRDefault="00B51617" w:rsidP="00B51617">
      <w:pPr>
        <w:spacing w:before="120" w:after="120" w:line="360" w:lineRule="auto"/>
        <w:jc w:val="both"/>
        <w:rPr>
          <w:rFonts w:cs="Arial"/>
          <w:sz w:val="24"/>
          <w:szCs w:val="24"/>
          <w:lang w:val="en-US"/>
        </w:rPr>
      </w:pPr>
      <w:r w:rsidRPr="00B51617">
        <w:rPr>
          <w:rFonts w:cs="Arial"/>
          <w:sz w:val="24"/>
          <w:szCs w:val="24"/>
          <w:lang w:val="en-US"/>
        </w:rPr>
        <w:t>Figure</w:t>
      </w:r>
      <w:r>
        <w:rPr>
          <w:rFonts w:cs="Arial"/>
          <w:sz w:val="24"/>
          <w:szCs w:val="24"/>
          <w:lang w:val="en-US"/>
        </w:rPr>
        <w:t xml:space="preserve"> 7</w:t>
      </w:r>
      <w:r w:rsidRPr="00B51617">
        <w:rPr>
          <w:rFonts w:cs="Arial"/>
          <w:sz w:val="24"/>
          <w:szCs w:val="24"/>
          <w:lang w:val="en-US"/>
        </w:rPr>
        <w:t>-(b) depicts the inflationary consequences of a direct BOB/USDT depreciation shock. Following an initial minor decline in inflation between days 3–5, inflation accelerates thereafter. A BOB 1 depreciation increases y-o-y inflation by 0.56 percentage points after 30 days, and this effect amplifies to 1.39 percentage points after 90 days. These findings reinforce the significant role of---digital---exchange rate pass-through in Bolivia’s inflation dynamics, particularly in the context of a parallel, sentiment-driven exchange rate regime.</w:t>
      </w:r>
    </w:p>
    <w:p w14:paraId="3532DDF5" w14:textId="28CBF100" w:rsidR="004F3F66" w:rsidRDefault="00B51617" w:rsidP="00B51617">
      <w:pPr>
        <w:spacing w:before="120" w:after="120" w:line="360" w:lineRule="auto"/>
        <w:jc w:val="both"/>
        <w:rPr>
          <w:rFonts w:cs="Arial"/>
          <w:sz w:val="24"/>
          <w:szCs w:val="24"/>
          <w:lang w:val="en-US"/>
        </w:rPr>
      </w:pPr>
      <w:r w:rsidRPr="00B51617">
        <w:rPr>
          <w:rFonts w:cs="Arial"/>
          <w:sz w:val="24"/>
          <w:szCs w:val="24"/>
          <w:lang w:val="en-US"/>
        </w:rPr>
        <w:t>For robustness, we re-estimate the BSVAR model with 30 lags to account for intra-month seasonality and ensure that dynamics beyond daily and weekly patterns are captured. The results, reported in Appendix</w:t>
      </w:r>
      <w:r>
        <w:rPr>
          <w:rFonts w:cs="Arial"/>
          <w:sz w:val="24"/>
          <w:szCs w:val="24"/>
          <w:lang w:val="en-US"/>
        </w:rPr>
        <w:t xml:space="preserve"> C</w:t>
      </w:r>
      <w:r w:rsidRPr="00B51617">
        <w:rPr>
          <w:rFonts w:cs="Arial"/>
          <w:sz w:val="24"/>
          <w:szCs w:val="24"/>
          <w:lang w:val="en-US"/>
        </w:rPr>
        <w:t>, confirm the main findings of this section, providing additional confidence in the stability of the identified transmission mechanisms.</w:t>
      </w:r>
    </w:p>
    <w:p w14:paraId="709566A2" w14:textId="549CE8B4" w:rsidR="00B51617" w:rsidRDefault="00B51617" w:rsidP="00B51617">
      <w:pPr>
        <w:pStyle w:val="Prrafodelista"/>
        <w:numPr>
          <w:ilvl w:val="0"/>
          <w:numId w:val="1"/>
        </w:numPr>
        <w:spacing w:before="120" w:after="120" w:line="360" w:lineRule="auto"/>
        <w:jc w:val="both"/>
        <w:rPr>
          <w:rFonts w:cs="Arial"/>
          <w:b/>
          <w:bCs/>
          <w:sz w:val="24"/>
          <w:szCs w:val="24"/>
          <w:lang w:val="en-US"/>
        </w:rPr>
      </w:pPr>
      <w:r w:rsidRPr="00B51617">
        <w:rPr>
          <w:rFonts w:cs="Arial"/>
          <w:b/>
          <w:bCs/>
          <w:sz w:val="24"/>
          <w:szCs w:val="24"/>
          <w:lang w:val="en-US"/>
        </w:rPr>
        <w:t>Monetary Policy Under the Evaluated Transmission Channel</w:t>
      </w:r>
    </w:p>
    <w:p w14:paraId="376AFC5B" w14:textId="64481C7A" w:rsidR="00B51617" w:rsidRPr="00B51617" w:rsidRDefault="00B51617" w:rsidP="00B51617">
      <w:pPr>
        <w:spacing w:before="120" w:after="120" w:line="360" w:lineRule="auto"/>
        <w:jc w:val="both"/>
        <w:rPr>
          <w:rFonts w:cs="Arial"/>
          <w:sz w:val="24"/>
          <w:szCs w:val="24"/>
          <w:lang w:val="en-US"/>
        </w:rPr>
      </w:pPr>
      <w:r w:rsidRPr="00B51617">
        <w:rPr>
          <w:rFonts w:cs="Arial"/>
          <w:sz w:val="24"/>
          <w:szCs w:val="24"/>
          <w:lang w:val="en-US"/>
        </w:rPr>
        <w:t xml:space="preserve">This section extends the BSVAR model from subsection~\ref{subsec:daily_bsvar} by incorporating the interbank interest rate as a proxy for monetary policy. Although the Central Bank of Bolivia (BCB) does not explicitly target interest rates as its primary instrument, it indirectly manages financial system liquidity—its operational objective—through interventions in the interbank market. This approach positions the interbank rate as a valid empirical proxy to assess monetary policy reactions, particularly within the high-frequency framework adopted here, and against the backdrop of Bolivia's emergent parallel digital </w:t>
      </w:r>
      <w:r w:rsidRPr="00B51617">
        <w:rPr>
          <w:rFonts w:cs="Arial"/>
          <w:sz w:val="24"/>
          <w:szCs w:val="24"/>
          <w:lang w:val="en-US"/>
        </w:rPr>
        <w:lastRenderedPageBreak/>
        <w:t>exchange market (BOB/USDT), which is largely driven by shifts in economic uncertainty sentiment.</w:t>
      </w:r>
    </w:p>
    <w:p w14:paraId="1AACFABB" w14:textId="14372D37" w:rsidR="00B51617" w:rsidRDefault="00B51617" w:rsidP="00B51617">
      <w:pPr>
        <w:spacing w:before="120" w:after="120" w:line="360" w:lineRule="auto"/>
        <w:jc w:val="both"/>
        <w:rPr>
          <w:rFonts w:cs="Arial"/>
          <w:sz w:val="24"/>
          <w:szCs w:val="24"/>
          <w:lang w:val="en-US"/>
        </w:rPr>
      </w:pPr>
      <w:r w:rsidRPr="00B51617">
        <w:rPr>
          <w:rFonts w:cs="Arial"/>
          <w:sz w:val="24"/>
          <w:szCs w:val="24"/>
          <w:lang w:val="en-US"/>
        </w:rPr>
        <w:t>We expand the original three-variable BSVAR (</w:t>
      </w:r>
      <m:oMath>
        <m:r>
          <m:rPr>
            <m:sty m:val="p"/>
          </m:rPr>
          <w:rPr>
            <w:rFonts w:ascii="Cambria Math" w:hAnsi="Cambria Math" w:cs="Arial"/>
            <w:sz w:val="24"/>
            <w:szCs w:val="24"/>
            <w:lang w:val="en-US"/>
          </w:rPr>
          <m:t>π</m:t>
        </m:r>
        <m:r>
          <w:rPr>
            <w:rFonts w:ascii="Cambria Math" w:hAnsi="Cambria Math" w:cs="Arial"/>
            <w:sz w:val="24"/>
            <w:szCs w:val="24"/>
            <w:lang w:val="en-US"/>
          </w:rPr>
          <m:t>, e, s</m:t>
        </m:r>
      </m:oMath>
      <w:r w:rsidRPr="00B51617">
        <w:rPr>
          <w:rFonts w:cs="Arial"/>
          <w:sz w:val="24"/>
          <w:szCs w:val="24"/>
          <w:lang w:val="en-US"/>
        </w:rPr>
        <w:t>) by introducing the year-on-year difference in the interbank interest rate (</w:t>
      </w:r>
      <m:oMath>
        <m:r>
          <w:rPr>
            <w:rFonts w:ascii="Cambria Math" w:hAnsi="Cambria Math" w:cs="Arial"/>
            <w:sz w:val="24"/>
            <w:szCs w:val="24"/>
            <w:lang w:val="en-US"/>
          </w:rPr>
          <m:t>i</m:t>
        </m:r>
      </m:oMath>
      <w:r w:rsidRPr="00B51617">
        <w:rPr>
          <w:rFonts w:cs="Arial"/>
          <w:sz w:val="24"/>
          <w:szCs w:val="24"/>
          <w:lang w:val="en-US"/>
        </w:rPr>
        <w:t>) alongside a corresponding monetary policy shock. The identification strategy follows the structure outlined in subsection</w:t>
      </w:r>
      <w:r>
        <w:rPr>
          <w:rFonts w:cs="Arial"/>
          <w:sz w:val="24"/>
          <w:szCs w:val="24"/>
          <w:lang w:val="en-US"/>
        </w:rPr>
        <w:t xml:space="preserve"> 4.2</w:t>
      </w:r>
      <w:r w:rsidRPr="00B51617">
        <w:rPr>
          <w:rFonts w:cs="Arial"/>
          <w:sz w:val="24"/>
          <w:szCs w:val="24"/>
          <w:lang w:val="en-US"/>
        </w:rPr>
        <w:t>, augmented to reflect the role of the interbank rate and monetary policy. The extended structural shock identification scheme is as follows:</w:t>
      </w:r>
    </w:p>
    <w:p w14:paraId="3B534474" w14:textId="6DE087F0" w:rsidR="00B51617" w:rsidRPr="00B51617" w:rsidRDefault="00000000" w:rsidP="00B51617">
      <w:pPr>
        <w:spacing w:before="120" w:after="120" w:line="360" w:lineRule="auto"/>
        <w:jc w:val="both"/>
        <w:rPr>
          <w:rFonts w:eastAsiaTheme="minorEastAsia" w:cs="Arial"/>
          <w:sz w:val="24"/>
          <w:szCs w:val="24"/>
          <w:lang w:val="en-US"/>
        </w:rPr>
      </w:pPr>
      <m:oMathPara>
        <m:oMath>
          <m:sSub>
            <m:sSubPr>
              <m:ctrlPr>
                <w:rPr>
                  <w:rFonts w:ascii="Cambria Math" w:hAnsi="Cambria Math" w:cs="Arial"/>
                  <w:i/>
                  <w:sz w:val="24"/>
                  <w:szCs w:val="24"/>
                  <w:lang w:val="en-US"/>
                </w:rPr>
              </m:ctrlPr>
            </m:sSubPr>
            <m:e>
              <m:r>
                <m:rPr>
                  <m:sty m:val="p"/>
                </m:rPr>
                <w:rPr>
                  <w:rFonts w:ascii="Cambria Math" w:hAnsi="Cambria Math" w:cs="Arial"/>
                  <w:sz w:val="24"/>
                  <w:szCs w:val="24"/>
                  <w:lang w:val="en-US"/>
                </w:rPr>
                <m:t>Θ</m:t>
              </m:r>
              <m:ctrlPr>
                <w:rPr>
                  <w:rFonts w:ascii="Cambria Math" w:hAnsi="Cambria Math" w:cs="Arial"/>
                  <w:sz w:val="24"/>
                  <w:szCs w:val="24"/>
                  <w:lang w:val="en-US"/>
                </w:rPr>
              </m:ctrlPr>
            </m:e>
            <m:sub>
              <m:r>
                <w:rPr>
                  <w:rFonts w:ascii="Cambria Math" w:hAnsi="Cambria Math" w:cs="Arial"/>
                  <w:sz w:val="24"/>
                  <w:szCs w:val="24"/>
                  <w:lang w:val="en-US"/>
                </w:rPr>
                <m:t>0</m:t>
              </m:r>
            </m:sub>
          </m:sSub>
          <m:d>
            <m:dPr>
              <m:ctrlPr>
                <w:rPr>
                  <w:rFonts w:ascii="Cambria Math" w:hAnsi="Cambria Math" w:cs="Arial"/>
                  <w:i/>
                  <w:sz w:val="24"/>
                  <w:szCs w:val="24"/>
                  <w:lang w:val="en-US"/>
                </w:rPr>
              </m:ctrlPr>
            </m:dPr>
            <m:e>
              <m:r>
                <m:rPr>
                  <m:nor/>
                </m:rPr>
                <w:rPr>
                  <w:rFonts w:ascii="Cambria Math" w:hAnsi="Cambria Math" w:cs="Arial"/>
                  <w:sz w:val="24"/>
                  <w:szCs w:val="24"/>
                  <w:lang w:val="en-US"/>
                </w:rPr>
                <m:t>sentiment shock</m:t>
              </m:r>
              <m:r>
                <m:rPr>
                  <m:sty m:val="p"/>
                </m:rPr>
                <w:rPr>
                  <w:rFonts w:ascii="Cambria Math" w:hAnsi="Cambria Math" w:cs="Arial"/>
                  <w:sz w:val="24"/>
                  <w:szCs w:val="24"/>
                  <w:lang w:val="en-US"/>
                </w:rPr>
                <m:t>→</m:t>
              </m:r>
              <m:r>
                <w:rPr>
                  <w:rFonts w:ascii="Cambria Math" w:hAnsi="Cambria Math" w:cs="Arial"/>
                  <w:sz w:val="24"/>
                  <w:szCs w:val="24"/>
                  <w:lang w:val="en-US"/>
                </w:rPr>
                <m:t>e</m:t>
              </m:r>
            </m:e>
          </m:d>
          <m:r>
            <w:rPr>
              <w:rFonts w:ascii="Cambria Math" w:hAnsi="Cambria Math" w:cs="Arial"/>
              <w:sz w:val="24"/>
              <w:szCs w:val="24"/>
              <w:lang w:val="en-US"/>
            </w:rPr>
            <m:t>&gt;0,</m:t>
          </m:r>
          <m:r>
            <m:rPr>
              <m:sty m:val="p"/>
            </m:rPr>
            <w:rPr>
              <w:rFonts w:ascii="Cambria Math" w:hAnsi="Cambria Math" w:cs="Arial"/>
              <w:sz w:val="24"/>
              <w:szCs w:val="24"/>
              <w:lang w:val="en-US"/>
            </w:rPr>
            <m:t> </m:t>
          </m:r>
          <m:sSub>
            <m:sSubPr>
              <m:ctrlPr>
                <w:rPr>
                  <w:rFonts w:ascii="Cambria Math" w:hAnsi="Cambria Math" w:cs="Arial"/>
                  <w:i/>
                  <w:sz w:val="24"/>
                  <w:szCs w:val="24"/>
                  <w:lang w:val="en-US"/>
                </w:rPr>
              </m:ctrlPr>
            </m:sSubPr>
            <m:e>
              <m:r>
                <m:rPr>
                  <m:sty m:val="p"/>
                </m:rPr>
                <w:rPr>
                  <w:rFonts w:ascii="Cambria Math" w:hAnsi="Cambria Math" w:cs="Arial"/>
                  <w:sz w:val="24"/>
                  <w:szCs w:val="24"/>
                  <w:lang w:val="en-US"/>
                </w:rPr>
                <m:t>Θ</m:t>
              </m:r>
              <m:ctrlPr>
                <w:rPr>
                  <w:rFonts w:ascii="Cambria Math" w:hAnsi="Cambria Math" w:cs="Arial"/>
                  <w:sz w:val="24"/>
                  <w:szCs w:val="24"/>
                  <w:lang w:val="en-US"/>
                </w:rPr>
              </m:ctrlPr>
            </m:e>
            <m:sub>
              <m:r>
                <w:rPr>
                  <w:rFonts w:ascii="Cambria Math" w:hAnsi="Cambria Math" w:cs="Arial"/>
                  <w:sz w:val="24"/>
                  <w:szCs w:val="24"/>
                  <w:lang w:val="en-US"/>
                </w:rPr>
                <m:t>0</m:t>
              </m:r>
            </m:sub>
          </m:sSub>
          <m:d>
            <m:dPr>
              <m:ctrlPr>
                <w:rPr>
                  <w:rFonts w:ascii="Cambria Math" w:hAnsi="Cambria Math" w:cs="Arial"/>
                  <w:i/>
                  <w:sz w:val="24"/>
                  <w:szCs w:val="24"/>
                  <w:lang w:val="en-US"/>
                </w:rPr>
              </m:ctrlPr>
            </m:dPr>
            <m:e>
              <m:r>
                <m:rPr>
                  <m:nor/>
                </m:rPr>
                <w:rPr>
                  <w:rFonts w:ascii="Cambria Math" w:hAnsi="Cambria Math" w:cs="Arial"/>
                  <w:sz w:val="24"/>
                  <w:szCs w:val="24"/>
                  <w:lang w:val="en-US"/>
                </w:rPr>
                <m:t>sentiment shock</m:t>
              </m:r>
              <m:r>
                <m:rPr>
                  <m:sty m:val="p"/>
                </m:rPr>
                <w:rPr>
                  <w:rFonts w:ascii="Cambria Math" w:hAnsi="Cambria Math" w:cs="Arial"/>
                  <w:sz w:val="24"/>
                  <w:szCs w:val="24"/>
                  <w:lang w:val="en-US"/>
                </w:rPr>
                <m:t>→</m:t>
              </m:r>
              <m:r>
                <w:rPr>
                  <w:rFonts w:ascii="Cambria Math" w:hAnsi="Cambria Math" w:cs="Arial"/>
                  <w:sz w:val="24"/>
                  <w:szCs w:val="24"/>
                  <w:lang w:val="en-US"/>
                </w:rPr>
                <m:t>i</m:t>
              </m:r>
            </m:e>
          </m:d>
          <m:r>
            <w:rPr>
              <w:rFonts w:ascii="Cambria Math" w:hAnsi="Cambria Math" w:cs="Arial"/>
              <w:sz w:val="24"/>
              <w:szCs w:val="24"/>
              <w:lang w:val="en-US"/>
            </w:rPr>
            <m:t>=0,</m:t>
          </m:r>
        </m:oMath>
      </m:oMathPara>
    </w:p>
    <w:p w14:paraId="3E9C8F03" w14:textId="6A6765AF" w:rsidR="00B51617" w:rsidRPr="00B51617" w:rsidRDefault="00000000" w:rsidP="00B51617">
      <w:pPr>
        <w:spacing w:before="120" w:after="120" w:line="360" w:lineRule="auto"/>
        <w:jc w:val="both"/>
        <w:rPr>
          <w:rFonts w:eastAsiaTheme="minorEastAsia" w:cs="Arial"/>
          <w:sz w:val="24"/>
          <w:szCs w:val="24"/>
          <w:lang w:val="en-US"/>
        </w:rPr>
      </w:pPr>
      <m:oMathPara>
        <m:oMath>
          <m:sSub>
            <m:sSubPr>
              <m:ctrlPr>
                <w:rPr>
                  <w:rFonts w:ascii="Cambria Math" w:hAnsi="Cambria Math" w:cs="Arial"/>
                  <w:i/>
                  <w:sz w:val="24"/>
                  <w:szCs w:val="24"/>
                  <w:lang w:val="en-US"/>
                </w:rPr>
              </m:ctrlPr>
            </m:sSubPr>
            <m:e>
              <m:r>
                <m:rPr>
                  <m:sty m:val="p"/>
                </m:rPr>
                <w:rPr>
                  <w:rFonts w:ascii="Cambria Math" w:hAnsi="Cambria Math" w:cs="Arial"/>
                  <w:sz w:val="24"/>
                  <w:szCs w:val="24"/>
                  <w:lang w:val="en-US"/>
                </w:rPr>
                <m:t>Θ</m:t>
              </m:r>
              <m:ctrlPr>
                <w:rPr>
                  <w:rFonts w:ascii="Cambria Math" w:hAnsi="Cambria Math" w:cs="Arial"/>
                  <w:sz w:val="24"/>
                  <w:szCs w:val="24"/>
                  <w:lang w:val="en-US"/>
                </w:rPr>
              </m:ctrlPr>
            </m:e>
            <m:sub>
              <m:r>
                <w:rPr>
                  <w:rFonts w:ascii="Cambria Math" w:hAnsi="Cambria Math" w:cs="Arial"/>
                  <w:sz w:val="24"/>
                  <w:szCs w:val="24"/>
                  <w:lang w:val="en-US"/>
                </w:rPr>
                <m:t>0</m:t>
              </m:r>
            </m:sub>
          </m:sSub>
          <m:d>
            <m:dPr>
              <m:ctrlPr>
                <w:rPr>
                  <w:rFonts w:ascii="Cambria Math" w:hAnsi="Cambria Math" w:cs="Arial"/>
                  <w:i/>
                  <w:sz w:val="24"/>
                  <w:szCs w:val="24"/>
                  <w:lang w:val="en-US"/>
                </w:rPr>
              </m:ctrlPr>
            </m:dPr>
            <m:e>
              <m:r>
                <m:rPr>
                  <m:nor/>
                </m:rPr>
                <w:rPr>
                  <w:rFonts w:ascii="Cambria Math" w:hAnsi="Cambria Math" w:cs="Arial"/>
                  <w:sz w:val="24"/>
                  <w:szCs w:val="24"/>
                  <w:lang w:val="en-US"/>
                </w:rPr>
                <m:t>exchange shock</m:t>
              </m:r>
              <m:r>
                <m:rPr>
                  <m:sty m:val="p"/>
                </m:rPr>
                <w:rPr>
                  <w:rFonts w:ascii="Cambria Math" w:hAnsi="Cambria Math" w:cs="Arial"/>
                  <w:sz w:val="24"/>
                  <w:szCs w:val="24"/>
                  <w:lang w:val="en-US"/>
                </w:rPr>
                <m:t>→π</m:t>
              </m:r>
            </m:e>
          </m:d>
          <m:r>
            <w:rPr>
              <w:rFonts w:ascii="Cambria Math" w:hAnsi="Cambria Math" w:cs="Arial"/>
              <w:sz w:val="24"/>
              <w:szCs w:val="24"/>
              <w:lang w:val="en-US"/>
            </w:rPr>
            <m:t>&gt;0,</m:t>
          </m:r>
          <m:r>
            <m:rPr>
              <m:sty m:val="p"/>
            </m:rPr>
            <w:rPr>
              <w:rFonts w:ascii="Cambria Math" w:hAnsi="Cambria Math" w:cs="Arial"/>
              <w:sz w:val="24"/>
              <w:szCs w:val="24"/>
              <w:lang w:val="en-US"/>
            </w:rPr>
            <m:t> </m:t>
          </m:r>
          <m:sSub>
            <m:sSubPr>
              <m:ctrlPr>
                <w:rPr>
                  <w:rFonts w:ascii="Cambria Math" w:hAnsi="Cambria Math" w:cs="Arial"/>
                  <w:i/>
                  <w:sz w:val="24"/>
                  <w:szCs w:val="24"/>
                  <w:lang w:val="en-US"/>
                </w:rPr>
              </m:ctrlPr>
            </m:sSubPr>
            <m:e>
              <m:r>
                <m:rPr>
                  <m:sty m:val="p"/>
                </m:rPr>
                <w:rPr>
                  <w:rFonts w:ascii="Cambria Math" w:hAnsi="Cambria Math" w:cs="Arial"/>
                  <w:sz w:val="24"/>
                  <w:szCs w:val="24"/>
                  <w:lang w:val="en-US"/>
                </w:rPr>
                <m:t>Θ</m:t>
              </m:r>
              <m:ctrlPr>
                <w:rPr>
                  <w:rFonts w:ascii="Cambria Math" w:hAnsi="Cambria Math" w:cs="Arial"/>
                  <w:sz w:val="24"/>
                  <w:szCs w:val="24"/>
                  <w:lang w:val="en-US"/>
                </w:rPr>
              </m:ctrlPr>
            </m:e>
            <m:sub>
              <m:r>
                <w:rPr>
                  <w:rFonts w:ascii="Cambria Math" w:hAnsi="Cambria Math" w:cs="Arial"/>
                  <w:sz w:val="24"/>
                  <w:szCs w:val="24"/>
                  <w:lang w:val="en-US"/>
                </w:rPr>
                <m:t>0</m:t>
              </m:r>
            </m:sub>
          </m:sSub>
          <m:d>
            <m:dPr>
              <m:ctrlPr>
                <w:rPr>
                  <w:rFonts w:ascii="Cambria Math" w:hAnsi="Cambria Math" w:cs="Arial"/>
                  <w:i/>
                  <w:sz w:val="24"/>
                  <w:szCs w:val="24"/>
                  <w:lang w:val="en-US"/>
                </w:rPr>
              </m:ctrlPr>
            </m:dPr>
            <m:e>
              <m:r>
                <m:rPr>
                  <m:nor/>
                </m:rPr>
                <w:rPr>
                  <w:rFonts w:ascii="Cambria Math" w:hAnsi="Cambria Math" w:cs="Arial"/>
                  <w:sz w:val="24"/>
                  <w:szCs w:val="24"/>
                  <w:lang w:val="en-US"/>
                </w:rPr>
                <m:t>exchange shock</m:t>
              </m:r>
              <m:r>
                <m:rPr>
                  <m:sty m:val="p"/>
                </m:rPr>
                <w:rPr>
                  <w:rFonts w:ascii="Cambria Math" w:hAnsi="Cambria Math" w:cs="Arial"/>
                  <w:sz w:val="24"/>
                  <w:szCs w:val="24"/>
                  <w:lang w:val="en-US"/>
                </w:rPr>
                <m:t>→</m:t>
              </m:r>
              <m:r>
                <w:rPr>
                  <w:rFonts w:ascii="Cambria Math" w:hAnsi="Cambria Math" w:cs="Arial"/>
                  <w:sz w:val="24"/>
                  <w:szCs w:val="24"/>
                  <w:lang w:val="en-US"/>
                </w:rPr>
                <m:t>s</m:t>
              </m:r>
            </m:e>
          </m:d>
          <m:r>
            <w:rPr>
              <w:rFonts w:ascii="Cambria Math" w:hAnsi="Cambria Math" w:cs="Arial"/>
              <w:sz w:val="24"/>
              <w:szCs w:val="24"/>
              <w:lang w:val="en-US"/>
            </w:rPr>
            <m:t>=0,</m:t>
          </m:r>
          <m:r>
            <m:rPr>
              <m:sty m:val="p"/>
            </m:rPr>
            <w:rPr>
              <w:rFonts w:ascii="Cambria Math" w:hAnsi="Cambria Math" w:cs="Arial"/>
              <w:sz w:val="24"/>
              <w:szCs w:val="24"/>
              <w:lang w:val="en-US"/>
            </w:rPr>
            <m:t> </m:t>
          </m:r>
          <m:sSub>
            <m:sSubPr>
              <m:ctrlPr>
                <w:rPr>
                  <w:rFonts w:ascii="Cambria Math" w:hAnsi="Cambria Math" w:cs="Arial"/>
                  <w:i/>
                  <w:sz w:val="24"/>
                  <w:szCs w:val="24"/>
                  <w:lang w:val="en-US"/>
                </w:rPr>
              </m:ctrlPr>
            </m:sSubPr>
            <m:e>
              <m:r>
                <m:rPr>
                  <m:sty m:val="p"/>
                </m:rPr>
                <w:rPr>
                  <w:rFonts w:ascii="Cambria Math" w:hAnsi="Cambria Math" w:cs="Arial"/>
                  <w:sz w:val="24"/>
                  <w:szCs w:val="24"/>
                  <w:lang w:val="en-US"/>
                </w:rPr>
                <m:t>Θ</m:t>
              </m:r>
              <m:ctrlPr>
                <w:rPr>
                  <w:rFonts w:ascii="Cambria Math" w:hAnsi="Cambria Math" w:cs="Arial"/>
                  <w:sz w:val="24"/>
                  <w:szCs w:val="24"/>
                  <w:lang w:val="en-US"/>
                </w:rPr>
              </m:ctrlPr>
            </m:e>
            <m:sub>
              <m:r>
                <w:rPr>
                  <w:rFonts w:ascii="Cambria Math" w:hAnsi="Cambria Math" w:cs="Arial"/>
                  <w:sz w:val="24"/>
                  <w:szCs w:val="24"/>
                  <w:lang w:val="en-US"/>
                </w:rPr>
                <m:t>0</m:t>
              </m:r>
            </m:sub>
          </m:sSub>
          <m:d>
            <m:dPr>
              <m:ctrlPr>
                <w:rPr>
                  <w:rFonts w:ascii="Cambria Math" w:hAnsi="Cambria Math" w:cs="Arial"/>
                  <w:i/>
                  <w:sz w:val="24"/>
                  <w:szCs w:val="24"/>
                  <w:lang w:val="en-US"/>
                </w:rPr>
              </m:ctrlPr>
            </m:dPr>
            <m:e>
              <m:r>
                <m:rPr>
                  <m:nor/>
                </m:rPr>
                <w:rPr>
                  <w:rFonts w:ascii="Cambria Math" w:hAnsi="Cambria Math" w:cs="Arial"/>
                  <w:sz w:val="24"/>
                  <w:szCs w:val="24"/>
                  <w:lang w:val="en-US"/>
                </w:rPr>
                <m:t>exchange shock</m:t>
              </m:r>
              <m:r>
                <m:rPr>
                  <m:sty m:val="p"/>
                </m:rPr>
                <w:rPr>
                  <w:rFonts w:ascii="Cambria Math" w:hAnsi="Cambria Math" w:cs="Arial"/>
                  <w:sz w:val="24"/>
                  <w:szCs w:val="24"/>
                  <w:lang w:val="en-US"/>
                </w:rPr>
                <m:t>→</m:t>
              </m:r>
              <m:r>
                <w:rPr>
                  <w:rFonts w:ascii="Cambria Math" w:hAnsi="Cambria Math" w:cs="Arial"/>
                  <w:sz w:val="24"/>
                  <w:szCs w:val="24"/>
                  <w:lang w:val="en-US"/>
                </w:rPr>
                <m:t>i</m:t>
              </m:r>
            </m:e>
          </m:d>
          <m:r>
            <w:rPr>
              <w:rFonts w:ascii="Cambria Math" w:hAnsi="Cambria Math" w:cs="Arial"/>
              <w:sz w:val="24"/>
              <w:szCs w:val="24"/>
              <w:lang w:val="en-US"/>
            </w:rPr>
            <m:t>=0,</m:t>
          </m:r>
        </m:oMath>
      </m:oMathPara>
    </w:p>
    <w:p w14:paraId="79CCB4D7" w14:textId="14936D0A" w:rsidR="00B51617" w:rsidRPr="0022142B" w:rsidRDefault="00000000" w:rsidP="00B51617">
      <w:pPr>
        <w:spacing w:before="120" w:after="120" w:line="360" w:lineRule="auto"/>
        <w:jc w:val="both"/>
        <w:rPr>
          <w:rFonts w:eastAsiaTheme="minorEastAsia" w:cs="Arial"/>
          <w:sz w:val="24"/>
          <w:szCs w:val="24"/>
          <w:lang w:val="en-US"/>
        </w:rPr>
      </w:pPr>
      <m:oMathPara>
        <m:oMath>
          <m:sSub>
            <m:sSubPr>
              <m:ctrlPr>
                <w:rPr>
                  <w:rFonts w:ascii="Cambria Math" w:hAnsi="Cambria Math" w:cs="Arial"/>
                  <w:i/>
                  <w:sz w:val="24"/>
                  <w:szCs w:val="24"/>
                  <w:lang w:val="en-US"/>
                </w:rPr>
              </m:ctrlPr>
            </m:sSubPr>
            <m:e>
              <m:r>
                <m:rPr>
                  <m:sty m:val="p"/>
                </m:rPr>
                <w:rPr>
                  <w:rFonts w:ascii="Cambria Math" w:hAnsi="Cambria Math" w:cs="Arial"/>
                  <w:sz w:val="24"/>
                  <w:szCs w:val="24"/>
                  <w:lang w:val="en-US"/>
                </w:rPr>
                <m:t>Θ</m:t>
              </m:r>
              <m:ctrlPr>
                <w:rPr>
                  <w:rFonts w:ascii="Cambria Math" w:hAnsi="Cambria Math" w:cs="Arial"/>
                  <w:sz w:val="24"/>
                  <w:szCs w:val="24"/>
                  <w:lang w:val="en-US"/>
                </w:rPr>
              </m:ctrlPr>
            </m:e>
            <m:sub>
              <m:r>
                <w:rPr>
                  <w:rFonts w:ascii="Cambria Math" w:hAnsi="Cambria Math" w:cs="Arial"/>
                  <w:sz w:val="24"/>
                  <w:szCs w:val="24"/>
                  <w:lang w:val="en-US"/>
                </w:rPr>
                <m:t>0</m:t>
              </m:r>
            </m:sub>
          </m:sSub>
          <m:d>
            <m:dPr>
              <m:ctrlPr>
                <w:rPr>
                  <w:rFonts w:ascii="Cambria Math" w:hAnsi="Cambria Math" w:cs="Arial"/>
                  <w:i/>
                  <w:sz w:val="24"/>
                  <w:szCs w:val="24"/>
                  <w:lang w:val="en-US"/>
                </w:rPr>
              </m:ctrlPr>
            </m:dPr>
            <m:e>
              <m:r>
                <m:rPr>
                  <m:nor/>
                </m:rPr>
                <w:rPr>
                  <w:rFonts w:ascii="Cambria Math" w:hAnsi="Cambria Math" w:cs="Arial"/>
                  <w:sz w:val="24"/>
                  <w:szCs w:val="24"/>
                  <w:lang w:val="en-US"/>
                </w:rPr>
                <m:t>inflation shock</m:t>
              </m:r>
              <m:r>
                <m:rPr>
                  <m:sty m:val="p"/>
                </m:rPr>
                <w:rPr>
                  <w:rFonts w:ascii="Cambria Math" w:hAnsi="Cambria Math" w:cs="Arial"/>
                  <w:sz w:val="24"/>
                  <w:szCs w:val="24"/>
                  <w:lang w:val="en-US"/>
                </w:rPr>
                <m:t>→</m:t>
              </m:r>
              <m:r>
                <w:rPr>
                  <w:rFonts w:ascii="Cambria Math" w:hAnsi="Cambria Math" w:cs="Arial"/>
                  <w:sz w:val="24"/>
                  <w:szCs w:val="24"/>
                  <w:lang w:val="en-US"/>
                </w:rPr>
                <m:t>s</m:t>
              </m:r>
            </m:e>
          </m:d>
          <m:r>
            <w:rPr>
              <w:rFonts w:ascii="Cambria Math" w:hAnsi="Cambria Math" w:cs="Arial"/>
              <w:sz w:val="24"/>
              <w:szCs w:val="24"/>
              <w:lang w:val="en-US"/>
            </w:rPr>
            <m:t>=0,</m:t>
          </m:r>
          <m:r>
            <m:rPr>
              <m:sty m:val="p"/>
            </m:rPr>
            <w:rPr>
              <w:rFonts w:ascii="Cambria Math" w:hAnsi="Cambria Math" w:cs="Arial"/>
              <w:sz w:val="24"/>
              <w:szCs w:val="24"/>
              <w:lang w:val="en-US"/>
            </w:rPr>
            <m:t> </m:t>
          </m:r>
          <m:sSub>
            <m:sSubPr>
              <m:ctrlPr>
                <w:rPr>
                  <w:rFonts w:ascii="Cambria Math" w:hAnsi="Cambria Math" w:cs="Arial"/>
                  <w:i/>
                  <w:sz w:val="24"/>
                  <w:szCs w:val="24"/>
                  <w:lang w:val="en-US"/>
                </w:rPr>
              </m:ctrlPr>
            </m:sSubPr>
            <m:e>
              <m:r>
                <m:rPr>
                  <m:sty m:val="p"/>
                </m:rPr>
                <w:rPr>
                  <w:rFonts w:ascii="Cambria Math" w:hAnsi="Cambria Math" w:cs="Arial"/>
                  <w:sz w:val="24"/>
                  <w:szCs w:val="24"/>
                  <w:lang w:val="en-US"/>
                </w:rPr>
                <m:t>Θ</m:t>
              </m:r>
              <m:ctrlPr>
                <w:rPr>
                  <w:rFonts w:ascii="Cambria Math" w:hAnsi="Cambria Math" w:cs="Arial"/>
                  <w:sz w:val="24"/>
                  <w:szCs w:val="24"/>
                  <w:lang w:val="en-US"/>
                </w:rPr>
              </m:ctrlPr>
            </m:e>
            <m:sub>
              <m:r>
                <w:rPr>
                  <w:rFonts w:ascii="Cambria Math" w:hAnsi="Cambria Math" w:cs="Arial"/>
                  <w:sz w:val="24"/>
                  <w:szCs w:val="24"/>
                  <w:lang w:val="en-US"/>
                </w:rPr>
                <m:t>0</m:t>
              </m:r>
            </m:sub>
          </m:sSub>
          <m:d>
            <m:dPr>
              <m:ctrlPr>
                <w:rPr>
                  <w:rFonts w:ascii="Cambria Math" w:hAnsi="Cambria Math" w:cs="Arial"/>
                  <w:i/>
                  <w:sz w:val="24"/>
                  <w:szCs w:val="24"/>
                  <w:lang w:val="en-US"/>
                </w:rPr>
              </m:ctrlPr>
            </m:dPr>
            <m:e>
              <m:r>
                <m:rPr>
                  <m:nor/>
                </m:rPr>
                <w:rPr>
                  <w:rFonts w:ascii="Cambria Math" w:hAnsi="Cambria Math" w:cs="Arial"/>
                  <w:sz w:val="24"/>
                  <w:szCs w:val="24"/>
                  <w:lang w:val="en-US"/>
                </w:rPr>
                <m:t>inflation shock</m:t>
              </m:r>
              <m:r>
                <m:rPr>
                  <m:sty m:val="p"/>
                </m:rPr>
                <w:rPr>
                  <w:rFonts w:ascii="Cambria Math" w:hAnsi="Cambria Math" w:cs="Arial"/>
                  <w:sz w:val="24"/>
                  <w:szCs w:val="24"/>
                  <w:lang w:val="en-US"/>
                </w:rPr>
                <m:t>→</m:t>
              </m:r>
              <m:r>
                <w:rPr>
                  <w:rFonts w:ascii="Cambria Math" w:hAnsi="Cambria Math" w:cs="Arial"/>
                  <w:sz w:val="24"/>
                  <w:szCs w:val="24"/>
                  <w:lang w:val="en-US"/>
                </w:rPr>
                <m:t>e</m:t>
              </m:r>
            </m:e>
          </m:d>
          <m:r>
            <w:rPr>
              <w:rFonts w:ascii="Cambria Math" w:hAnsi="Cambria Math" w:cs="Arial"/>
              <w:sz w:val="24"/>
              <w:szCs w:val="24"/>
              <w:lang w:val="en-US"/>
            </w:rPr>
            <m:t>=0,</m:t>
          </m:r>
          <m:r>
            <m:rPr>
              <m:sty m:val="p"/>
            </m:rPr>
            <w:rPr>
              <w:rFonts w:ascii="Cambria Math" w:hAnsi="Cambria Math" w:cs="Arial"/>
              <w:sz w:val="24"/>
              <w:szCs w:val="24"/>
              <w:lang w:val="en-US"/>
            </w:rPr>
            <m:t> </m:t>
          </m:r>
          <m:sSub>
            <m:sSubPr>
              <m:ctrlPr>
                <w:rPr>
                  <w:rFonts w:ascii="Cambria Math" w:hAnsi="Cambria Math" w:cs="Arial"/>
                  <w:i/>
                  <w:sz w:val="24"/>
                  <w:szCs w:val="24"/>
                  <w:lang w:val="en-US"/>
                </w:rPr>
              </m:ctrlPr>
            </m:sSubPr>
            <m:e>
              <m:r>
                <m:rPr>
                  <m:sty m:val="p"/>
                </m:rPr>
                <w:rPr>
                  <w:rFonts w:ascii="Cambria Math" w:hAnsi="Cambria Math" w:cs="Arial"/>
                  <w:sz w:val="24"/>
                  <w:szCs w:val="24"/>
                  <w:lang w:val="en-US"/>
                </w:rPr>
                <m:t>Θ</m:t>
              </m:r>
              <m:ctrlPr>
                <w:rPr>
                  <w:rFonts w:ascii="Cambria Math" w:hAnsi="Cambria Math" w:cs="Arial"/>
                  <w:sz w:val="24"/>
                  <w:szCs w:val="24"/>
                  <w:lang w:val="en-US"/>
                </w:rPr>
              </m:ctrlPr>
            </m:e>
            <m:sub>
              <m:r>
                <w:rPr>
                  <w:rFonts w:ascii="Cambria Math" w:hAnsi="Cambria Math" w:cs="Arial"/>
                  <w:sz w:val="24"/>
                  <w:szCs w:val="24"/>
                  <w:lang w:val="en-US"/>
                </w:rPr>
                <m:t>0</m:t>
              </m:r>
            </m:sub>
          </m:sSub>
          <m:d>
            <m:dPr>
              <m:ctrlPr>
                <w:rPr>
                  <w:rFonts w:ascii="Cambria Math" w:hAnsi="Cambria Math" w:cs="Arial"/>
                  <w:i/>
                  <w:sz w:val="24"/>
                  <w:szCs w:val="24"/>
                  <w:lang w:val="en-US"/>
                </w:rPr>
              </m:ctrlPr>
            </m:dPr>
            <m:e>
              <m:r>
                <m:rPr>
                  <m:nor/>
                </m:rPr>
                <w:rPr>
                  <w:rFonts w:ascii="Cambria Math" w:hAnsi="Cambria Math" w:cs="Arial"/>
                  <w:sz w:val="24"/>
                  <w:szCs w:val="24"/>
                  <w:lang w:val="en-US"/>
                </w:rPr>
                <m:t>inflation shock</m:t>
              </m:r>
              <m:r>
                <m:rPr>
                  <m:sty m:val="p"/>
                </m:rPr>
                <w:rPr>
                  <w:rFonts w:ascii="Cambria Math" w:hAnsi="Cambria Math" w:cs="Arial"/>
                  <w:sz w:val="24"/>
                  <w:szCs w:val="24"/>
                  <w:lang w:val="en-US"/>
                </w:rPr>
                <m:t>→</m:t>
              </m:r>
              <m:r>
                <w:rPr>
                  <w:rFonts w:ascii="Cambria Math" w:hAnsi="Cambria Math" w:cs="Arial"/>
                  <w:sz w:val="24"/>
                  <w:szCs w:val="24"/>
                  <w:lang w:val="en-US"/>
                </w:rPr>
                <m:t>i</m:t>
              </m:r>
            </m:e>
          </m:d>
          <m:r>
            <w:rPr>
              <w:rFonts w:ascii="Cambria Math" w:hAnsi="Cambria Math" w:cs="Arial"/>
              <w:sz w:val="24"/>
              <w:szCs w:val="24"/>
              <w:lang w:val="en-US"/>
            </w:rPr>
            <m:t>=0,</m:t>
          </m:r>
        </m:oMath>
      </m:oMathPara>
    </w:p>
    <w:p w14:paraId="029C6B20" w14:textId="22B87D63" w:rsidR="0022142B" w:rsidRPr="0022142B" w:rsidRDefault="00000000" w:rsidP="00B51617">
      <w:pPr>
        <w:spacing w:before="120" w:after="120" w:line="360" w:lineRule="auto"/>
        <w:jc w:val="both"/>
        <w:rPr>
          <w:rFonts w:eastAsiaTheme="minorEastAsia" w:cs="Arial"/>
          <w:sz w:val="24"/>
          <w:szCs w:val="24"/>
          <w:lang w:val="en-US"/>
        </w:rPr>
      </w:pPr>
      <m:oMathPara>
        <m:oMath>
          <m:sSub>
            <m:sSubPr>
              <m:ctrlPr>
                <w:rPr>
                  <w:rFonts w:ascii="Cambria Math" w:hAnsi="Cambria Math" w:cs="Arial"/>
                  <w:i/>
                  <w:sz w:val="24"/>
                  <w:szCs w:val="24"/>
                  <w:lang w:val="en-US"/>
                </w:rPr>
              </m:ctrlPr>
            </m:sSubPr>
            <m:e>
              <m:r>
                <m:rPr>
                  <m:sty m:val="p"/>
                </m:rPr>
                <w:rPr>
                  <w:rFonts w:ascii="Cambria Math" w:hAnsi="Cambria Math" w:cs="Arial"/>
                  <w:sz w:val="24"/>
                  <w:szCs w:val="24"/>
                  <w:lang w:val="en-US"/>
                </w:rPr>
                <m:t>Θ</m:t>
              </m:r>
              <m:ctrlPr>
                <w:rPr>
                  <w:rFonts w:ascii="Cambria Math" w:hAnsi="Cambria Math" w:cs="Arial"/>
                  <w:sz w:val="24"/>
                  <w:szCs w:val="24"/>
                  <w:lang w:val="en-US"/>
                </w:rPr>
              </m:ctrlPr>
            </m:e>
            <m:sub>
              <m:r>
                <w:rPr>
                  <w:rFonts w:ascii="Cambria Math" w:hAnsi="Cambria Math" w:cs="Arial"/>
                  <w:sz w:val="24"/>
                  <w:szCs w:val="24"/>
                  <w:lang w:val="en-US"/>
                </w:rPr>
                <m:t>0</m:t>
              </m:r>
            </m:sub>
          </m:sSub>
          <m:d>
            <m:dPr>
              <m:ctrlPr>
                <w:rPr>
                  <w:rFonts w:ascii="Cambria Math" w:hAnsi="Cambria Math" w:cs="Arial"/>
                  <w:i/>
                  <w:sz w:val="24"/>
                  <w:szCs w:val="24"/>
                  <w:lang w:val="en-US"/>
                </w:rPr>
              </m:ctrlPr>
            </m:dPr>
            <m:e>
              <m:r>
                <m:rPr>
                  <m:nor/>
                </m:rPr>
                <w:rPr>
                  <w:rFonts w:ascii="Cambria Math" w:hAnsi="Cambria Math" w:cs="Arial"/>
                  <w:sz w:val="24"/>
                  <w:szCs w:val="24"/>
                  <w:lang w:val="en-US"/>
                </w:rPr>
                <m:t>monetary policy shock</m:t>
              </m:r>
              <m:r>
                <m:rPr>
                  <m:sty m:val="p"/>
                </m:rPr>
                <w:rPr>
                  <w:rFonts w:ascii="Cambria Math" w:hAnsi="Cambria Math" w:cs="Arial"/>
                  <w:sz w:val="24"/>
                  <w:szCs w:val="24"/>
                  <w:lang w:val="en-US"/>
                </w:rPr>
                <m:t>→</m:t>
              </m:r>
              <m:r>
                <w:rPr>
                  <w:rFonts w:ascii="Cambria Math" w:hAnsi="Cambria Math" w:cs="Arial"/>
                  <w:sz w:val="24"/>
                  <w:szCs w:val="24"/>
                  <w:lang w:val="en-US"/>
                </w:rPr>
                <m:t>i</m:t>
              </m:r>
            </m:e>
          </m:d>
          <m:r>
            <w:rPr>
              <w:rFonts w:ascii="Cambria Math" w:hAnsi="Cambria Math" w:cs="Arial"/>
              <w:sz w:val="24"/>
              <w:szCs w:val="24"/>
              <w:lang w:val="en-US"/>
            </w:rPr>
            <m:t>&gt;0.</m:t>
          </m:r>
        </m:oMath>
      </m:oMathPara>
    </w:p>
    <w:p w14:paraId="6F211983" w14:textId="288FCCBC" w:rsidR="0022142B" w:rsidRDefault="0022142B" w:rsidP="00B51617">
      <w:pPr>
        <w:spacing w:before="120" w:after="120" w:line="360" w:lineRule="auto"/>
        <w:jc w:val="both"/>
        <w:rPr>
          <w:rFonts w:cs="Arial"/>
          <w:sz w:val="24"/>
          <w:szCs w:val="24"/>
          <w:lang w:val="en-US"/>
        </w:rPr>
      </w:pPr>
      <w:r w:rsidRPr="0022142B">
        <w:rPr>
          <w:rFonts w:cs="Arial"/>
          <w:sz w:val="24"/>
          <w:szCs w:val="24"/>
          <w:lang w:val="en-US"/>
        </w:rPr>
        <w:t xml:space="preserve">Here, </w:t>
      </w:r>
      <m:oMath>
        <m:sSub>
          <m:sSubPr>
            <m:ctrlPr>
              <w:rPr>
                <w:rFonts w:ascii="Cambria Math" w:hAnsi="Cambria Math" w:cs="Arial"/>
                <w:i/>
                <w:sz w:val="24"/>
                <w:szCs w:val="24"/>
                <w:lang w:val="en-US"/>
              </w:rPr>
            </m:ctrlPr>
          </m:sSubPr>
          <m:e>
            <m:r>
              <m:rPr>
                <m:sty m:val="p"/>
              </m:rPr>
              <w:rPr>
                <w:rFonts w:ascii="Cambria Math" w:hAnsi="Cambria Math" w:cs="Arial"/>
                <w:sz w:val="24"/>
                <w:szCs w:val="24"/>
                <w:lang w:val="en-US"/>
              </w:rPr>
              <m:t>Θ</m:t>
            </m:r>
            <m:ctrlPr>
              <w:rPr>
                <w:rFonts w:ascii="Cambria Math" w:hAnsi="Cambria Math" w:cs="Arial"/>
                <w:sz w:val="24"/>
                <w:szCs w:val="24"/>
                <w:lang w:val="en-US"/>
              </w:rPr>
            </m:ctrlPr>
          </m:e>
          <m:sub>
            <m:r>
              <w:rPr>
                <w:rFonts w:ascii="Cambria Math" w:hAnsi="Cambria Math" w:cs="Arial"/>
                <w:sz w:val="24"/>
                <w:szCs w:val="24"/>
                <w:lang w:val="en-US"/>
              </w:rPr>
              <m:t>0</m:t>
            </m:r>
          </m:sub>
        </m:sSub>
      </m:oMath>
      <w:r w:rsidRPr="0022142B">
        <w:rPr>
          <w:rFonts w:cs="Arial"/>
          <w:sz w:val="24"/>
          <w:szCs w:val="24"/>
          <w:lang w:val="en-US"/>
        </w:rPr>
        <w:t xml:space="preserve"> denotes the impact multiplier matrix (the inverse of the contemporaneous coefficient matrix </w:t>
      </w:r>
      <m:oMath>
        <m:r>
          <w:rPr>
            <w:rFonts w:ascii="Cambria Math" w:hAnsi="Cambria Math" w:cs="Arial"/>
            <w:sz w:val="24"/>
            <w:szCs w:val="24"/>
            <w:lang w:val="en-US"/>
          </w:rPr>
          <m:t>B</m:t>
        </m:r>
      </m:oMath>
      <w:r w:rsidRPr="0022142B">
        <w:rPr>
          <w:rFonts w:cs="Arial"/>
          <w:sz w:val="24"/>
          <w:szCs w:val="24"/>
          <w:lang w:val="en-US"/>
        </w:rPr>
        <w:t>). This identification structure ensures that:</w:t>
      </w:r>
    </w:p>
    <w:p w14:paraId="46354C54" w14:textId="1BE54064" w:rsidR="0022142B" w:rsidRDefault="0022142B" w:rsidP="0022142B">
      <w:pPr>
        <w:pStyle w:val="Prrafodelista"/>
        <w:numPr>
          <w:ilvl w:val="0"/>
          <w:numId w:val="7"/>
        </w:numPr>
        <w:spacing w:before="120" w:after="120" w:line="360" w:lineRule="auto"/>
        <w:jc w:val="both"/>
        <w:rPr>
          <w:rFonts w:cs="Arial"/>
          <w:sz w:val="24"/>
          <w:szCs w:val="24"/>
          <w:lang w:val="en-US"/>
        </w:rPr>
      </w:pPr>
      <w:r w:rsidRPr="0022142B">
        <w:rPr>
          <w:rFonts w:cs="Arial"/>
          <w:sz w:val="24"/>
          <w:szCs w:val="24"/>
          <w:lang w:val="en-US"/>
        </w:rPr>
        <w:t xml:space="preserve">A </w:t>
      </w:r>
      <w:r w:rsidRPr="0022142B">
        <w:rPr>
          <w:rFonts w:cs="Arial"/>
          <w:i/>
          <w:iCs/>
          <w:sz w:val="24"/>
          <w:szCs w:val="24"/>
          <w:lang w:val="en-US"/>
        </w:rPr>
        <w:t>sentiment shock</w:t>
      </w:r>
      <w:r w:rsidRPr="0022142B">
        <w:rPr>
          <w:rFonts w:cs="Arial"/>
          <w:sz w:val="24"/>
          <w:szCs w:val="24"/>
          <w:lang w:val="en-US"/>
        </w:rPr>
        <w:t xml:space="preserve"> depreciates the exchange rate on impact but leaves the interest rate unaffected contemporaneously.</w:t>
      </w:r>
    </w:p>
    <w:p w14:paraId="7B16D99A" w14:textId="1240CDB7" w:rsidR="0022142B" w:rsidRDefault="0022142B" w:rsidP="0022142B">
      <w:pPr>
        <w:pStyle w:val="Prrafodelista"/>
        <w:numPr>
          <w:ilvl w:val="0"/>
          <w:numId w:val="7"/>
        </w:numPr>
        <w:spacing w:before="120" w:after="120" w:line="360" w:lineRule="auto"/>
        <w:jc w:val="both"/>
        <w:rPr>
          <w:rFonts w:cs="Arial"/>
          <w:sz w:val="24"/>
          <w:szCs w:val="24"/>
          <w:lang w:val="en-US"/>
        </w:rPr>
      </w:pPr>
      <w:r w:rsidRPr="0022142B">
        <w:rPr>
          <w:rFonts w:cs="Arial"/>
          <w:sz w:val="24"/>
          <w:szCs w:val="24"/>
          <w:lang w:val="en-US"/>
        </w:rPr>
        <w:t xml:space="preserve">An </w:t>
      </w:r>
      <w:r w:rsidRPr="0022142B">
        <w:rPr>
          <w:rFonts w:cs="Arial"/>
          <w:i/>
          <w:iCs/>
          <w:sz w:val="24"/>
          <w:szCs w:val="24"/>
          <w:lang w:val="en-US"/>
        </w:rPr>
        <w:t>exchange rate shock</w:t>
      </w:r>
      <w:r w:rsidRPr="0022142B">
        <w:rPr>
          <w:rFonts w:cs="Arial"/>
          <w:sz w:val="24"/>
          <w:szCs w:val="24"/>
          <w:lang w:val="en-US"/>
        </w:rPr>
        <w:t xml:space="preserve"> raises inflation instantly but does not affect sentiment or the interest rate on impact.</w:t>
      </w:r>
    </w:p>
    <w:p w14:paraId="0BF8DBE2" w14:textId="6A6AF9AC" w:rsidR="0022142B" w:rsidRDefault="0022142B" w:rsidP="0022142B">
      <w:pPr>
        <w:pStyle w:val="Prrafodelista"/>
        <w:numPr>
          <w:ilvl w:val="0"/>
          <w:numId w:val="7"/>
        </w:numPr>
        <w:spacing w:before="120" w:after="120" w:line="360" w:lineRule="auto"/>
        <w:jc w:val="both"/>
        <w:rPr>
          <w:rFonts w:cs="Arial"/>
          <w:sz w:val="24"/>
          <w:szCs w:val="24"/>
          <w:lang w:val="en-US"/>
        </w:rPr>
      </w:pPr>
      <w:r>
        <w:rPr>
          <w:rFonts w:cs="Arial"/>
          <w:sz w:val="24"/>
          <w:szCs w:val="24"/>
          <w:lang w:val="en-US"/>
        </w:rPr>
        <w:t>A</w:t>
      </w:r>
      <w:r w:rsidRPr="0022142B">
        <w:rPr>
          <w:rFonts w:cs="Arial"/>
          <w:sz w:val="24"/>
          <w:szCs w:val="24"/>
          <w:lang w:val="en-US"/>
        </w:rPr>
        <w:t xml:space="preserve">n </w:t>
      </w:r>
      <w:r w:rsidRPr="0022142B">
        <w:rPr>
          <w:rFonts w:cs="Arial"/>
          <w:i/>
          <w:iCs/>
          <w:sz w:val="24"/>
          <w:szCs w:val="24"/>
          <w:lang w:val="en-US"/>
        </w:rPr>
        <w:t>inflation shock</w:t>
      </w:r>
      <w:r w:rsidRPr="0022142B">
        <w:rPr>
          <w:rFonts w:cs="Arial"/>
          <w:sz w:val="24"/>
          <w:szCs w:val="24"/>
          <w:lang w:val="en-US"/>
        </w:rPr>
        <w:t xml:space="preserve"> has no immediate influence on sentiment, exchange rate, or interest rate.</w:t>
      </w:r>
    </w:p>
    <w:p w14:paraId="078DAAF6" w14:textId="149CD014" w:rsidR="0022142B" w:rsidRDefault="0022142B" w:rsidP="0022142B">
      <w:pPr>
        <w:pStyle w:val="Prrafodelista"/>
        <w:numPr>
          <w:ilvl w:val="0"/>
          <w:numId w:val="7"/>
        </w:numPr>
        <w:spacing w:before="120" w:after="120" w:line="360" w:lineRule="auto"/>
        <w:jc w:val="both"/>
        <w:rPr>
          <w:rFonts w:cs="Arial"/>
          <w:sz w:val="24"/>
          <w:szCs w:val="24"/>
          <w:lang w:val="en-US"/>
        </w:rPr>
      </w:pPr>
      <w:r w:rsidRPr="0022142B">
        <w:rPr>
          <w:rFonts w:cs="Arial"/>
          <w:sz w:val="24"/>
          <w:szCs w:val="24"/>
          <w:lang w:val="en-US"/>
        </w:rPr>
        <w:t xml:space="preserve">A </w:t>
      </w:r>
      <w:r w:rsidRPr="0022142B">
        <w:rPr>
          <w:rFonts w:cs="Arial"/>
          <w:i/>
          <w:iCs/>
          <w:sz w:val="24"/>
          <w:szCs w:val="24"/>
          <w:lang w:val="en-US"/>
        </w:rPr>
        <w:t>monetary policy shock</w:t>
      </w:r>
      <w:r w:rsidRPr="0022142B">
        <w:rPr>
          <w:rFonts w:cs="Arial"/>
          <w:sz w:val="24"/>
          <w:szCs w:val="24"/>
          <w:lang w:val="en-US"/>
        </w:rPr>
        <w:t xml:space="preserve"> directly increases the interest rate, while its effects on the other variables remain unrestricted.</w:t>
      </w:r>
    </w:p>
    <w:p w14:paraId="6C4DFE48" w14:textId="531FE96B" w:rsidR="0022142B" w:rsidRDefault="0022142B" w:rsidP="0022142B">
      <w:pPr>
        <w:spacing w:before="120" w:after="120" w:line="360" w:lineRule="auto"/>
        <w:jc w:val="both"/>
        <w:rPr>
          <w:rFonts w:cs="Arial"/>
          <w:sz w:val="24"/>
          <w:szCs w:val="24"/>
          <w:lang w:val="en-US"/>
        </w:rPr>
      </w:pPr>
      <w:r w:rsidRPr="0022142B">
        <w:rPr>
          <w:rFonts w:cs="Arial"/>
          <w:sz w:val="24"/>
          <w:szCs w:val="24"/>
          <w:lang w:val="en-US"/>
        </w:rPr>
        <w:t>This setup aligns with the theoretical framework and reflects the high-frequency characteristics of the data. It captures the delayed policy responses of the BCB while allowing for immediate adjustments via the interbank rate.</w:t>
      </w:r>
    </w:p>
    <w:p w14:paraId="674B0E0A" w14:textId="24828140" w:rsidR="0022142B" w:rsidRDefault="0022142B" w:rsidP="0022142B">
      <w:pPr>
        <w:spacing w:before="120" w:after="120" w:line="360" w:lineRule="auto"/>
        <w:jc w:val="both"/>
        <w:rPr>
          <w:rFonts w:cs="Arial"/>
          <w:sz w:val="24"/>
          <w:szCs w:val="24"/>
          <w:lang w:val="en-US"/>
        </w:rPr>
      </w:pPr>
      <w:r w:rsidRPr="0022142B">
        <w:rPr>
          <w:rFonts w:cs="Arial"/>
          <w:sz w:val="24"/>
          <w:szCs w:val="24"/>
          <w:lang w:val="en-US"/>
        </w:rPr>
        <w:t>Figure</w:t>
      </w:r>
      <w:r>
        <w:rPr>
          <w:rFonts w:cs="Arial"/>
          <w:sz w:val="24"/>
          <w:szCs w:val="24"/>
          <w:lang w:val="en-US"/>
        </w:rPr>
        <w:t xml:space="preserve"> 8</w:t>
      </w:r>
      <w:r w:rsidRPr="0022142B">
        <w:rPr>
          <w:rFonts w:cs="Arial"/>
          <w:sz w:val="24"/>
          <w:szCs w:val="24"/>
          <w:lang w:val="en-US"/>
        </w:rPr>
        <w:t xml:space="preserve"> presents the IRFs of the interbank interest rate to the structural shocks. Panel~(a) shows that a one-percentage-point increase in inflation due to a supply shock prompts an immediate rise in the interbank rate, peaking at approximately 0.37 percentage points after one week. This initial tightening reflects a standard policy response aimed at stabilizing </w:t>
      </w:r>
      <w:r w:rsidRPr="0022142B">
        <w:rPr>
          <w:rFonts w:cs="Arial"/>
          <w:sz w:val="24"/>
          <w:szCs w:val="24"/>
          <w:lang w:val="en-US"/>
        </w:rPr>
        <w:lastRenderedPageBreak/>
        <w:t>inflation, consistent with Taylor-rule dynamics. However, the adjustment follows an inverted-U trajectory, with the interbank rate gradually declining and falling below pre-shock levels (by about 0.12 percentage points) approximately 35 days post-shock. This transient response suggests that Bolivia's monetary policy framework, focused on liquidity management rather than sustained interest rate targeting, reacts flexibly to inflationary pressures without committing to prolonged rate hikes.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895"/>
      </w:tblGrid>
      <w:tr w:rsidR="0022142B" w:rsidRPr="00B51617" w14:paraId="5F4A2CE8" w14:textId="77777777" w:rsidTr="00F750ED">
        <w:trPr>
          <w:trHeight w:val="3389"/>
          <w:jc w:val="center"/>
        </w:trPr>
        <w:tc>
          <w:tcPr>
            <w:tcW w:w="9710" w:type="dxa"/>
            <w:gridSpan w:val="2"/>
          </w:tcPr>
          <w:p w14:paraId="3723463C" w14:textId="6935CE1D" w:rsidR="0022142B" w:rsidRPr="00B51617" w:rsidRDefault="0022142B" w:rsidP="0022142B">
            <w:pPr>
              <w:pStyle w:val="Sinespaciado"/>
              <w:jc w:val="center"/>
              <w:rPr>
                <w:rFonts w:cs="Arial"/>
                <w:noProof/>
                <w:lang w:val="en-US"/>
              </w:rPr>
            </w:pPr>
            <w:r>
              <w:rPr>
                <w:rFonts w:cs="Arial"/>
                <w:noProof/>
                <w:lang w:val="en-US"/>
              </w:rPr>
              <w:drawing>
                <wp:inline distT="0" distB="0" distL="0" distR="0" wp14:anchorId="50311782" wp14:editId="223D9E7B">
                  <wp:extent cx="2757054" cy="2119252"/>
                  <wp:effectExtent l="0" t="0" r="5715" b="0"/>
                  <wp:docPr id="2539532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53239" name="Imagen 253953239"/>
                          <pic:cNvPicPr/>
                        </pic:nvPicPr>
                        <pic:blipFill rotWithShape="1">
                          <a:blip r:embed="rId22" cstate="print">
                            <a:extLst>
                              <a:ext uri="{28A0092B-C50C-407E-A947-70E740481C1C}">
                                <a14:useLocalDpi xmlns:a14="http://schemas.microsoft.com/office/drawing/2010/main" val="0"/>
                              </a:ext>
                            </a:extLst>
                          </a:blip>
                          <a:srcRect t="9393"/>
                          <a:stretch/>
                        </pic:blipFill>
                        <pic:spPr bwMode="auto">
                          <a:xfrm>
                            <a:off x="0" y="0"/>
                            <a:ext cx="2776547" cy="2134235"/>
                          </a:xfrm>
                          <a:prstGeom prst="rect">
                            <a:avLst/>
                          </a:prstGeom>
                          <a:ln>
                            <a:noFill/>
                          </a:ln>
                          <a:extLst>
                            <a:ext uri="{53640926-AAD7-44D8-BBD7-CCE9431645EC}">
                              <a14:shadowObscured xmlns:a14="http://schemas.microsoft.com/office/drawing/2010/main"/>
                            </a:ext>
                          </a:extLst>
                        </pic:spPr>
                      </pic:pic>
                    </a:graphicData>
                  </a:graphic>
                </wp:inline>
              </w:drawing>
            </w:r>
          </w:p>
        </w:tc>
      </w:tr>
      <w:tr w:rsidR="0022142B" w:rsidRPr="00B51617" w14:paraId="56EE28DF" w14:textId="77777777" w:rsidTr="00F750ED">
        <w:trPr>
          <w:jc w:val="center"/>
        </w:trPr>
        <w:tc>
          <w:tcPr>
            <w:tcW w:w="9710" w:type="dxa"/>
            <w:gridSpan w:val="2"/>
          </w:tcPr>
          <w:p w14:paraId="28015A33" w14:textId="5A3EC3A8" w:rsidR="0022142B" w:rsidRPr="0022142B" w:rsidRDefault="0022142B" w:rsidP="002B00D4">
            <w:pPr>
              <w:pStyle w:val="Sinespaciado"/>
              <w:jc w:val="center"/>
              <w:rPr>
                <w:rFonts w:cs="Arial"/>
                <w:noProof/>
                <w:lang w:val="en-US"/>
              </w:rPr>
            </w:pPr>
            <w:r w:rsidRPr="0022142B">
              <w:rPr>
                <w:rFonts w:cs="Arial"/>
                <w:lang w:val="en-US"/>
              </w:rPr>
              <w:t>(</w:t>
            </w:r>
            <w:r>
              <w:rPr>
                <w:rFonts w:cs="Arial"/>
                <w:lang w:val="en-US"/>
              </w:rPr>
              <w:t>a</w:t>
            </w:r>
            <w:r w:rsidRPr="0022142B">
              <w:rPr>
                <w:rFonts w:cs="Arial"/>
                <w:lang w:val="en-US"/>
              </w:rPr>
              <w:t>) Supply (</w:t>
            </w:r>
            <m:oMath>
              <m:r>
                <m:rPr>
                  <m:sty m:val="p"/>
                </m:rPr>
                <w:rPr>
                  <w:rFonts w:ascii="Cambria Math" w:hAnsi="Cambria Math" w:cs="Arial"/>
                  <w:lang w:val="en-US"/>
                </w:rPr>
                <m:t>↑ π</m:t>
              </m:r>
            </m:oMath>
            <w:r w:rsidRPr="0022142B">
              <w:rPr>
                <w:rFonts w:cs="Arial"/>
                <w:lang w:val="en-US"/>
              </w:rPr>
              <w:t xml:space="preserve"> ) Shock</w:t>
            </w:r>
          </w:p>
        </w:tc>
      </w:tr>
      <w:tr w:rsidR="00F750ED" w:rsidRPr="00B51617" w14:paraId="01337E87" w14:textId="77777777" w:rsidTr="00F750ED">
        <w:trPr>
          <w:jc w:val="center"/>
        </w:trPr>
        <w:tc>
          <w:tcPr>
            <w:tcW w:w="4815" w:type="dxa"/>
          </w:tcPr>
          <w:p w14:paraId="3C9CB4CC" w14:textId="041E47F5" w:rsidR="0022142B" w:rsidRPr="0022142B" w:rsidRDefault="0022142B" w:rsidP="002B00D4">
            <w:pPr>
              <w:pStyle w:val="Sinespaciado"/>
              <w:jc w:val="center"/>
              <w:rPr>
                <w:rFonts w:cs="Arial"/>
                <w:lang w:val="en-US"/>
              </w:rPr>
            </w:pPr>
            <w:r>
              <w:rPr>
                <w:rFonts w:cs="Arial"/>
                <w:noProof/>
                <w:lang w:val="en-US"/>
              </w:rPr>
              <w:drawing>
                <wp:inline distT="0" distB="0" distL="0" distR="0" wp14:anchorId="18BB23CD" wp14:editId="1DBE227C">
                  <wp:extent cx="2758876" cy="2202641"/>
                  <wp:effectExtent l="0" t="0" r="3810" b="7620"/>
                  <wp:docPr id="96402720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27200" name="Imagen 964027200"/>
                          <pic:cNvPicPr/>
                        </pic:nvPicPr>
                        <pic:blipFill rotWithShape="1">
                          <a:blip r:embed="rId23" cstate="print">
                            <a:extLst>
                              <a:ext uri="{28A0092B-C50C-407E-A947-70E740481C1C}">
                                <a14:useLocalDpi xmlns:a14="http://schemas.microsoft.com/office/drawing/2010/main" val="0"/>
                              </a:ext>
                            </a:extLst>
                          </a:blip>
                          <a:srcRect t="5639"/>
                          <a:stretch/>
                        </pic:blipFill>
                        <pic:spPr bwMode="auto">
                          <a:xfrm>
                            <a:off x="0" y="0"/>
                            <a:ext cx="2766747" cy="2208925"/>
                          </a:xfrm>
                          <a:prstGeom prst="rect">
                            <a:avLst/>
                          </a:prstGeom>
                          <a:ln>
                            <a:noFill/>
                          </a:ln>
                          <a:extLst>
                            <a:ext uri="{53640926-AAD7-44D8-BBD7-CCE9431645EC}">
                              <a14:shadowObscured xmlns:a14="http://schemas.microsoft.com/office/drawing/2010/main"/>
                            </a:ext>
                          </a:extLst>
                        </pic:spPr>
                      </pic:pic>
                    </a:graphicData>
                  </a:graphic>
                </wp:inline>
              </w:drawing>
            </w:r>
          </w:p>
        </w:tc>
        <w:tc>
          <w:tcPr>
            <w:tcW w:w="4895" w:type="dxa"/>
          </w:tcPr>
          <w:p w14:paraId="62D0D976" w14:textId="46D6BFE3" w:rsidR="0022142B" w:rsidRPr="0022142B" w:rsidRDefault="0022142B" w:rsidP="002B00D4">
            <w:pPr>
              <w:pStyle w:val="Sinespaciado"/>
              <w:jc w:val="center"/>
              <w:rPr>
                <w:rFonts w:cs="Arial"/>
                <w:noProof/>
                <w:lang w:val="en-US"/>
              </w:rPr>
            </w:pPr>
            <w:r>
              <w:rPr>
                <w:rFonts w:cs="Arial"/>
                <w:noProof/>
                <w:lang w:val="en-US"/>
              </w:rPr>
              <w:drawing>
                <wp:inline distT="0" distB="0" distL="0" distR="0" wp14:anchorId="378C30E5" wp14:editId="3186DC4C">
                  <wp:extent cx="2937358" cy="2244437"/>
                  <wp:effectExtent l="0" t="0" r="0" b="3810"/>
                  <wp:docPr id="3898940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94020" name="Imagen 389894020"/>
                          <pic:cNvPicPr/>
                        </pic:nvPicPr>
                        <pic:blipFill rotWithShape="1">
                          <a:blip r:embed="rId24" cstate="print">
                            <a:extLst>
                              <a:ext uri="{28A0092B-C50C-407E-A947-70E740481C1C}">
                                <a14:useLocalDpi xmlns:a14="http://schemas.microsoft.com/office/drawing/2010/main" val="0"/>
                              </a:ext>
                            </a:extLst>
                          </a:blip>
                          <a:srcRect t="9426"/>
                          <a:stretch/>
                        </pic:blipFill>
                        <pic:spPr bwMode="auto">
                          <a:xfrm>
                            <a:off x="0" y="0"/>
                            <a:ext cx="2953560" cy="2256817"/>
                          </a:xfrm>
                          <a:prstGeom prst="rect">
                            <a:avLst/>
                          </a:prstGeom>
                          <a:ln>
                            <a:noFill/>
                          </a:ln>
                          <a:extLst>
                            <a:ext uri="{53640926-AAD7-44D8-BBD7-CCE9431645EC}">
                              <a14:shadowObscured xmlns:a14="http://schemas.microsoft.com/office/drawing/2010/main"/>
                            </a:ext>
                          </a:extLst>
                        </pic:spPr>
                      </pic:pic>
                    </a:graphicData>
                  </a:graphic>
                </wp:inline>
              </w:drawing>
            </w:r>
          </w:p>
        </w:tc>
      </w:tr>
      <w:tr w:rsidR="0022142B" w:rsidRPr="00B51617" w14:paraId="10861E28" w14:textId="77777777" w:rsidTr="00F750ED">
        <w:trPr>
          <w:jc w:val="center"/>
        </w:trPr>
        <w:tc>
          <w:tcPr>
            <w:tcW w:w="4815" w:type="dxa"/>
          </w:tcPr>
          <w:p w14:paraId="3BA9BA91" w14:textId="0C4A3A9F" w:rsidR="0022142B" w:rsidRPr="0022142B" w:rsidRDefault="0022142B" w:rsidP="002B00D4">
            <w:pPr>
              <w:pStyle w:val="Sinespaciado"/>
              <w:jc w:val="center"/>
              <w:rPr>
                <w:rFonts w:cs="Arial"/>
                <w:lang w:val="en-US"/>
              </w:rPr>
            </w:pPr>
            <w:r w:rsidRPr="0022142B">
              <w:rPr>
                <w:rFonts w:cs="Arial"/>
                <w:lang w:val="en-US"/>
              </w:rPr>
              <w:t>(b) Sentiment (</w:t>
            </w:r>
            <m:oMath>
              <m:r>
                <m:rPr>
                  <m:sty m:val="p"/>
                </m:rPr>
                <w:rPr>
                  <w:rFonts w:ascii="Cambria Math" w:hAnsi="Cambria Math" w:cs="Arial"/>
                  <w:lang w:val="en-US"/>
                </w:rPr>
                <m:t>↑</m:t>
              </m:r>
            </m:oMath>
            <w:r w:rsidRPr="0022142B">
              <w:rPr>
                <w:rFonts w:cs="Arial"/>
                <w:lang w:val="en-US"/>
              </w:rPr>
              <w:t xml:space="preserve"> Uncertainty) Shock</w:t>
            </w:r>
          </w:p>
        </w:tc>
        <w:tc>
          <w:tcPr>
            <w:tcW w:w="4895" w:type="dxa"/>
          </w:tcPr>
          <w:p w14:paraId="796710EF" w14:textId="1AA4402C" w:rsidR="0022142B" w:rsidRPr="0022142B" w:rsidRDefault="0022142B" w:rsidP="002B00D4">
            <w:pPr>
              <w:pStyle w:val="Sinespaciado"/>
              <w:jc w:val="center"/>
              <w:rPr>
                <w:rFonts w:cs="Arial"/>
                <w:noProof/>
                <w:lang w:val="en-US"/>
              </w:rPr>
            </w:pPr>
            <w:r w:rsidRPr="0022142B">
              <w:rPr>
                <w:rFonts w:cs="Arial"/>
                <w:noProof/>
                <w:lang w:val="en-US"/>
              </w:rPr>
              <w:t>(c) BOB/USDT Depreciation Shock</w:t>
            </w:r>
          </w:p>
          <w:p w14:paraId="02018CE0" w14:textId="77777777" w:rsidR="0022142B" w:rsidRPr="0022142B" w:rsidRDefault="0022142B" w:rsidP="002B00D4">
            <w:pPr>
              <w:pStyle w:val="Sinespaciado"/>
              <w:jc w:val="center"/>
              <w:rPr>
                <w:rFonts w:cs="Arial"/>
                <w:noProof/>
                <w:lang w:val="en-US"/>
              </w:rPr>
            </w:pPr>
          </w:p>
        </w:tc>
      </w:tr>
      <w:tr w:rsidR="0022142B" w:rsidRPr="00CF0423" w14:paraId="18247CFB" w14:textId="77777777" w:rsidTr="00F750ED">
        <w:trPr>
          <w:jc w:val="center"/>
        </w:trPr>
        <w:tc>
          <w:tcPr>
            <w:tcW w:w="9710" w:type="dxa"/>
            <w:gridSpan w:val="2"/>
          </w:tcPr>
          <w:p w14:paraId="465E2A8E" w14:textId="77777777" w:rsidR="0022142B" w:rsidRDefault="0022142B" w:rsidP="002B00D4">
            <w:pPr>
              <w:pStyle w:val="Sinespaciado"/>
              <w:jc w:val="center"/>
              <w:rPr>
                <w:rFonts w:cs="Arial"/>
                <w:lang w:val="en-US"/>
              </w:rPr>
            </w:pPr>
            <w:r w:rsidRPr="0022142B">
              <w:rPr>
                <w:rFonts w:cs="Arial"/>
                <w:lang w:val="en-US"/>
              </w:rPr>
              <w:t xml:space="preserve">Figure </w:t>
            </w:r>
            <w:r>
              <w:rPr>
                <w:rFonts w:cs="Arial"/>
                <w:lang w:val="en-US"/>
              </w:rPr>
              <w:t>8</w:t>
            </w:r>
            <w:r w:rsidRPr="0022142B">
              <w:rPr>
                <w:rFonts w:cs="Arial"/>
                <w:lang w:val="en-US"/>
              </w:rPr>
              <w:t xml:space="preserve">: Shock </w:t>
            </w:r>
            <m:oMath>
              <m:r>
                <m:rPr>
                  <m:sty m:val="p"/>
                </m:rPr>
                <w:rPr>
                  <w:rFonts w:ascii="Cambria Math" w:hAnsi="Cambria Math" w:cs="Arial"/>
                  <w:lang w:val="en-US"/>
                </w:rPr>
                <m:t>→</m:t>
              </m:r>
            </m:oMath>
            <w:r w:rsidRPr="0022142B">
              <w:rPr>
                <w:rFonts w:cs="Arial"/>
                <w:lang w:val="en-US"/>
              </w:rPr>
              <w:t xml:space="preserve"> y-o-y Interest Rate</w:t>
            </w:r>
          </w:p>
          <w:p w14:paraId="043FA187" w14:textId="06F853F5" w:rsidR="0022142B" w:rsidRPr="0022142B" w:rsidRDefault="0022142B" w:rsidP="002B00D4">
            <w:pPr>
              <w:pStyle w:val="Sinespaciado"/>
              <w:jc w:val="center"/>
              <w:rPr>
                <w:rFonts w:cs="Arial"/>
                <w:lang w:val="en-US"/>
              </w:rPr>
            </w:pPr>
          </w:p>
        </w:tc>
      </w:tr>
    </w:tbl>
    <w:p w14:paraId="7E8FF90D" w14:textId="055ADA44" w:rsidR="0022142B" w:rsidRPr="0022142B" w:rsidRDefault="0022142B" w:rsidP="0022142B">
      <w:pPr>
        <w:spacing w:before="120" w:after="120" w:line="360" w:lineRule="auto"/>
        <w:jc w:val="both"/>
        <w:rPr>
          <w:rFonts w:cs="Arial"/>
          <w:sz w:val="24"/>
          <w:szCs w:val="24"/>
          <w:lang w:val="en-US"/>
        </w:rPr>
      </w:pPr>
      <w:r w:rsidRPr="0022142B">
        <w:rPr>
          <w:rFonts w:cs="Arial"/>
          <w:sz w:val="24"/>
          <w:szCs w:val="24"/>
          <w:lang w:val="en-US"/>
        </w:rPr>
        <w:t>Panel</w:t>
      </w:r>
      <w:r>
        <w:rPr>
          <w:rFonts w:cs="Arial"/>
          <w:sz w:val="24"/>
          <w:szCs w:val="24"/>
          <w:lang w:val="en-US"/>
        </w:rPr>
        <w:t xml:space="preserve"> </w:t>
      </w:r>
      <w:r w:rsidRPr="0022142B">
        <w:rPr>
          <w:rFonts w:cs="Arial"/>
          <w:sz w:val="24"/>
          <w:szCs w:val="24"/>
          <w:lang w:val="en-US"/>
        </w:rPr>
        <w:t>(b) indicates that a one-standard-deviation sentiment shock induces a temporary decline in the interbank rate, likely reflecting an accommodative stance to offset contractionary demand effects. This easing dissipates within approximately 30 days, consistent with short-term liquidity management practices that prioritize macro-financial stability amid uncertainty without sustained policy shifts.</w:t>
      </w:r>
    </w:p>
    <w:p w14:paraId="3C60B8A9" w14:textId="215769E9" w:rsidR="0022142B" w:rsidRDefault="0022142B" w:rsidP="0022142B">
      <w:pPr>
        <w:spacing w:before="120" w:after="120" w:line="360" w:lineRule="auto"/>
        <w:jc w:val="both"/>
        <w:rPr>
          <w:rFonts w:cs="Arial"/>
          <w:sz w:val="24"/>
          <w:szCs w:val="24"/>
          <w:lang w:val="en-US"/>
        </w:rPr>
      </w:pPr>
      <w:r w:rsidRPr="0022142B">
        <w:rPr>
          <w:rFonts w:cs="Arial"/>
          <w:sz w:val="24"/>
          <w:szCs w:val="24"/>
          <w:lang w:val="en-US"/>
        </w:rPr>
        <w:lastRenderedPageBreak/>
        <w:t>Panel</w:t>
      </w:r>
      <w:r>
        <w:rPr>
          <w:rFonts w:cs="Arial"/>
          <w:sz w:val="24"/>
          <w:szCs w:val="24"/>
          <w:lang w:val="en-US"/>
        </w:rPr>
        <w:t xml:space="preserve"> </w:t>
      </w:r>
      <w:r w:rsidRPr="0022142B">
        <w:rPr>
          <w:rFonts w:cs="Arial"/>
          <w:sz w:val="24"/>
          <w:szCs w:val="24"/>
          <w:lang w:val="en-US"/>
        </w:rPr>
        <w:t>(c) reveals that BOB/USDT depreciation shocks similarly prompt a reduction in the interbank rate. Although unconventional, this response reflects the complex trade-offs faced by Bolivian monetary authorities, who may prioritize liquidity support over aggressive tightening in response to parallel market movements, particularly when those fluctuations stem from sentiment-driven channels outside formal monetary frameworks.</w:t>
      </w:r>
    </w:p>
    <w:p w14:paraId="788CBDEF" w14:textId="0B0A6D36" w:rsidR="009A6DEA" w:rsidRDefault="009A6DEA" w:rsidP="0022142B">
      <w:pPr>
        <w:spacing w:before="120" w:after="120" w:line="360" w:lineRule="auto"/>
        <w:jc w:val="both"/>
        <w:rPr>
          <w:rFonts w:cs="Arial"/>
          <w:sz w:val="24"/>
          <w:szCs w:val="24"/>
          <w:lang w:val="en-US"/>
        </w:rPr>
      </w:pPr>
      <w:r w:rsidRPr="009A6DEA">
        <w:rPr>
          <w:rFonts w:cs="Arial"/>
          <w:sz w:val="24"/>
          <w:szCs w:val="24"/>
          <w:lang w:val="en-US"/>
        </w:rPr>
        <w:t>Beyond this reactive role, Figure</w:t>
      </w:r>
      <w:r>
        <w:rPr>
          <w:rFonts w:cs="Arial"/>
          <w:sz w:val="24"/>
          <w:szCs w:val="24"/>
          <w:lang w:val="en-US"/>
        </w:rPr>
        <w:t xml:space="preserve"> 9</w:t>
      </w:r>
      <w:r w:rsidRPr="009A6DEA">
        <w:rPr>
          <w:rFonts w:cs="Arial"/>
          <w:sz w:val="24"/>
          <w:szCs w:val="24"/>
          <w:lang w:val="en-US"/>
        </w:rPr>
        <w:t xml:space="preserve"> evaluates the influence of monetary policy shocks on inflation and exchange rate dynamics. Panel</w:t>
      </w:r>
      <w:r>
        <w:rPr>
          <w:rFonts w:cs="Arial"/>
          <w:sz w:val="24"/>
          <w:szCs w:val="24"/>
          <w:lang w:val="en-US"/>
        </w:rPr>
        <w:t xml:space="preserve"> </w:t>
      </w:r>
      <w:r w:rsidRPr="009A6DEA">
        <w:rPr>
          <w:rFonts w:cs="Arial"/>
          <w:sz w:val="24"/>
          <w:szCs w:val="24"/>
          <w:lang w:val="en-US"/>
        </w:rPr>
        <w:t>(a) shows that a one-percentage-point exogenous increase in the interbank rate reduces y-o-y inflation by approximately 0.02 percentage points after 60 days, while Panel</w:t>
      </w:r>
      <w:r>
        <w:rPr>
          <w:rFonts w:cs="Arial"/>
          <w:sz w:val="24"/>
          <w:szCs w:val="24"/>
          <w:lang w:val="en-US"/>
        </w:rPr>
        <w:t xml:space="preserve"> </w:t>
      </w:r>
      <w:r w:rsidRPr="009A6DEA">
        <w:rPr>
          <w:rFonts w:cs="Arial"/>
          <w:sz w:val="24"/>
          <w:szCs w:val="24"/>
          <w:lang w:val="en-US"/>
        </w:rPr>
        <w:t>(b) indicates that the same shock moderates BOB/USDT depreciation by about 0.013 BOB over a similar horizon. Although modest, these effects are statistically significant and highlight the latent capacity of monetary policy, even within Bolivia's constrained framework, to influence inflation and stabilize the parallel digital exchange market. The delayed impact reflects the time needed for rate adjustments to permeate financial markets and the real economy in a high-frequency context.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895"/>
      </w:tblGrid>
      <w:tr w:rsidR="009A6DEA" w:rsidRPr="00B51617" w14:paraId="1C1A884C" w14:textId="77777777" w:rsidTr="00F750ED">
        <w:trPr>
          <w:trHeight w:val="3389"/>
          <w:jc w:val="center"/>
        </w:trPr>
        <w:tc>
          <w:tcPr>
            <w:tcW w:w="4815" w:type="dxa"/>
          </w:tcPr>
          <w:p w14:paraId="3E36D823" w14:textId="0672671D" w:rsidR="009A6DEA" w:rsidRPr="00B51617" w:rsidRDefault="009A6DEA" w:rsidP="009A6DEA">
            <w:pPr>
              <w:pStyle w:val="Sinespaciado"/>
              <w:jc w:val="center"/>
              <w:rPr>
                <w:rFonts w:cs="Arial"/>
                <w:lang w:val="en-US"/>
              </w:rPr>
            </w:pPr>
            <w:r>
              <w:rPr>
                <w:rFonts w:cs="Arial"/>
                <w:noProof/>
                <w:lang w:val="en-US"/>
              </w:rPr>
              <w:drawing>
                <wp:inline distT="0" distB="0" distL="0" distR="0" wp14:anchorId="6DEA756F" wp14:editId="55E0CE5A">
                  <wp:extent cx="2909673" cy="2133600"/>
                  <wp:effectExtent l="0" t="0" r="5080" b="0"/>
                  <wp:docPr id="182223120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31202" name="Imagen 1822231202"/>
                          <pic:cNvPicPr/>
                        </pic:nvPicPr>
                        <pic:blipFill rotWithShape="1">
                          <a:blip r:embed="rId25" cstate="print">
                            <a:extLst>
                              <a:ext uri="{28A0092B-C50C-407E-A947-70E740481C1C}">
                                <a14:useLocalDpi xmlns:a14="http://schemas.microsoft.com/office/drawing/2010/main" val="0"/>
                              </a:ext>
                            </a:extLst>
                          </a:blip>
                          <a:srcRect l="-23" t="9778" r="23" b="3259"/>
                          <a:stretch/>
                        </pic:blipFill>
                        <pic:spPr bwMode="auto">
                          <a:xfrm>
                            <a:off x="0" y="0"/>
                            <a:ext cx="2932723" cy="2150502"/>
                          </a:xfrm>
                          <a:prstGeom prst="rect">
                            <a:avLst/>
                          </a:prstGeom>
                          <a:ln>
                            <a:noFill/>
                          </a:ln>
                          <a:extLst>
                            <a:ext uri="{53640926-AAD7-44D8-BBD7-CCE9431645EC}">
                              <a14:shadowObscured xmlns:a14="http://schemas.microsoft.com/office/drawing/2010/main"/>
                            </a:ext>
                          </a:extLst>
                        </pic:spPr>
                      </pic:pic>
                    </a:graphicData>
                  </a:graphic>
                </wp:inline>
              </w:drawing>
            </w:r>
          </w:p>
        </w:tc>
        <w:tc>
          <w:tcPr>
            <w:tcW w:w="4895" w:type="dxa"/>
          </w:tcPr>
          <w:p w14:paraId="590E7E92" w14:textId="6AE57996" w:rsidR="009A6DEA" w:rsidRPr="00B51617" w:rsidRDefault="009A6DEA" w:rsidP="009A6DEA">
            <w:pPr>
              <w:pStyle w:val="Sinespaciado"/>
              <w:jc w:val="center"/>
              <w:rPr>
                <w:rFonts w:cs="Arial"/>
                <w:noProof/>
                <w:lang w:val="en-US"/>
              </w:rPr>
            </w:pPr>
            <w:r>
              <w:rPr>
                <w:rFonts w:cs="Arial"/>
                <w:noProof/>
                <w:lang w:val="en-US"/>
              </w:rPr>
              <w:drawing>
                <wp:inline distT="0" distB="0" distL="0" distR="0" wp14:anchorId="0076588C" wp14:editId="6200DB10">
                  <wp:extent cx="2898125" cy="2168236"/>
                  <wp:effectExtent l="0" t="0" r="0" b="3810"/>
                  <wp:docPr id="28674337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3379" name="Imagen 286743379"/>
                          <pic:cNvPicPr/>
                        </pic:nvPicPr>
                        <pic:blipFill rotWithShape="1">
                          <a:blip r:embed="rId26" cstate="print">
                            <a:extLst>
                              <a:ext uri="{28A0092B-C50C-407E-A947-70E740481C1C}">
                                <a14:useLocalDpi xmlns:a14="http://schemas.microsoft.com/office/drawing/2010/main" val="0"/>
                              </a:ext>
                            </a:extLst>
                          </a:blip>
                          <a:srcRect t="10784"/>
                          <a:stretch/>
                        </pic:blipFill>
                        <pic:spPr bwMode="auto">
                          <a:xfrm>
                            <a:off x="0" y="0"/>
                            <a:ext cx="2914550" cy="2180524"/>
                          </a:xfrm>
                          <a:prstGeom prst="rect">
                            <a:avLst/>
                          </a:prstGeom>
                          <a:ln>
                            <a:noFill/>
                          </a:ln>
                          <a:extLst>
                            <a:ext uri="{53640926-AAD7-44D8-BBD7-CCE9431645EC}">
                              <a14:shadowObscured xmlns:a14="http://schemas.microsoft.com/office/drawing/2010/main"/>
                            </a:ext>
                          </a:extLst>
                        </pic:spPr>
                      </pic:pic>
                    </a:graphicData>
                  </a:graphic>
                </wp:inline>
              </w:drawing>
            </w:r>
          </w:p>
        </w:tc>
      </w:tr>
      <w:tr w:rsidR="009A6DEA" w:rsidRPr="00B51617" w14:paraId="70A556EB" w14:textId="77777777" w:rsidTr="00F750ED">
        <w:trPr>
          <w:jc w:val="center"/>
        </w:trPr>
        <w:tc>
          <w:tcPr>
            <w:tcW w:w="4815" w:type="dxa"/>
          </w:tcPr>
          <w:p w14:paraId="40EB9C9B" w14:textId="0A7F61A7" w:rsidR="009A6DEA" w:rsidRPr="0022142B" w:rsidRDefault="009A6DEA" w:rsidP="002B00D4">
            <w:pPr>
              <w:pStyle w:val="Sinespaciado"/>
              <w:jc w:val="center"/>
              <w:rPr>
                <w:rFonts w:cs="Arial"/>
                <w:lang w:val="en-US"/>
              </w:rPr>
            </w:pPr>
            <w:r w:rsidRPr="0022142B">
              <w:rPr>
                <w:rFonts w:cs="Arial"/>
                <w:lang w:val="en-US"/>
              </w:rPr>
              <w:t xml:space="preserve">(a) </w:t>
            </w:r>
            <m:oMath>
              <m:r>
                <m:rPr>
                  <m:sty m:val="p"/>
                </m:rPr>
                <w:rPr>
                  <w:rFonts w:ascii="Cambria Math" w:hAnsi="Cambria Math" w:cs="Arial"/>
                  <w:lang w:val="en-US"/>
                </w:rPr>
                <m:t>→</m:t>
              </m:r>
            </m:oMath>
            <w:r>
              <w:rPr>
                <w:rFonts w:eastAsiaTheme="minorEastAsia" w:cs="Arial"/>
                <w:lang w:val="en-US"/>
              </w:rPr>
              <w:t xml:space="preserve"> </w:t>
            </w:r>
            <w:r w:rsidRPr="009A6DEA">
              <w:rPr>
                <w:rFonts w:eastAsiaTheme="minorEastAsia" w:cs="Arial"/>
                <w:lang w:val="en-US"/>
              </w:rPr>
              <w:t>Inflation</w:t>
            </w:r>
          </w:p>
        </w:tc>
        <w:tc>
          <w:tcPr>
            <w:tcW w:w="4895" w:type="dxa"/>
          </w:tcPr>
          <w:p w14:paraId="29E3CDB6" w14:textId="6A018CA4" w:rsidR="009A6DEA" w:rsidRPr="0022142B" w:rsidRDefault="009A6DEA" w:rsidP="002B00D4">
            <w:pPr>
              <w:pStyle w:val="Sinespaciado"/>
              <w:jc w:val="center"/>
              <w:rPr>
                <w:rFonts w:cs="Arial"/>
                <w:noProof/>
                <w:lang w:val="en-US"/>
              </w:rPr>
            </w:pPr>
            <w:r w:rsidRPr="0022142B">
              <w:rPr>
                <w:rFonts w:cs="Arial"/>
                <w:noProof/>
                <w:lang w:val="en-US"/>
              </w:rPr>
              <w:t xml:space="preserve">(b) </w:t>
            </w:r>
            <m:oMath>
              <m:r>
                <m:rPr>
                  <m:sty m:val="p"/>
                </m:rPr>
                <w:rPr>
                  <w:rFonts w:ascii="Cambria Math" w:hAnsi="Cambria Math" w:cs="Arial"/>
                  <w:lang w:val="en-US"/>
                </w:rPr>
                <m:t xml:space="preserve">→ </m:t>
              </m:r>
            </m:oMath>
            <w:r w:rsidRPr="0022142B">
              <w:rPr>
                <w:rFonts w:cs="Arial"/>
                <w:noProof/>
                <w:lang w:val="en-US"/>
              </w:rPr>
              <w:t>BOB/USDT Depreciation Shock</w:t>
            </w:r>
          </w:p>
          <w:p w14:paraId="23578C12" w14:textId="77777777" w:rsidR="009A6DEA" w:rsidRPr="0022142B" w:rsidRDefault="009A6DEA" w:rsidP="002B00D4">
            <w:pPr>
              <w:pStyle w:val="Sinespaciado"/>
              <w:jc w:val="center"/>
              <w:rPr>
                <w:rFonts w:cs="Arial"/>
                <w:noProof/>
                <w:lang w:val="en-US"/>
              </w:rPr>
            </w:pPr>
          </w:p>
        </w:tc>
      </w:tr>
      <w:tr w:rsidR="009A6DEA" w:rsidRPr="00CF0423" w14:paraId="5674EE1F" w14:textId="77777777" w:rsidTr="00F750ED">
        <w:trPr>
          <w:jc w:val="center"/>
        </w:trPr>
        <w:tc>
          <w:tcPr>
            <w:tcW w:w="9710" w:type="dxa"/>
            <w:gridSpan w:val="2"/>
          </w:tcPr>
          <w:p w14:paraId="7174A792" w14:textId="77777777" w:rsidR="009A6DEA" w:rsidRDefault="009A6DEA" w:rsidP="002B00D4">
            <w:pPr>
              <w:pStyle w:val="Sinespaciado"/>
              <w:jc w:val="center"/>
              <w:rPr>
                <w:rFonts w:cs="Arial"/>
                <w:lang w:val="en-US"/>
              </w:rPr>
            </w:pPr>
            <w:r w:rsidRPr="0022142B">
              <w:rPr>
                <w:rFonts w:cs="Arial"/>
                <w:lang w:val="en-US"/>
              </w:rPr>
              <w:t xml:space="preserve">Figure </w:t>
            </w:r>
            <w:r>
              <w:rPr>
                <w:rFonts w:cs="Arial"/>
                <w:lang w:val="en-US"/>
              </w:rPr>
              <w:t>9</w:t>
            </w:r>
            <w:r w:rsidRPr="0022142B">
              <w:rPr>
                <w:rFonts w:cs="Arial"/>
                <w:lang w:val="en-US"/>
              </w:rPr>
              <w:t xml:space="preserve">: </w:t>
            </w:r>
            <w:r w:rsidRPr="009A6DEA">
              <w:rPr>
                <w:rFonts w:cs="Arial"/>
                <w:lang w:val="en-US"/>
              </w:rPr>
              <w:t>Monetary Policy (</w:t>
            </w:r>
            <m:oMath>
              <m:r>
                <m:rPr>
                  <m:sty m:val="p"/>
                </m:rPr>
                <w:rPr>
                  <w:rFonts w:ascii="Cambria Math" w:hAnsi="Cambria Math" w:cs="Arial"/>
                  <w:lang w:val="en-US"/>
                </w:rPr>
                <m:t>↑</m:t>
              </m:r>
              <m:r>
                <w:rPr>
                  <w:rFonts w:ascii="Cambria Math" w:hAnsi="Cambria Math" w:cs="Arial"/>
                  <w:lang w:val="en-US"/>
                </w:rPr>
                <m:t>i</m:t>
              </m:r>
            </m:oMath>
            <w:r w:rsidRPr="009A6DEA">
              <w:rPr>
                <w:rFonts w:cs="Arial"/>
                <w:lang w:val="en-US"/>
              </w:rPr>
              <w:t xml:space="preserve">) </w:t>
            </w:r>
            <w:r w:rsidRPr="0022142B">
              <w:rPr>
                <w:rFonts w:cs="Arial"/>
                <w:lang w:val="en-US"/>
              </w:rPr>
              <w:t xml:space="preserve">Shock </w:t>
            </w:r>
            <m:oMath>
              <m:r>
                <m:rPr>
                  <m:sty m:val="p"/>
                </m:rPr>
                <w:rPr>
                  <w:rFonts w:ascii="Cambria Math" w:hAnsi="Cambria Math" w:cs="Arial"/>
                  <w:lang w:val="en-US"/>
                </w:rPr>
                <m:t>→</m:t>
              </m:r>
            </m:oMath>
            <w:r w:rsidRPr="0022142B">
              <w:rPr>
                <w:rFonts w:cs="Arial"/>
                <w:lang w:val="en-US"/>
              </w:rPr>
              <w:t xml:space="preserve"> </w:t>
            </w:r>
            <w:r w:rsidRPr="009A6DEA">
              <w:rPr>
                <w:rFonts w:cs="Arial"/>
                <w:lang w:val="en-US"/>
              </w:rPr>
              <w:t>Variables of Interest</w:t>
            </w:r>
            <w:r w:rsidRPr="0022142B">
              <w:rPr>
                <w:rFonts w:cs="Arial"/>
                <w:lang w:val="en-US"/>
              </w:rPr>
              <w:t xml:space="preserve"> </w:t>
            </w:r>
          </w:p>
          <w:p w14:paraId="4D0BBD95" w14:textId="7631CED7" w:rsidR="009A6DEA" w:rsidRPr="0022142B" w:rsidRDefault="009A6DEA" w:rsidP="002B00D4">
            <w:pPr>
              <w:pStyle w:val="Sinespaciado"/>
              <w:jc w:val="center"/>
              <w:rPr>
                <w:rFonts w:cs="Arial"/>
                <w:lang w:val="en-US"/>
              </w:rPr>
            </w:pPr>
          </w:p>
        </w:tc>
      </w:tr>
    </w:tbl>
    <w:p w14:paraId="6EB78CF1" w14:textId="2A245A4F" w:rsidR="009A6DEA" w:rsidRPr="009A6DEA" w:rsidRDefault="009A6DEA" w:rsidP="009A6DEA">
      <w:pPr>
        <w:spacing w:before="120" w:after="120" w:line="360" w:lineRule="auto"/>
        <w:jc w:val="both"/>
        <w:rPr>
          <w:rFonts w:cs="Arial"/>
          <w:sz w:val="24"/>
          <w:szCs w:val="24"/>
          <w:lang w:val="en-US"/>
        </w:rPr>
      </w:pPr>
      <w:r w:rsidRPr="009A6DEA">
        <w:rPr>
          <w:rFonts w:cs="Arial"/>
          <w:sz w:val="24"/>
          <w:szCs w:val="24"/>
          <w:lang w:val="en-US"/>
        </w:rPr>
        <w:t>These findings offer normative insights for policymakers: despite the BCB's limited reliance on interest rate tools, strategic adjustments in liquidity conditions—proxied by the interbank rate—remain an effective lever for macroeconomic stabilization in an environment shaped by cryptocurrency markets and sentiment-driven dynamics.</w:t>
      </w:r>
    </w:p>
    <w:p w14:paraId="3A7F6656" w14:textId="3981F0B2" w:rsidR="009A6DEA" w:rsidRDefault="009A6DEA" w:rsidP="009A6DEA">
      <w:pPr>
        <w:spacing w:before="120" w:after="120" w:line="360" w:lineRule="auto"/>
        <w:jc w:val="both"/>
        <w:rPr>
          <w:rFonts w:cs="Arial"/>
          <w:sz w:val="24"/>
          <w:szCs w:val="24"/>
          <w:lang w:val="en-US"/>
        </w:rPr>
      </w:pPr>
      <w:r w:rsidRPr="009A6DEA">
        <w:rPr>
          <w:rFonts w:cs="Arial"/>
          <w:sz w:val="24"/>
          <w:szCs w:val="24"/>
          <w:lang w:val="en-US"/>
        </w:rPr>
        <w:lastRenderedPageBreak/>
        <w:t>Lastly, despite the extension to include interest rate dynamics, the core transmission channel—</w:t>
      </w:r>
      <w:r w:rsidRPr="009A6DEA">
        <w:rPr>
          <w:rFonts w:cs="Arial"/>
          <w:i/>
          <w:iCs/>
          <w:sz w:val="24"/>
          <w:szCs w:val="24"/>
          <w:lang w:val="en-US"/>
        </w:rPr>
        <w:t>uncertainty sentiment</w:t>
      </w:r>
      <w:r w:rsidRPr="009A6DEA">
        <w:rPr>
          <w:rFonts w:cs="Arial"/>
          <w:sz w:val="24"/>
          <w:szCs w:val="24"/>
          <w:lang w:val="en-US"/>
        </w:rPr>
        <w:t xml:space="preserve"> </w:t>
      </w:r>
      <m:oMath>
        <m:r>
          <m:rPr>
            <m:sty m:val="p"/>
          </m:rPr>
          <w:rPr>
            <w:rFonts w:ascii="Cambria Math" w:hAnsi="Cambria Math" w:cs="Arial"/>
            <w:lang w:val="en-US"/>
          </w:rPr>
          <m:t>→</m:t>
        </m:r>
      </m:oMath>
      <w:r w:rsidRPr="009A6DEA">
        <w:rPr>
          <w:rFonts w:cs="Arial"/>
          <w:sz w:val="24"/>
          <w:szCs w:val="24"/>
          <w:lang w:val="en-US"/>
        </w:rPr>
        <w:t xml:space="preserve"> </w:t>
      </w:r>
      <w:r w:rsidRPr="009A6DEA">
        <w:rPr>
          <w:rFonts w:cs="Arial"/>
          <w:i/>
          <w:iCs/>
          <w:sz w:val="24"/>
          <w:szCs w:val="24"/>
          <w:lang w:val="en-US"/>
        </w:rPr>
        <w:t>BOB/USDT depreciation</w:t>
      </w:r>
      <w:r w:rsidRPr="009A6DEA">
        <w:rPr>
          <w:rFonts w:cs="Arial"/>
          <w:sz w:val="24"/>
          <w:szCs w:val="24"/>
          <w:lang w:val="en-US"/>
        </w:rPr>
        <w:t xml:space="preserve"> </w:t>
      </w:r>
      <m:oMath>
        <m:r>
          <m:rPr>
            <m:sty m:val="p"/>
          </m:rPr>
          <w:rPr>
            <w:rFonts w:ascii="Cambria Math" w:hAnsi="Cambria Math" w:cs="Arial"/>
            <w:lang w:val="en-US"/>
          </w:rPr>
          <m:t>→</m:t>
        </m:r>
      </m:oMath>
      <w:r w:rsidRPr="009A6DEA">
        <w:rPr>
          <w:rFonts w:cs="Arial"/>
          <w:sz w:val="24"/>
          <w:szCs w:val="24"/>
          <w:lang w:val="en-US"/>
        </w:rPr>
        <w:t xml:space="preserve"> </w:t>
      </w:r>
      <w:r w:rsidRPr="009A6DEA">
        <w:rPr>
          <w:rFonts w:cs="Arial"/>
          <w:i/>
          <w:iCs/>
          <w:sz w:val="24"/>
          <w:szCs w:val="24"/>
          <w:lang w:val="en-US"/>
        </w:rPr>
        <w:t>inflation</w:t>
      </w:r>
      <w:r w:rsidRPr="009A6DEA">
        <w:rPr>
          <w:rFonts w:cs="Arial"/>
          <w:sz w:val="24"/>
          <w:szCs w:val="24"/>
          <w:lang w:val="en-US"/>
        </w:rPr>
        <w:t>—remains robust, consistent with the findings in subsection</w:t>
      </w:r>
      <w:r>
        <w:rPr>
          <w:rFonts w:cs="Arial"/>
          <w:sz w:val="24"/>
          <w:szCs w:val="24"/>
          <w:lang w:val="en-US"/>
        </w:rPr>
        <w:t xml:space="preserve"> 4.3</w:t>
      </w:r>
      <w:r w:rsidRPr="009A6DEA">
        <w:rPr>
          <w:rFonts w:cs="Arial"/>
          <w:sz w:val="24"/>
          <w:szCs w:val="24"/>
          <w:lang w:val="en-US"/>
        </w:rPr>
        <w:t>. Detailed impulse-response functions for this extended model are provided in Appendix</w:t>
      </w:r>
      <w:r>
        <w:rPr>
          <w:rFonts w:cs="Arial"/>
          <w:sz w:val="24"/>
          <w:szCs w:val="24"/>
          <w:lang w:val="en-US"/>
        </w:rPr>
        <w:t xml:space="preserve"> D</w:t>
      </w:r>
      <w:r w:rsidRPr="009A6DEA">
        <w:rPr>
          <w:rFonts w:cs="Arial"/>
          <w:sz w:val="24"/>
          <w:szCs w:val="24"/>
          <w:lang w:val="en-US"/>
        </w:rPr>
        <w:t>.</w:t>
      </w:r>
    </w:p>
    <w:p w14:paraId="2DDF6FEF" w14:textId="60FDE2AD" w:rsidR="009A6DEA" w:rsidRDefault="009A6DEA" w:rsidP="009A6DEA">
      <w:pPr>
        <w:pStyle w:val="Prrafodelista"/>
        <w:numPr>
          <w:ilvl w:val="0"/>
          <w:numId w:val="1"/>
        </w:numPr>
        <w:spacing w:before="120" w:after="120" w:line="360" w:lineRule="auto"/>
        <w:jc w:val="both"/>
        <w:rPr>
          <w:rFonts w:cs="Arial"/>
          <w:b/>
          <w:bCs/>
          <w:sz w:val="24"/>
          <w:szCs w:val="24"/>
          <w:lang w:val="en-US"/>
        </w:rPr>
      </w:pPr>
      <w:r w:rsidRPr="009A6DEA">
        <w:rPr>
          <w:rFonts w:cs="Arial"/>
          <w:b/>
          <w:bCs/>
          <w:sz w:val="24"/>
          <w:szCs w:val="24"/>
          <w:lang w:val="en-US"/>
        </w:rPr>
        <w:t>How Do Cryptocurrency-Based Exchange Rate and Monetary Policy Affect Sentiment?</w:t>
      </w:r>
    </w:p>
    <w:p w14:paraId="4B78EF44" w14:textId="6100E0A4" w:rsidR="009A6DEA" w:rsidRPr="009A6DEA" w:rsidRDefault="009A6DEA" w:rsidP="009A6DEA">
      <w:pPr>
        <w:spacing w:before="120" w:after="120" w:line="360" w:lineRule="auto"/>
        <w:jc w:val="both"/>
        <w:rPr>
          <w:rFonts w:cs="Arial"/>
          <w:sz w:val="24"/>
          <w:szCs w:val="24"/>
          <w:lang w:val="en-US"/>
        </w:rPr>
      </w:pPr>
      <w:r w:rsidRPr="009A6DEA">
        <w:rPr>
          <w:rFonts w:cs="Arial"/>
          <w:sz w:val="24"/>
          <w:szCs w:val="24"/>
          <w:lang w:val="en-US"/>
        </w:rPr>
        <w:t>The previous sections analyzed the transmission channel whereby economic uncertainty sentiment drives the cryptocurrency-based BOB/USDT exchange rate, which in turn fuels inflationary pressures. This section explores the possibility of reverse causality: specifically, whether shocks to the exchange rate and monetary policy interventions can themselves influence economic uncertainty sentiment in Bolivia. Understanding these feedback mechanisms is critical for evaluating the full scope of monetary policy effectiveness within the evolving digital currency landscape.</w:t>
      </w:r>
    </w:p>
    <w:p w14:paraId="3C934A71" w14:textId="55012600" w:rsidR="009A6DEA" w:rsidRPr="009A6DEA" w:rsidRDefault="009A6DEA" w:rsidP="009A6DEA">
      <w:pPr>
        <w:spacing w:before="120" w:after="120" w:line="360" w:lineRule="auto"/>
        <w:jc w:val="both"/>
        <w:rPr>
          <w:rFonts w:cs="Arial"/>
          <w:sz w:val="24"/>
          <w:szCs w:val="24"/>
          <w:lang w:val="en-US"/>
        </w:rPr>
      </w:pPr>
      <w:r w:rsidRPr="009A6DEA">
        <w:rPr>
          <w:rFonts w:cs="Arial"/>
          <w:sz w:val="24"/>
          <w:szCs w:val="24"/>
          <w:lang w:val="en-US"/>
        </w:rPr>
        <w:t>To investigate these dynamics, we present IRFs derived from the four-variable BSVAR model—including inflation (</w:t>
      </w:r>
      <m:oMath>
        <m:r>
          <m:rPr>
            <m:sty m:val="p"/>
          </m:rPr>
          <w:rPr>
            <w:rFonts w:ascii="Cambria Math" w:hAnsi="Cambria Math" w:cs="Arial"/>
            <w:sz w:val="24"/>
            <w:szCs w:val="24"/>
            <w:lang w:val="en-US"/>
          </w:rPr>
          <m:t>π</m:t>
        </m:r>
      </m:oMath>
      <w:r w:rsidRPr="009A6DEA">
        <w:rPr>
          <w:rFonts w:cs="Arial"/>
          <w:sz w:val="24"/>
          <w:szCs w:val="24"/>
          <w:lang w:val="en-US"/>
        </w:rPr>
        <w:t>), the cryptocurrency-based exchange rate depreciation (</w:t>
      </w:r>
      <m:oMath>
        <m:r>
          <w:rPr>
            <w:rFonts w:ascii="Cambria Math" w:hAnsi="Cambria Math" w:cs="Arial"/>
            <w:sz w:val="24"/>
            <w:szCs w:val="24"/>
            <w:lang w:val="en-US"/>
          </w:rPr>
          <m:t>e</m:t>
        </m:r>
      </m:oMath>
      <w:r w:rsidRPr="009A6DEA">
        <w:rPr>
          <w:rFonts w:cs="Arial"/>
          <w:sz w:val="24"/>
          <w:szCs w:val="24"/>
          <w:lang w:val="en-US"/>
        </w:rPr>
        <w:t>), the economic uncertainty sentiment index (</w:t>
      </w:r>
      <m:oMath>
        <m:r>
          <w:rPr>
            <w:rFonts w:ascii="Cambria Math" w:hAnsi="Cambria Math" w:cs="Arial"/>
            <w:sz w:val="24"/>
            <w:szCs w:val="24"/>
            <w:lang w:val="en-US"/>
          </w:rPr>
          <m:t>s</m:t>
        </m:r>
      </m:oMath>
      <w:r w:rsidRPr="009A6DEA">
        <w:rPr>
          <w:rFonts w:cs="Arial"/>
          <w:sz w:val="24"/>
          <w:szCs w:val="24"/>
          <w:lang w:val="en-US"/>
        </w:rPr>
        <w:t>), and the interbank interest rate (</w:t>
      </w:r>
      <m:oMath>
        <m:r>
          <w:rPr>
            <w:rFonts w:ascii="Cambria Math" w:hAnsi="Cambria Math" w:cs="Arial"/>
            <w:sz w:val="24"/>
            <w:szCs w:val="24"/>
            <w:lang w:val="en-US"/>
          </w:rPr>
          <m:t>i</m:t>
        </m:r>
      </m:oMath>
      <w:r w:rsidRPr="009A6DEA">
        <w:rPr>
          <w:rFonts w:cs="Arial"/>
          <w:sz w:val="24"/>
          <w:szCs w:val="24"/>
          <w:lang w:val="en-US"/>
        </w:rPr>
        <w:t>)—focusing on the response of sentiment to two key shocks: a BOB 1 depreciation in the BOB/USDT exchange rate and a one-percentage-point increase in the interbank rate (monetary policy shock).</w:t>
      </w:r>
    </w:p>
    <w:p w14:paraId="6F898954" w14:textId="288DBFF9" w:rsidR="009A6DEA" w:rsidRDefault="009A6DEA" w:rsidP="009A6DEA">
      <w:pPr>
        <w:spacing w:before="120" w:after="120" w:line="360" w:lineRule="auto"/>
        <w:jc w:val="both"/>
        <w:rPr>
          <w:rFonts w:cs="Arial"/>
          <w:sz w:val="24"/>
          <w:szCs w:val="24"/>
          <w:lang w:val="en-US"/>
        </w:rPr>
      </w:pPr>
      <w:r w:rsidRPr="009A6DEA">
        <w:rPr>
          <w:rFonts w:cs="Arial"/>
          <w:sz w:val="24"/>
          <w:szCs w:val="24"/>
          <w:lang w:val="en-US"/>
        </w:rPr>
        <w:t>Panel</w:t>
      </w:r>
      <w:r>
        <w:rPr>
          <w:rFonts w:cs="Arial"/>
          <w:sz w:val="24"/>
          <w:szCs w:val="24"/>
          <w:lang w:val="en-US"/>
        </w:rPr>
        <w:t xml:space="preserve"> </w:t>
      </w:r>
      <w:r w:rsidRPr="009A6DEA">
        <w:rPr>
          <w:rFonts w:cs="Arial"/>
          <w:sz w:val="24"/>
          <w:szCs w:val="24"/>
          <w:lang w:val="en-US"/>
        </w:rPr>
        <w:t>(a) of Figure</w:t>
      </w:r>
      <w:r>
        <w:rPr>
          <w:rFonts w:cs="Arial"/>
          <w:sz w:val="24"/>
          <w:szCs w:val="24"/>
          <w:lang w:val="en-US"/>
        </w:rPr>
        <w:t xml:space="preserve"> 10</w:t>
      </w:r>
      <w:r w:rsidRPr="009A6DEA">
        <w:rPr>
          <w:rFonts w:cs="Arial"/>
          <w:sz w:val="24"/>
          <w:szCs w:val="24"/>
          <w:lang w:val="en-US"/>
        </w:rPr>
        <w:t xml:space="preserve"> provides empirical evidence that the parallel digital exchange market—measured as changes in the BOB/USDT exchange rate—exerts a significant influence on economic uncertainty sentiment. Specifically, a BOB 1 depreciation in the exchange rate raises the sentiment index by approximately 0.1 standard deviations within the first week, with the effect peaking and stabilizing near 0.3 standard deviations after one month. This response highlights the critical role of the digital exchange market as a driver of economic sentiment in Bolivia, where cryptocurrency-based transactions serve as an alternative market signal outside traditional policy frameworks. Such dynamics underscore the importance of incorporating digital market indicators into the broader macroeconomic monitoring system of the Central Bank of Bolivia (BCB).</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895"/>
      </w:tblGrid>
      <w:tr w:rsidR="0094715A" w:rsidRPr="00B51617" w14:paraId="4CB9BE10" w14:textId="77777777" w:rsidTr="00F750ED">
        <w:trPr>
          <w:trHeight w:val="3389"/>
          <w:jc w:val="center"/>
        </w:trPr>
        <w:tc>
          <w:tcPr>
            <w:tcW w:w="4815" w:type="dxa"/>
          </w:tcPr>
          <w:p w14:paraId="66442321" w14:textId="5CFF7ABE" w:rsidR="009A6DEA" w:rsidRPr="00B51617" w:rsidRDefault="0094715A" w:rsidP="002B00D4">
            <w:pPr>
              <w:pStyle w:val="Sinespaciado"/>
              <w:jc w:val="center"/>
              <w:rPr>
                <w:rFonts w:cs="Arial"/>
                <w:lang w:val="en-US"/>
              </w:rPr>
            </w:pPr>
            <w:r>
              <w:rPr>
                <w:rFonts w:cs="Arial"/>
                <w:noProof/>
                <w:lang w:val="en-US"/>
              </w:rPr>
              <w:lastRenderedPageBreak/>
              <w:drawing>
                <wp:inline distT="0" distB="0" distL="0" distR="0" wp14:anchorId="5014A7C9" wp14:editId="2AE9C630">
                  <wp:extent cx="2798618" cy="2189727"/>
                  <wp:effectExtent l="0" t="0" r="1905" b="1270"/>
                  <wp:docPr id="70068371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83718" name="Imagen 700683718"/>
                          <pic:cNvPicPr/>
                        </pic:nvPicPr>
                        <pic:blipFill rotWithShape="1">
                          <a:blip r:embed="rId27" cstate="print">
                            <a:extLst>
                              <a:ext uri="{28A0092B-C50C-407E-A947-70E740481C1C}">
                                <a14:useLocalDpi xmlns:a14="http://schemas.microsoft.com/office/drawing/2010/main" val="0"/>
                              </a:ext>
                            </a:extLst>
                          </a:blip>
                          <a:srcRect t="7355"/>
                          <a:stretch/>
                        </pic:blipFill>
                        <pic:spPr bwMode="auto">
                          <a:xfrm>
                            <a:off x="0" y="0"/>
                            <a:ext cx="2804051" cy="2193978"/>
                          </a:xfrm>
                          <a:prstGeom prst="rect">
                            <a:avLst/>
                          </a:prstGeom>
                          <a:ln>
                            <a:noFill/>
                          </a:ln>
                          <a:extLst>
                            <a:ext uri="{53640926-AAD7-44D8-BBD7-CCE9431645EC}">
                              <a14:shadowObscured xmlns:a14="http://schemas.microsoft.com/office/drawing/2010/main"/>
                            </a:ext>
                          </a:extLst>
                        </pic:spPr>
                      </pic:pic>
                    </a:graphicData>
                  </a:graphic>
                </wp:inline>
              </w:drawing>
            </w:r>
          </w:p>
        </w:tc>
        <w:tc>
          <w:tcPr>
            <w:tcW w:w="4895" w:type="dxa"/>
          </w:tcPr>
          <w:p w14:paraId="5F048D9E" w14:textId="469B010B" w:rsidR="009A6DEA" w:rsidRPr="00B51617" w:rsidRDefault="0094715A" w:rsidP="002B00D4">
            <w:pPr>
              <w:pStyle w:val="Sinespaciado"/>
              <w:jc w:val="center"/>
              <w:rPr>
                <w:rFonts w:cs="Arial"/>
                <w:noProof/>
                <w:lang w:val="en-US"/>
              </w:rPr>
            </w:pPr>
            <w:r>
              <w:rPr>
                <w:rFonts w:cs="Arial"/>
                <w:noProof/>
                <w:lang w:val="en-US"/>
              </w:rPr>
              <w:drawing>
                <wp:inline distT="0" distB="0" distL="0" distR="0" wp14:anchorId="4383D99D" wp14:editId="230250FD">
                  <wp:extent cx="2812472" cy="2205422"/>
                  <wp:effectExtent l="0" t="0" r="6985" b="4445"/>
                  <wp:docPr id="32292303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23038" name="Imagen 322923038"/>
                          <pic:cNvPicPr/>
                        </pic:nvPicPr>
                        <pic:blipFill rotWithShape="1">
                          <a:blip r:embed="rId28" cstate="print">
                            <a:extLst>
                              <a:ext uri="{28A0092B-C50C-407E-A947-70E740481C1C}">
                                <a14:useLocalDpi xmlns:a14="http://schemas.microsoft.com/office/drawing/2010/main" val="0"/>
                              </a:ext>
                            </a:extLst>
                          </a:blip>
                          <a:srcRect t="6741"/>
                          <a:stretch/>
                        </pic:blipFill>
                        <pic:spPr bwMode="auto">
                          <a:xfrm>
                            <a:off x="0" y="0"/>
                            <a:ext cx="2815412" cy="2207727"/>
                          </a:xfrm>
                          <a:prstGeom prst="rect">
                            <a:avLst/>
                          </a:prstGeom>
                          <a:ln>
                            <a:noFill/>
                          </a:ln>
                          <a:extLst>
                            <a:ext uri="{53640926-AAD7-44D8-BBD7-CCE9431645EC}">
                              <a14:shadowObscured xmlns:a14="http://schemas.microsoft.com/office/drawing/2010/main"/>
                            </a:ext>
                          </a:extLst>
                        </pic:spPr>
                      </pic:pic>
                    </a:graphicData>
                  </a:graphic>
                </wp:inline>
              </w:drawing>
            </w:r>
          </w:p>
        </w:tc>
      </w:tr>
      <w:tr w:rsidR="009A6DEA" w:rsidRPr="00CF0423" w14:paraId="1E3A65CD" w14:textId="77777777" w:rsidTr="00F750ED">
        <w:trPr>
          <w:jc w:val="center"/>
        </w:trPr>
        <w:tc>
          <w:tcPr>
            <w:tcW w:w="4815" w:type="dxa"/>
          </w:tcPr>
          <w:p w14:paraId="479EE250" w14:textId="3FFA76FD" w:rsidR="009A6DEA" w:rsidRPr="0022142B" w:rsidRDefault="009A6DEA" w:rsidP="009A6DEA">
            <w:pPr>
              <w:pStyle w:val="Sinespaciado"/>
              <w:jc w:val="center"/>
              <w:rPr>
                <w:rFonts w:cs="Arial"/>
                <w:noProof/>
                <w:lang w:val="en-US"/>
              </w:rPr>
            </w:pPr>
            <w:r w:rsidRPr="0022142B">
              <w:rPr>
                <w:rFonts w:cs="Arial"/>
                <w:lang w:val="en-US"/>
              </w:rPr>
              <w:t>(a)</w:t>
            </w:r>
            <m:oMath>
              <m:r>
                <m:rPr>
                  <m:sty m:val="p"/>
                </m:rPr>
                <w:rPr>
                  <w:rFonts w:ascii="Cambria Math" w:hAnsi="Cambria Math" w:cs="Arial"/>
                  <w:lang w:val="en-US"/>
                </w:rPr>
                <m:t xml:space="preserve"> </m:t>
              </m:r>
            </m:oMath>
            <w:r w:rsidRPr="0022142B">
              <w:rPr>
                <w:rFonts w:cs="Arial"/>
                <w:noProof/>
                <w:lang w:val="en-US"/>
              </w:rPr>
              <w:t>BOB/USDT Depreciation Shock</w:t>
            </w:r>
          </w:p>
          <w:p w14:paraId="0CBD5996" w14:textId="355CF03A" w:rsidR="009A6DEA" w:rsidRPr="0022142B" w:rsidRDefault="009A6DEA" w:rsidP="002B00D4">
            <w:pPr>
              <w:pStyle w:val="Sinespaciado"/>
              <w:jc w:val="center"/>
              <w:rPr>
                <w:rFonts w:cs="Arial"/>
                <w:lang w:val="en-US"/>
              </w:rPr>
            </w:pPr>
          </w:p>
        </w:tc>
        <w:tc>
          <w:tcPr>
            <w:tcW w:w="4895" w:type="dxa"/>
          </w:tcPr>
          <w:p w14:paraId="629F8EE9" w14:textId="018C81A6" w:rsidR="009A6DEA" w:rsidRPr="0022142B" w:rsidRDefault="009A6DEA" w:rsidP="009A6DEA">
            <w:pPr>
              <w:pStyle w:val="Sinespaciado"/>
              <w:jc w:val="center"/>
              <w:rPr>
                <w:rFonts w:cs="Arial"/>
                <w:noProof/>
                <w:lang w:val="en-US"/>
              </w:rPr>
            </w:pPr>
            <w:r w:rsidRPr="0022142B">
              <w:rPr>
                <w:rFonts w:cs="Arial"/>
                <w:noProof/>
                <w:lang w:val="en-US"/>
              </w:rPr>
              <w:t xml:space="preserve">(b) </w:t>
            </w:r>
            <w:r w:rsidRPr="009A6DEA">
              <w:rPr>
                <w:rFonts w:cs="Arial"/>
                <w:lang w:val="en-US"/>
              </w:rPr>
              <w:t>Monetary Policy (</w:t>
            </w:r>
            <m:oMath>
              <m:r>
                <m:rPr>
                  <m:sty m:val="p"/>
                </m:rPr>
                <w:rPr>
                  <w:rFonts w:ascii="Cambria Math" w:hAnsi="Cambria Math" w:cs="Arial"/>
                  <w:lang w:val="en-US"/>
                </w:rPr>
                <m:t>↑</m:t>
              </m:r>
              <m:r>
                <w:rPr>
                  <w:rFonts w:ascii="Cambria Math" w:hAnsi="Cambria Math" w:cs="Arial"/>
                  <w:lang w:val="en-US"/>
                </w:rPr>
                <m:t>i</m:t>
              </m:r>
            </m:oMath>
            <w:r w:rsidRPr="009A6DEA">
              <w:rPr>
                <w:rFonts w:cs="Arial"/>
                <w:lang w:val="en-US"/>
              </w:rPr>
              <w:t xml:space="preserve">) </w:t>
            </w:r>
            <w:r w:rsidRPr="0022142B">
              <w:rPr>
                <w:rFonts w:cs="Arial"/>
                <w:lang w:val="en-US"/>
              </w:rPr>
              <w:t xml:space="preserve">Shock </w:t>
            </w:r>
          </w:p>
        </w:tc>
      </w:tr>
      <w:tr w:rsidR="009A6DEA" w:rsidRPr="00CF0423" w14:paraId="5A392EA3" w14:textId="77777777" w:rsidTr="00F750ED">
        <w:trPr>
          <w:jc w:val="center"/>
        </w:trPr>
        <w:tc>
          <w:tcPr>
            <w:tcW w:w="9710" w:type="dxa"/>
            <w:gridSpan w:val="2"/>
          </w:tcPr>
          <w:p w14:paraId="41602531" w14:textId="58315A15" w:rsidR="009A6DEA" w:rsidRDefault="009A6DEA" w:rsidP="002B00D4">
            <w:pPr>
              <w:pStyle w:val="Sinespaciado"/>
              <w:jc w:val="center"/>
              <w:rPr>
                <w:rFonts w:cs="Arial"/>
                <w:lang w:val="en-US"/>
              </w:rPr>
            </w:pPr>
            <w:r w:rsidRPr="0022142B">
              <w:rPr>
                <w:rFonts w:cs="Arial"/>
                <w:lang w:val="en-US"/>
              </w:rPr>
              <w:t xml:space="preserve">Figure </w:t>
            </w:r>
            <w:r w:rsidR="0094715A">
              <w:rPr>
                <w:rFonts w:cs="Arial"/>
                <w:lang w:val="en-US"/>
              </w:rPr>
              <w:t>10</w:t>
            </w:r>
            <w:r w:rsidRPr="0022142B">
              <w:rPr>
                <w:rFonts w:cs="Arial"/>
                <w:lang w:val="en-US"/>
              </w:rPr>
              <w:t xml:space="preserve">: </w:t>
            </w:r>
            <w:r w:rsidR="0094715A" w:rsidRPr="0094715A">
              <w:rPr>
                <w:rFonts w:cs="Arial"/>
                <w:lang w:val="en-US"/>
              </w:rPr>
              <w:t xml:space="preserve">Shocks </w:t>
            </w:r>
            <m:oMath>
              <m:r>
                <m:rPr>
                  <m:sty m:val="p"/>
                </m:rPr>
                <w:rPr>
                  <w:rFonts w:ascii="Cambria Math" w:hAnsi="Cambria Math" w:cs="Arial"/>
                  <w:lang w:val="en-US"/>
                </w:rPr>
                <m:t>→</m:t>
              </m:r>
            </m:oMath>
            <w:r w:rsidR="0094715A" w:rsidRPr="0094715A">
              <w:rPr>
                <w:rFonts w:cs="Arial"/>
                <w:lang w:val="en-US"/>
              </w:rPr>
              <w:t xml:space="preserve"> Economic Uncertainty Sentiment Index</w:t>
            </w:r>
          </w:p>
          <w:p w14:paraId="207F99BA" w14:textId="77777777" w:rsidR="009A6DEA" w:rsidRPr="0022142B" w:rsidRDefault="009A6DEA" w:rsidP="002B00D4">
            <w:pPr>
              <w:pStyle w:val="Sinespaciado"/>
              <w:jc w:val="center"/>
              <w:rPr>
                <w:rFonts w:cs="Arial"/>
                <w:lang w:val="en-US"/>
              </w:rPr>
            </w:pPr>
          </w:p>
        </w:tc>
      </w:tr>
    </w:tbl>
    <w:p w14:paraId="10E47B8C" w14:textId="278652AE" w:rsidR="0094715A" w:rsidRPr="0094715A" w:rsidRDefault="0094715A" w:rsidP="0094715A">
      <w:pPr>
        <w:spacing w:before="120" w:after="120" w:line="360" w:lineRule="auto"/>
        <w:jc w:val="both"/>
        <w:rPr>
          <w:rFonts w:cs="Arial"/>
          <w:sz w:val="24"/>
          <w:szCs w:val="24"/>
          <w:lang w:val="en-US"/>
        </w:rPr>
      </w:pPr>
      <w:r w:rsidRPr="0094715A">
        <w:rPr>
          <w:rFonts w:cs="Arial"/>
          <w:sz w:val="24"/>
          <w:szCs w:val="24"/>
          <w:lang w:val="en-US"/>
        </w:rPr>
        <w:t>Panel</w:t>
      </w:r>
      <w:r>
        <w:rPr>
          <w:rFonts w:cs="Arial"/>
          <w:sz w:val="24"/>
          <w:szCs w:val="24"/>
          <w:lang w:val="en-US"/>
        </w:rPr>
        <w:t xml:space="preserve"> </w:t>
      </w:r>
      <w:r w:rsidRPr="0094715A">
        <w:rPr>
          <w:rFonts w:cs="Arial"/>
          <w:sz w:val="24"/>
          <w:szCs w:val="24"/>
          <w:lang w:val="en-US"/>
        </w:rPr>
        <w:t>(b) of Figure</w:t>
      </w:r>
      <w:r>
        <w:rPr>
          <w:rFonts w:cs="Arial"/>
          <w:sz w:val="24"/>
          <w:szCs w:val="24"/>
          <w:lang w:val="en-US"/>
        </w:rPr>
        <w:t xml:space="preserve"> 10</w:t>
      </w:r>
      <w:r w:rsidRPr="0094715A">
        <w:rPr>
          <w:rFonts w:cs="Arial"/>
          <w:sz w:val="24"/>
          <w:szCs w:val="24"/>
          <w:lang w:val="en-US"/>
        </w:rPr>
        <w:t xml:space="preserve"> reveals that monetary policy, operationalized through the interbank rate, can mitigate uncertainty sentiment, albeit with moderate effects. A one-percentage-point increase in the interbank rate leads to a statistically significant reduction in the sentiment index of approximately 0.01 standard deviations after one week, with the effect peaking at -0.015 standard deviations two weeks post-shock. Although the magnitude of this response diminishes over time, eventually becoming statistically indistinguishable from zero, its existence confirms that monetary policy can influence economic sentiment, even within Bolivia’s constrained policy environment.</w:t>
      </w:r>
    </w:p>
    <w:p w14:paraId="2E9C8F8F" w14:textId="6D0704C9" w:rsidR="0094715A" w:rsidRPr="0094715A" w:rsidRDefault="0094715A" w:rsidP="0094715A">
      <w:pPr>
        <w:spacing w:before="120" w:after="120" w:line="360" w:lineRule="auto"/>
        <w:jc w:val="both"/>
        <w:rPr>
          <w:rFonts w:cs="Arial"/>
          <w:sz w:val="24"/>
          <w:szCs w:val="24"/>
          <w:lang w:val="en-US"/>
        </w:rPr>
      </w:pPr>
      <w:r w:rsidRPr="0094715A">
        <w:rPr>
          <w:rFonts w:cs="Arial"/>
          <w:sz w:val="24"/>
          <w:szCs w:val="24"/>
          <w:lang w:val="en-US"/>
        </w:rPr>
        <w:t>These findings are particularly relevant for the BCB. Despite not explicitly targeting interest rates as its primary tool, the BCB can nonetheless influence economic sentiment through liquidity management operations reflected in interbank rate adjustments. Given the emerging role of the cryptocurrency-based exchange market and the behavioral nature of sentiment-driven shocks, these results suggest that even modest policy interventions can have measurable, if temporary, effects on expectations and perceptions in the broader economy.</w:t>
      </w:r>
    </w:p>
    <w:p w14:paraId="5EAB21FF" w14:textId="473C3D43" w:rsidR="009A6DEA" w:rsidRDefault="0094715A" w:rsidP="0094715A">
      <w:pPr>
        <w:spacing w:before="120" w:after="120" w:line="360" w:lineRule="auto"/>
        <w:jc w:val="both"/>
        <w:rPr>
          <w:rFonts w:cs="Arial"/>
          <w:sz w:val="24"/>
          <w:szCs w:val="24"/>
          <w:lang w:val="en-US"/>
        </w:rPr>
      </w:pPr>
      <w:r w:rsidRPr="0094715A">
        <w:rPr>
          <w:rFonts w:cs="Arial"/>
          <w:sz w:val="24"/>
          <w:szCs w:val="24"/>
          <w:lang w:val="en-US"/>
        </w:rPr>
        <w:t>In sum, this section highlights the two-way interaction between the cryptocurrency-based exchange rate, monetary policy, and uncertainty sentiment. The evidence suggests that while digital market dynamics significantly shape sentiment, monetary policy retains some capacity to stabilize expectations—offering important insights for future policy design in Bolivia’s increasingly complex macro-financial environment.</w:t>
      </w:r>
    </w:p>
    <w:p w14:paraId="201962A1" w14:textId="49C254FF" w:rsidR="0094715A" w:rsidRDefault="0094715A" w:rsidP="0094715A">
      <w:pPr>
        <w:pStyle w:val="Prrafodelista"/>
        <w:numPr>
          <w:ilvl w:val="0"/>
          <w:numId w:val="1"/>
        </w:numPr>
        <w:spacing w:before="120" w:after="120" w:line="360" w:lineRule="auto"/>
        <w:jc w:val="both"/>
        <w:rPr>
          <w:rFonts w:cs="Arial"/>
          <w:b/>
          <w:bCs/>
          <w:sz w:val="24"/>
          <w:szCs w:val="24"/>
          <w:lang w:val="en-US"/>
        </w:rPr>
      </w:pPr>
      <w:r w:rsidRPr="0094715A">
        <w:rPr>
          <w:rFonts w:cs="Arial"/>
          <w:b/>
          <w:bCs/>
          <w:sz w:val="24"/>
          <w:szCs w:val="24"/>
          <w:lang w:val="en-US"/>
        </w:rPr>
        <w:lastRenderedPageBreak/>
        <w:t>Concluding Remarks</w:t>
      </w:r>
    </w:p>
    <w:p w14:paraId="6F584EF2" w14:textId="7A1E7664" w:rsidR="0094715A" w:rsidRPr="0094715A" w:rsidRDefault="0094715A" w:rsidP="0094715A">
      <w:pPr>
        <w:spacing w:before="120" w:after="120" w:line="360" w:lineRule="auto"/>
        <w:jc w:val="both"/>
        <w:rPr>
          <w:rFonts w:cs="Arial"/>
          <w:sz w:val="24"/>
          <w:szCs w:val="24"/>
          <w:lang w:val="en-US"/>
        </w:rPr>
      </w:pPr>
      <w:r w:rsidRPr="0094715A">
        <w:rPr>
          <w:rFonts w:cs="Arial"/>
          <w:sz w:val="24"/>
          <w:szCs w:val="24"/>
          <w:lang w:val="en-US"/>
        </w:rPr>
        <w:t>This paper provides a comprehensive analysis of the interactions between economic uncertainty sentiment, cryptocurrency-based parallel exchange rates (BOB/USDT), and inflation dynamics within Bolivia's unique macroeconomic context. Leveraging theoretical modeling, simulations, and high-frequency empirical analysis, our findings highlight significant insights relevant for emerging market economies grappling with similar policy challenges.</w:t>
      </w:r>
    </w:p>
    <w:p w14:paraId="1745D8C3" w14:textId="6D79F0F9" w:rsidR="0094715A" w:rsidRPr="0094715A" w:rsidRDefault="0094715A" w:rsidP="0094715A">
      <w:pPr>
        <w:spacing w:before="120" w:after="120" w:line="360" w:lineRule="auto"/>
        <w:jc w:val="both"/>
        <w:rPr>
          <w:rFonts w:cs="Arial"/>
          <w:sz w:val="24"/>
          <w:szCs w:val="24"/>
          <w:lang w:val="en-US"/>
        </w:rPr>
      </w:pPr>
      <w:r w:rsidRPr="0094715A">
        <w:rPr>
          <w:rFonts w:cs="Arial"/>
          <w:sz w:val="24"/>
          <w:szCs w:val="24"/>
          <w:lang w:val="en-US"/>
        </w:rPr>
        <w:t>The theoretical DSGE model and empirical BSVAR analysis reveal that economic uncertainty sentiment exerts substantial influence on the cryptocurrency-based exchange rate, subsequently feeding into inflationary pressures through exchange rate pass-through. Specifically, empirical results indicate that heightened uncertainty sentiment triggers significant depreciation of the parallel exchange rate, thereby driving sustained inflationary pressures despite Bolivia's formal currency peg. Furthermore, our analysis demonstrates that these dynamics are bidirectional, as shocks to the parallel exchange rate also amplify economic uncertainty, creating feedback loops that exacerbate macroeconomic volatility.</w:t>
      </w:r>
    </w:p>
    <w:p w14:paraId="30A7693A" w14:textId="658D015B" w:rsidR="0094715A" w:rsidRPr="0094715A" w:rsidRDefault="0094715A" w:rsidP="0094715A">
      <w:pPr>
        <w:spacing w:before="120" w:after="120" w:line="360" w:lineRule="auto"/>
        <w:jc w:val="both"/>
        <w:rPr>
          <w:rFonts w:cs="Arial"/>
          <w:sz w:val="24"/>
          <w:szCs w:val="24"/>
          <w:lang w:val="en-US"/>
        </w:rPr>
      </w:pPr>
      <w:r w:rsidRPr="0094715A">
        <w:rPr>
          <w:rFonts w:cs="Arial"/>
          <w:sz w:val="24"/>
          <w:szCs w:val="24"/>
          <w:lang w:val="en-US"/>
        </w:rPr>
        <w:t>The introduction of monetary policy responses within our analytical framework illustrates that although the Central Bank of Bolivia does not explicitly target interest rates, liquidity interventions—proxied through interbank rate adjustments—can partially mitigate the adverse effects of sentiment-driven shocks. However, these responses are modest and transient, suggesting that conventional monetary policy alone may be insufficient to fully stabilize inflation and exchange rate fluctuations in the context of a parallel cryptocurrency market.</w:t>
      </w:r>
    </w:p>
    <w:p w14:paraId="480508DA" w14:textId="76C458BB" w:rsidR="0094715A" w:rsidRPr="0094715A" w:rsidRDefault="0094715A" w:rsidP="0094715A">
      <w:pPr>
        <w:spacing w:before="120" w:after="120" w:line="360" w:lineRule="auto"/>
        <w:jc w:val="both"/>
        <w:rPr>
          <w:rFonts w:cs="Arial"/>
          <w:sz w:val="24"/>
          <w:szCs w:val="24"/>
          <w:lang w:val="en-US"/>
        </w:rPr>
      </w:pPr>
      <w:r w:rsidRPr="0094715A">
        <w:rPr>
          <w:rFonts w:cs="Arial"/>
          <w:sz w:val="24"/>
          <w:szCs w:val="24"/>
          <w:lang w:val="en-US"/>
        </w:rPr>
        <w:t>From a policy perspective, our findings underscore the need for real-time monitoring of sentiment indices and parallel market indicators, as these provide critical early signals of macroeconomic instability. The integration of high-frequency data into monetary policy frameworks can enhance central bank responsiveness, enabling more timely interventions to preemptively address emerging risks.</w:t>
      </w:r>
    </w:p>
    <w:p w14:paraId="74FD5D49" w14:textId="7049B290" w:rsidR="0094715A" w:rsidRPr="0094715A" w:rsidRDefault="0094715A" w:rsidP="0094715A">
      <w:pPr>
        <w:spacing w:before="120" w:after="120" w:line="360" w:lineRule="auto"/>
        <w:jc w:val="both"/>
        <w:rPr>
          <w:rFonts w:cs="Arial"/>
          <w:sz w:val="24"/>
          <w:szCs w:val="24"/>
          <w:lang w:val="en-US"/>
        </w:rPr>
      </w:pPr>
      <w:r w:rsidRPr="0094715A">
        <w:rPr>
          <w:rFonts w:cs="Arial"/>
          <w:sz w:val="24"/>
          <w:szCs w:val="24"/>
          <w:lang w:val="en-US"/>
        </w:rPr>
        <w:t xml:space="preserve">Nevertheless, this research faces limitations. The relatively short time horizon of available high-frequency data may restrict the generalizability of findings beyond the Bolivian context. Additionally, the simplifying assumptions embedded in the theoretical model and the </w:t>
      </w:r>
      <w:r w:rsidRPr="0094715A">
        <w:rPr>
          <w:rFonts w:cs="Arial"/>
          <w:sz w:val="24"/>
          <w:szCs w:val="24"/>
          <w:lang w:val="en-US"/>
        </w:rPr>
        <w:lastRenderedPageBreak/>
        <w:t>constraints inherent in empirical identification strategies warrant caution in interpreting causal effects.</w:t>
      </w:r>
    </w:p>
    <w:p w14:paraId="4C50FD1C" w14:textId="5654300D" w:rsidR="0094715A" w:rsidRPr="0094715A" w:rsidRDefault="0094715A" w:rsidP="0094715A">
      <w:pPr>
        <w:spacing w:before="120" w:after="120" w:line="360" w:lineRule="auto"/>
        <w:jc w:val="both"/>
        <w:rPr>
          <w:rFonts w:cs="Arial"/>
          <w:sz w:val="24"/>
          <w:szCs w:val="24"/>
          <w:lang w:val="en-US"/>
        </w:rPr>
      </w:pPr>
      <w:r w:rsidRPr="0094715A">
        <w:rPr>
          <w:rFonts w:cs="Arial"/>
          <w:sz w:val="24"/>
          <w:szCs w:val="24"/>
          <w:lang w:val="en-US"/>
        </w:rPr>
        <w:t>Future research should aim to expand the dataset temporally and geographically to test the robustness and external validity of our results. Moreover, further investigations could incorporate additional behavioral factors and alternative policy instruments to more comprehensively assess strategies for managing macroeconomic stability amid growing cryptoization.</w:t>
      </w:r>
    </w:p>
    <w:p w14:paraId="28CDC981" w14:textId="5A0AED97" w:rsidR="0094715A" w:rsidRDefault="0094715A" w:rsidP="0094715A">
      <w:pPr>
        <w:spacing w:before="120" w:after="120" w:line="360" w:lineRule="auto"/>
        <w:jc w:val="both"/>
        <w:rPr>
          <w:rFonts w:cs="Arial"/>
          <w:sz w:val="24"/>
          <w:szCs w:val="24"/>
          <w:lang w:val="en-US"/>
        </w:rPr>
      </w:pPr>
      <w:r w:rsidRPr="0094715A">
        <w:rPr>
          <w:rFonts w:cs="Arial"/>
          <w:sz w:val="24"/>
          <w:szCs w:val="24"/>
          <w:lang w:val="en-US"/>
        </w:rPr>
        <w:t>Overall, this study contributes novel insights into the complex interplay between uncertainty, cryptocurrency markets, and inflation, offering actionable recommendations for policymakers navigating the emerging financial landscape.</w:t>
      </w:r>
    </w:p>
    <w:p w14:paraId="141DD1CC" w14:textId="77777777" w:rsidR="0018115D" w:rsidRDefault="0018115D" w:rsidP="0094715A">
      <w:pPr>
        <w:spacing w:before="120" w:after="120" w:line="360" w:lineRule="auto"/>
        <w:jc w:val="both"/>
        <w:rPr>
          <w:rFonts w:cs="Arial"/>
          <w:sz w:val="24"/>
          <w:szCs w:val="24"/>
          <w:lang w:val="en-US"/>
        </w:rPr>
      </w:pPr>
    </w:p>
    <w:p w14:paraId="51EEC59E" w14:textId="77777777" w:rsidR="0018115D" w:rsidRDefault="0018115D" w:rsidP="0094715A">
      <w:pPr>
        <w:spacing w:before="120" w:after="120" w:line="360" w:lineRule="auto"/>
        <w:jc w:val="both"/>
        <w:rPr>
          <w:rFonts w:cs="Arial"/>
          <w:sz w:val="24"/>
          <w:szCs w:val="24"/>
          <w:lang w:val="en-US"/>
        </w:rPr>
      </w:pPr>
    </w:p>
    <w:p w14:paraId="71B36493" w14:textId="77777777" w:rsidR="001B7004" w:rsidRDefault="001B7004" w:rsidP="0094715A">
      <w:pPr>
        <w:spacing w:before="120" w:after="120" w:line="360" w:lineRule="auto"/>
        <w:jc w:val="both"/>
        <w:rPr>
          <w:rFonts w:cs="Arial"/>
          <w:sz w:val="24"/>
          <w:szCs w:val="24"/>
          <w:lang w:val="en-US"/>
        </w:rPr>
      </w:pPr>
    </w:p>
    <w:p w14:paraId="78D7E631" w14:textId="77777777" w:rsidR="001B7004" w:rsidRDefault="001B7004" w:rsidP="0094715A">
      <w:pPr>
        <w:spacing w:before="120" w:after="120" w:line="360" w:lineRule="auto"/>
        <w:jc w:val="both"/>
        <w:rPr>
          <w:rFonts w:cs="Arial"/>
          <w:sz w:val="24"/>
          <w:szCs w:val="24"/>
          <w:lang w:val="en-US"/>
        </w:rPr>
      </w:pPr>
    </w:p>
    <w:p w14:paraId="57879E09" w14:textId="77777777" w:rsidR="001B7004" w:rsidRDefault="001B7004" w:rsidP="0094715A">
      <w:pPr>
        <w:spacing w:before="120" w:after="120" w:line="360" w:lineRule="auto"/>
        <w:jc w:val="both"/>
        <w:rPr>
          <w:rFonts w:cs="Arial"/>
          <w:sz w:val="24"/>
          <w:szCs w:val="24"/>
          <w:lang w:val="en-US"/>
        </w:rPr>
      </w:pPr>
    </w:p>
    <w:p w14:paraId="4948122D" w14:textId="77777777" w:rsidR="001B7004" w:rsidRDefault="001B7004" w:rsidP="0094715A">
      <w:pPr>
        <w:spacing w:before="120" w:after="120" w:line="360" w:lineRule="auto"/>
        <w:jc w:val="both"/>
        <w:rPr>
          <w:rFonts w:cs="Arial"/>
          <w:sz w:val="24"/>
          <w:szCs w:val="24"/>
          <w:lang w:val="en-US"/>
        </w:rPr>
      </w:pPr>
    </w:p>
    <w:p w14:paraId="05E1C5C7" w14:textId="77777777" w:rsidR="001B7004" w:rsidRDefault="001B7004" w:rsidP="0094715A">
      <w:pPr>
        <w:spacing w:before="120" w:after="120" w:line="360" w:lineRule="auto"/>
        <w:jc w:val="both"/>
        <w:rPr>
          <w:rFonts w:cs="Arial"/>
          <w:sz w:val="24"/>
          <w:szCs w:val="24"/>
          <w:lang w:val="en-US"/>
        </w:rPr>
      </w:pPr>
    </w:p>
    <w:p w14:paraId="122348D3" w14:textId="77777777" w:rsidR="001B7004" w:rsidRDefault="001B7004" w:rsidP="0094715A">
      <w:pPr>
        <w:spacing w:before="120" w:after="120" w:line="360" w:lineRule="auto"/>
        <w:jc w:val="both"/>
        <w:rPr>
          <w:rFonts w:cs="Arial"/>
          <w:sz w:val="24"/>
          <w:szCs w:val="24"/>
          <w:lang w:val="en-US"/>
        </w:rPr>
      </w:pPr>
    </w:p>
    <w:p w14:paraId="1415A8EB" w14:textId="77777777" w:rsidR="001B7004" w:rsidRDefault="001B7004" w:rsidP="0094715A">
      <w:pPr>
        <w:spacing w:before="120" w:after="120" w:line="360" w:lineRule="auto"/>
        <w:jc w:val="both"/>
        <w:rPr>
          <w:rFonts w:cs="Arial"/>
          <w:sz w:val="24"/>
          <w:szCs w:val="24"/>
          <w:lang w:val="en-US"/>
        </w:rPr>
      </w:pPr>
    </w:p>
    <w:p w14:paraId="3151CC67" w14:textId="77777777" w:rsidR="001B7004" w:rsidRDefault="001B7004" w:rsidP="0094715A">
      <w:pPr>
        <w:spacing w:before="120" w:after="120" w:line="360" w:lineRule="auto"/>
        <w:jc w:val="both"/>
        <w:rPr>
          <w:rFonts w:cs="Arial"/>
          <w:sz w:val="24"/>
          <w:szCs w:val="24"/>
          <w:lang w:val="en-US"/>
        </w:rPr>
      </w:pPr>
    </w:p>
    <w:p w14:paraId="774AAF2E" w14:textId="77777777" w:rsidR="001B7004" w:rsidRDefault="001B7004" w:rsidP="0094715A">
      <w:pPr>
        <w:spacing w:before="120" w:after="120" w:line="360" w:lineRule="auto"/>
        <w:jc w:val="both"/>
        <w:rPr>
          <w:rFonts w:cs="Arial"/>
          <w:sz w:val="24"/>
          <w:szCs w:val="24"/>
          <w:lang w:val="en-US"/>
        </w:rPr>
      </w:pPr>
    </w:p>
    <w:p w14:paraId="438B1895" w14:textId="77777777" w:rsidR="001B7004" w:rsidRDefault="001B7004" w:rsidP="0094715A">
      <w:pPr>
        <w:spacing w:before="120" w:after="120" w:line="360" w:lineRule="auto"/>
        <w:jc w:val="both"/>
        <w:rPr>
          <w:rFonts w:cs="Arial"/>
          <w:sz w:val="24"/>
          <w:szCs w:val="24"/>
          <w:lang w:val="en-US"/>
        </w:rPr>
      </w:pPr>
    </w:p>
    <w:p w14:paraId="4FDA552C" w14:textId="77777777" w:rsidR="001B7004" w:rsidRDefault="001B7004" w:rsidP="0094715A">
      <w:pPr>
        <w:spacing w:before="120" w:after="120" w:line="360" w:lineRule="auto"/>
        <w:jc w:val="both"/>
        <w:rPr>
          <w:rFonts w:cs="Arial"/>
          <w:sz w:val="24"/>
          <w:szCs w:val="24"/>
          <w:lang w:val="en-US"/>
        </w:rPr>
      </w:pPr>
    </w:p>
    <w:p w14:paraId="22051C44" w14:textId="77777777" w:rsidR="001B7004" w:rsidRDefault="001B7004" w:rsidP="0094715A">
      <w:pPr>
        <w:spacing w:before="120" w:after="120" w:line="360" w:lineRule="auto"/>
        <w:jc w:val="both"/>
        <w:rPr>
          <w:rFonts w:cs="Arial"/>
          <w:sz w:val="24"/>
          <w:szCs w:val="24"/>
          <w:lang w:val="en-US"/>
        </w:rPr>
      </w:pPr>
    </w:p>
    <w:p w14:paraId="3B5DFEAE" w14:textId="77777777" w:rsidR="001B7004" w:rsidRDefault="001B7004" w:rsidP="0094715A">
      <w:pPr>
        <w:spacing w:before="120" w:after="120" w:line="360" w:lineRule="auto"/>
        <w:jc w:val="both"/>
        <w:rPr>
          <w:rFonts w:cs="Arial"/>
          <w:sz w:val="24"/>
          <w:szCs w:val="24"/>
          <w:lang w:val="en-US"/>
        </w:rPr>
      </w:pPr>
    </w:p>
    <w:p w14:paraId="42C1AABF" w14:textId="77777777" w:rsidR="001B7004" w:rsidRDefault="001B7004" w:rsidP="0094715A">
      <w:pPr>
        <w:spacing w:before="120" w:after="120" w:line="360" w:lineRule="auto"/>
        <w:jc w:val="both"/>
        <w:rPr>
          <w:rFonts w:cs="Arial"/>
          <w:sz w:val="24"/>
          <w:szCs w:val="24"/>
          <w:lang w:val="en-US"/>
        </w:rPr>
      </w:pPr>
    </w:p>
    <w:p w14:paraId="2989D96B" w14:textId="77777777" w:rsidR="0018115D" w:rsidRPr="0018115D" w:rsidRDefault="0018115D" w:rsidP="0018115D">
      <w:pPr>
        <w:spacing w:before="120" w:after="120" w:line="360" w:lineRule="auto"/>
        <w:jc w:val="both"/>
        <w:rPr>
          <w:rFonts w:cs="Arial"/>
          <w:b/>
          <w:bCs/>
          <w:sz w:val="24"/>
          <w:szCs w:val="24"/>
          <w:lang w:val="en-US"/>
        </w:rPr>
      </w:pPr>
      <w:r w:rsidRPr="0018115D">
        <w:rPr>
          <w:rFonts w:cs="Arial"/>
          <w:b/>
          <w:bCs/>
          <w:sz w:val="24"/>
          <w:szCs w:val="24"/>
          <w:lang w:val="en-US"/>
        </w:rPr>
        <w:lastRenderedPageBreak/>
        <w:t>References</w:t>
      </w:r>
    </w:p>
    <w:p w14:paraId="2866BA1C" w14:textId="77777777" w:rsidR="0018115D" w:rsidRPr="0018115D" w:rsidRDefault="0018115D" w:rsidP="0018115D">
      <w:pPr>
        <w:spacing w:before="120" w:after="120" w:line="360" w:lineRule="auto"/>
        <w:jc w:val="both"/>
        <w:rPr>
          <w:rFonts w:cs="Arial"/>
          <w:sz w:val="24"/>
          <w:szCs w:val="24"/>
          <w:lang w:val="en-US"/>
        </w:rPr>
      </w:pPr>
      <w:r w:rsidRPr="0018115D">
        <w:rPr>
          <w:rFonts w:cs="Arial"/>
          <w:sz w:val="24"/>
          <w:szCs w:val="24"/>
          <w:lang w:val="en-US"/>
        </w:rPr>
        <w:t xml:space="preserve">Almeida, J. and Gon¸calves, T. C. (2024). Cryptocurrency market microstructure: a systematic literature review. </w:t>
      </w:r>
      <w:r w:rsidRPr="0018115D">
        <w:rPr>
          <w:rFonts w:cs="Arial"/>
          <w:i/>
          <w:iCs/>
          <w:sz w:val="24"/>
          <w:szCs w:val="24"/>
          <w:lang w:val="en-US"/>
        </w:rPr>
        <w:t>Annals of Operations Research</w:t>
      </w:r>
      <w:r w:rsidRPr="0018115D">
        <w:rPr>
          <w:rFonts w:cs="Arial"/>
          <w:sz w:val="24"/>
          <w:szCs w:val="24"/>
          <w:lang w:val="en-US"/>
        </w:rPr>
        <w:t>, 332(1):1035–1068.</w:t>
      </w:r>
    </w:p>
    <w:p w14:paraId="07FE8EA8" w14:textId="77777777" w:rsidR="0018115D" w:rsidRPr="0018115D" w:rsidRDefault="0018115D" w:rsidP="0018115D">
      <w:pPr>
        <w:spacing w:before="120" w:after="120" w:line="360" w:lineRule="auto"/>
        <w:jc w:val="both"/>
        <w:rPr>
          <w:rFonts w:cs="Arial"/>
          <w:sz w:val="24"/>
          <w:szCs w:val="24"/>
          <w:lang w:val="en-US"/>
        </w:rPr>
      </w:pPr>
      <w:r w:rsidRPr="0018115D">
        <w:rPr>
          <w:rFonts w:cs="Arial"/>
          <w:sz w:val="24"/>
          <w:szCs w:val="24"/>
          <w:lang w:val="en-US"/>
        </w:rPr>
        <w:t xml:space="preserve">Ante, L., Fiedler, I., Willruth, J. M., and Steinmetz, F. (2023). A systematic literature review of empirical research on stablecoins. </w:t>
      </w:r>
      <w:r w:rsidRPr="0018115D">
        <w:rPr>
          <w:rFonts w:cs="Arial"/>
          <w:i/>
          <w:iCs/>
          <w:sz w:val="24"/>
          <w:szCs w:val="24"/>
          <w:lang w:val="en-US"/>
        </w:rPr>
        <w:t>FinTech</w:t>
      </w:r>
      <w:r w:rsidRPr="0018115D">
        <w:rPr>
          <w:rFonts w:cs="Arial"/>
          <w:sz w:val="24"/>
          <w:szCs w:val="24"/>
          <w:lang w:val="en-US"/>
        </w:rPr>
        <w:t>, 2(1):34–47.</w:t>
      </w:r>
    </w:p>
    <w:p w14:paraId="4BB36546" w14:textId="77777777" w:rsidR="0018115D" w:rsidRPr="0018115D" w:rsidRDefault="0018115D" w:rsidP="0018115D">
      <w:pPr>
        <w:spacing w:before="120" w:after="120" w:line="360" w:lineRule="auto"/>
        <w:jc w:val="both"/>
        <w:rPr>
          <w:rFonts w:cs="Arial"/>
          <w:sz w:val="24"/>
          <w:szCs w:val="24"/>
        </w:rPr>
      </w:pPr>
      <w:r w:rsidRPr="0018115D">
        <w:rPr>
          <w:rFonts w:cs="Arial"/>
          <w:sz w:val="24"/>
          <w:szCs w:val="24"/>
          <w:lang w:val="en-US"/>
        </w:rPr>
        <w:t xml:space="preserve">Arias, J. E., Rubio-Ram´ırez, J. F., and Waggoner, D. F. (2018). Inference based on structural vector autoregressions identified with sign and zero restrictions: Theory and applications. </w:t>
      </w:r>
      <w:r w:rsidRPr="0018115D">
        <w:rPr>
          <w:rFonts w:cs="Arial"/>
          <w:i/>
          <w:iCs/>
          <w:sz w:val="24"/>
          <w:szCs w:val="24"/>
        </w:rPr>
        <w:t>Econometrica</w:t>
      </w:r>
      <w:r w:rsidRPr="0018115D">
        <w:rPr>
          <w:rFonts w:cs="Arial"/>
          <w:sz w:val="24"/>
          <w:szCs w:val="24"/>
        </w:rPr>
        <w:t>, 86(2):685–720.</w:t>
      </w:r>
    </w:p>
    <w:p w14:paraId="3C4108A5" w14:textId="77777777" w:rsidR="0018115D" w:rsidRPr="0018115D" w:rsidRDefault="0018115D" w:rsidP="0018115D">
      <w:pPr>
        <w:spacing w:before="120" w:after="120" w:line="360" w:lineRule="auto"/>
        <w:jc w:val="both"/>
        <w:rPr>
          <w:rFonts w:cs="Arial"/>
          <w:sz w:val="24"/>
          <w:szCs w:val="24"/>
          <w:lang w:val="en-US"/>
        </w:rPr>
      </w:pPr>
      <w:r w:rsidRPr="00CF0423">
        <w:rPr>
          <w:rFonts w:cs="Arial"/>
          <w:sz w:val="24"/>
          <w:szCs w:val="24"/>
          <w:lang w:val="en-US"/>
        </w:rPr>
        <w:t xml:space="preserve">Ascari, G., Fasani, S., Grazzini, J., and Rossi, L. (2023). </w:t>
      </w:r>
      <w:r w:rsidRPr="0018115D">
        <w:rPr>
          <w:rFonts w:cs="Arial"/>
          <w:sz w:val="24"/>
          <w:szCs w:val="24"/>
          <w:lang w:val="en-US"/>
        </w:rPr>
        <w:t xml:space="preserve">Endogenous uncertainty and the macroeconomic impact of shocks to inflation expectations. </w:t>
      </w:r>
      <w:r w:rsidRPr="0018115D">
        <w:rPr>
          <w:rFonts w:cs="Arial"/>
          <w:i/>
          <w:iCs/>
          <w:sz w:val="24"/>
          <w:szCs w:val="24"/>
          <w:lang w:val="en-US"/>
        </w:rPr>
        <w:t>Journal of Monetary Economics</w:t>
      </w:r>
      <w:r w:rsidRPr="0018115D">
        <w:rPr>
          <w:rFonts w:cs="Arial"/>
          <w:sz w:val="24"/>
          <w:szCs w:val="24"/>
          <w:lang w:val="en-US"/>
        </w:rPr>
        <w:t>, 140:S48–S63.</w:t>
      </w:r>
    </w:p>
    <w:p w14:paraId="25F57018" w14:textId="77777777" w:rsidR="0018115D" w:rsidRPr="0018115D" w:rsidRDefault="0018115D" w:rsidP="0018115D">
      <w:pPr>
        <w:spacing w:before="120" w:after="120" w:line="360" w:lineRule="auto"/>
        <w:jc w:val="both"/>
        <w:rPr>
          <w:rFonts w:cs="Arial"/>
          <w:sz w:val="24"/>
          <w:szCs w:val="24"/>
          <w:lang w:val="en-US"/>
        </w:rPr>
      </w:pPr>
      <w:r w:rsidRPr="0018115D">
        <w:rPr>
          <w:rFonts w:cs="Arial"/>
          <w:sz w:val="24"/>
          <w:szCs w:val="24"/>
          <w:lang w:val="en-US"/>
        </w:rPr>
        <w:t>Azar, P. D., Baughman, G., Carapella, F., Gerszten, J., Lubis, A., Perez-Sangimino, J. P., Rappoport, D. E., Scotti, C., Swem, N., Vardoulakis, A., et al. (2024). The financial stability implications of digital assets. Technical Report 2, Federal Reserve Bank of New York.</w:t>
      </w:r>
    </w:p>
    <w:p w14:paraId="53DA0D81" w14:textId="77777777" w:rsidR="0018115D" w:rsidRPr="0018115D" w:rsidRDefault="0018115D" w:rsidP="0018115D">
      <w:pPr>
        <w:spacing w:before="120" w:after="120" w:line="360" w:lineRule="auto"/>
        <w:jc w:val="both"/>
        <w:rPr>
          <w:rFonts w:cs="Arial"/>
          <w:sz w:val="24"/>
          <w:szCs w:val="24"/>
          <w:lang w:val="en-US"/>
        </w:rPr>
      </w:pPr>
      <w:r w:rsidRPr="0018115D">
        <w:rPr>
          <w:rFonts w:cs="Arial"/>
          <w:sz w:val="24"/>
          <w:szCs w:val="24"/>
          <w:lang w:val="en-US"/>
        </w:rPr>
        <w:t>Baker, S. R., Bloom, N., and Davis, S. J. (2016). Measuring economic policy uncertainty.</w:t>
      </w:r>
    </w:p>
    <w:p w14:paraId="6F44DDF6" w14:textId="77777777" w:rsidR="0018115D" w:rsidRPr="0018115D" w:rsidRDefault="0018115D" w:rsidP="0018115D">
      <w:pPr>
        <w:spacing w:before="120" w:after="120" w:line="360" w:lineRule="auto"/>
        <w:jc w:val="both"/>
        <w:rPr>
          <w:rFonts w:cs="Arial"/>
          <w:sz w:val="24"/>
          <w:szCs w:val="24"/>
          <w:lang w:val="en-US"/>
        </w:rPr>
      </w:pPr>
      <w:r w:rsidRPr="0018115D">
        <w:rPr>
          <w:rFonts w:cs="Arial"/>
          <w:i/>
          <w:iCs/>
          <w:sz w:val="24"/>
          <w:szCs w:val="24"/>
          <w:lang w:val="en-US"/>
        </w:rPr>
        <w:t>The quarterly journal of economics</w:t>
      </w:r>
      <w:r w:rsidRPr="0018115D">
        <w:rPr>
          <w:rFonts w:cs="Arial"/>
          <w:sz w:val="24"/>
          <w:szCs w:val="24"/>
          <w:lang w:val="en-US"/>
        </w:rPr>
        <w:t>, 131(4):1593–1636.</w:t>
      </w:r>
    </w:p>
    <w:p w14:paraId="32572887" w14:textId="496F939F" w:rsidR="0018115D" w:rsidRPr="0018115D" w:rsidRDefault="0018115D" w:rsidP="0018115D">
      <w:pPr>
        <w:spacing w:before="120" w:after="120" w:line="360" w:lineRule="auto"/>
        <w:jc w:val="both"/>
        <w:rPr>
          <w:rFonts w:cs="Arial"/>
          <w:sz w:val="24"/>
          <w:szCs w:val="24"/>
          <w:lang w:val="en-US"/>
        </w:rPr>
      </w:pPr>
      <w:r w:rsidRPr="0018115D">
        <w:rPr>
          <w:rFonts w:cs="Arial"/>
          <w:sz w:val="24"/>
          <w:szCs w:val="24"/>
          <w:lang w:val="en-US"/>
        </w:rPr>
        <w:t>Basarac, M., Skrabic, B., and Soric, P. (2011). The hybrid phillips curve: Empirical</w:t>
      </w:r>
      <w:r>
        <w:rPr>
          <w:rFonts w:cs="Arial"/>
          <w:sz w:val="24"/>
          <w:szCs w:val="24"/>
          <w:lang w:val="en-US"/>
        </w:rPr>
        <w:t xml:space="preserve"> </w:t>
      </w:r>
      <w:r w:rsidRPr="0018115D">
        <w:rPr>
          <w:rFonts w:cs="Arial"/>
          <w:sz w:val="24"/>
          <w:szCs w:val="24"/>
          <w:lang w:val="en-US"/>
        </w:rPr>
        <w:t>evidence from transition economies. finance a finance, 61, no. 4. úv</w:t>
      </w:r>
      <w:r>
        <w:rPr>
          <w:rFonts w:cs="Arial"/>
          <w:sz w:val="24"/>
          <w:szCs w:val="24"/>
          <w:lang w:val="en-US"/>
        </w:rPr>
        <w:t>e</w:t>
      </w:r>
      <w:r w:rsidRPr="0018115D">
        <w:rPr>
          <w:rFonts w:cs="Arial"/>
          <w:sz w:val="24"/>
          <w:szCs w:val="24"/>
          <w:lang w:val="en-US"/>
        </w:rPr>
        <w:t>r–czech journal of economics and</w:t>
      </w:r>
    </w:p>
    <w:p w14:paraId="54BA8B93" w14:textId="602EA810" w:rsidR="0018115D" w:rsidRPr="0018115D" w:rsidRDefault="0018115D" w:rsidP="0018115D">
      <w:pPr>
        <w:spacing w:before="120" w:after="120" w:line="360" w:lineRule="auto"/>
        <w:jc w:val="both"/>
        <w:rPr>
          <w:rFonts w:cs="Arial"/>
          <w:sz w:val="24"/>
          <w:szCs w:val="24"/>
        </w:rPr>
      </w:pPr>
      <w:r w:rsidRPr="0018115D">
        <w:rPr>
          <w:rFonts w:cs="Arial"/>
          <w:sz w:val="24"/>
          <w:szCs w:val="24"/>
        </w:rPr>
        <w:t xml:space="preserve">BCB (2023). Comunicado oficial sobre la venta directa de dólares al público. </w:t>
      </w:r>
      <w:r w:rsidRPr="0018115D">
        <w:rPr>
          <w:rFonts w:cs="Arial"/>
          <w:i/>
          <w:iCs/>
          <w:sz w:val="24"/>
          <w:szCs w:val="24"/>
        </w:rPr>
        <w:t>Banco Central de Bolivia</w:t>
      </w:r>
      <w:r w:rsidRPr="0018115D">
        <w:rPr>
          <w:rFonts w:cs="Arial"/>
          <w:sz w:val="24"/>
          <w:szCs w:val="24"/>
        </w:rPr>
        <w:t>.</w:t>
      </w:r>
    </w:p>
    <w:p w14:paraId="138959A7" w14:textId="5C31B77C" w:rsidR="0018115D" w:rsidRPr="0018115D" w:rsidRDefault="0018115D" w:rsidP="0018115D">
      <w:pPr>
        <w:spacing w:before="120" w:after="120" w:line="360" w:lineRule="auto"/>
        <w:jc w:val="both"/>
        <w:rPr>
          <w:rFonts w:cs="Arial"/>
          <w:sz w:val="24"/>
          <w:szCs w:val="24"/>
          <w:lang w:val="en-US"/>
        </w:rPr>
      </w:pPr>
      <w:r w:rsidRPr="0018115D">
        <w:rPr>
          <w:rFonts w:cs="Arial"/>
          <w:sz w:val="24"/>
          <w:szCs w:val="24"/>
        </w:rPr>
        <w:t xml:space="preserve">BCB (2024). Habilitación de activos virtuales y criptoactivos en bolivia. </w:t>
      </w:r>
      <w:r w:rsidRPr="0018115D">
        <w:rPr>
          <w:rFonts w:cs="Arial"/>
          <w:sz w:val="24"/>
          <w:szCs w:val="24"/>
          <w:lang w:val="en-US"/>
        </w:rPr>
        <w:t>Accessed: 2025-04</w:t>
      </w:r>
      <w:r>
        <w:rPr>
          <w:rFonts w:cs="Arial"/>
          <w:sz w:val="24"/>
          <w:szCs w:val="24"/>
          <w:lang w:val="en-US"/>
        </w:rPr>
        <w:t>-</w:t>
      </w:r>
      <w:r w:rsidRPr="0018115D">
        <w:rPr>
          <w:rFonts w:cs="Arial"/>
          <w:sz w:val="24"/>
          <w:szCs w:val="24"/>
          <w:lang w:val="en-US"/>
        </w:rPr>
        <w:t>26.</w:t>
      </w:r>
    </w:p>
    <w:p w14:paraId="17410794" w14:textId="77777777" w:rsidR="0018115D" w:rsidRPr="0018115D" w:rsidRDefault="0018115D" w:rsidP="0018115D">
      <w:pPr>
        <w:spacing w:before="120" w:after="120" w:line="360" w:lineRule="auto"/>
        <w:jc w:val="both"/>
        <w:rPr>
          <w:rFonts w:cs="Arial"/>
          <w:sz w:val="24"/>
          <w:szCs w:val="24"/>
          <w:lang w:val="en-US"/>
        </w:rPr>
      </w:pPr>
      <w:r w:rsidRPr="0018115D">
        <w:rPr>
          <w:rFonts w:cs="Arial"/>
          <w:sz w:val="24"/>
          <w:szCs w:val="24"/>
          <w:lang w:val="en-US"/>
        </w:rPr>
        <w:t xml:space="preserve">Berger, D., Dew-Becker, I., and Giglio, S. (2020). Uncertainty shocks as second-moment news shocks. </w:t>
      </w:r>
      <w:r w:rsidRPr="0018115D">
        <w:rPr>
          <w:rFonts w:cs="Arial"/>
          <w:i/>
          <w:iCs/>
          <w:sz w:val="24"/>
          <w:szCs w:val="24"/>
          <w:lang w:val="en-US"/>
        </w:rPr>
        <w:t>The Review of Economic Studies</w:t>
      </w:r>
      <w:r w:rsidRPr="0018115D">
        <w:rPr>
          <w:rFonts w:cs="Arial"/>
          <w:sz w:val="24"/>
          <w:szCs w:val="24"/>
          <w:lang w:val="en-US"/>
        </w:rPr>
        <w:t>, 87(1):40–76.</w:t>
      </w:r>
    </w:p>
    <w:p w14:paraId="34CC7D2D" w14:textId="77777777" w:rsidR="0018115D" w:rsidRPr="0018115D" w:rsidRDefault="0018115D" w:rsidP="0018115D">
      <w:pPr>
        <w:spacing w:before="120" w:after="120" w:line="360" w:lineRule="auto"/>
        <w:jc w:val="both"/>
        <w:rPr>
          <w:rFonts w:cs="Arial"/>
          <w:sz w:val="24"/>
          <w:szCs w:val="24"/>
          <w:lang w:val="en-US"/>
        </w:rPr>
      </w:pPr>
      <w:r w:rsidRPr="0018115D">
        <w:rPr>
          <w:rFonts w:cs="Arial"/>
          <w:sz w:val="24"/>
          <w:szCs w:val="24"/>
          <w:lang w:val="en-US"/>
        </w:rPr>
        <w:t xml:space="preserve">Bloom, N. (2009). The impact of uncertainty shocks. </w:t>
      </w:r>
      <w:r w:rsidRPr="0018115D">
        <w:rPr>
          <w:rFonts w:cs="Arial"/>
          <w:i/>
          <w:iCs/>
          <w:sz w:val="24"/>
          <w:szCs w:val="24"/>
          <w:lang w:val="en-US"/>
        </w:rPr>
        <w:t>econometrica</w:t>
      </w:r>
      <w:r w:rsidRPr="0018115D">
        <w:rPr>
          <w:rFonts w:cs="Arial"/>
          <w:sz w:val="24"/>
          <w:szCs w:val="24"/>
          <w:lang w:val="en-US"/>
        </w:rPr>
        <w:t>, 77(3):623–685.</w:t>
      </w:r>
    </w:p>
    <w:p w14:paraId="08AACAD9" w14:textId="266F3B70" w:rsidR="0018115D" w:rsidRPr="0018115D" w:rsidRDefault="0018115D" w:rsidP="0018115D">
      <w:pPr>
        <w:spacing w:before="120" w:after="120" w:line="360" w:lineRule="auto"/>
        <w:jc w:val="both"/>
        <w:rPr>
          <w:rFonts w:cs="Arial"/>
          <w:sz w:val="24"/>
          <w:szCs w:val="24"/>
          <w:lang w:val="en-US"/>
        </w:rPr>
      </w:pPr>
      <w:r w:rsidRPr="0018115D">
        <w:rPr>
          <w:rFonts w:cs="Arial"/>
          <w:sz w:val="24"/>
          <w:szCs w:val="24"/>
          <w:lang w:val="en-US"/>
        </w:rPr>
        <w:t xml:space="preserve">Bloom, N. (2014). Fluctuations in uncertainty. </w:t>
      </w:r>
      <w:r w:rsidRPr="0018115D">
        <w:rPr>
          <w:rFonts w:cs="Arial"/>
          <w:i/>
          <w:iCs/>
          <w:sz w:val="24"/>
          <w:szCs w:val="24"/>
          <w:lang w:val="en-US"/>
        </w:rPr>
        <w:t>Journal of economic Perspectives</w:t>
      </w:r>
      <w:r w:rsidRPr="0018115D">
        <w:rPr>
          <w:rFonts w:cs="Arial"/>
          <w:sz w:val="24"/>
          <w:szCs w:val="24"/>
          <w:lang w:val="en-US"/>
        </w:rPr>
        <w:t>, 28(2):153</w:t>
      </w:r>
      <w:r>
        <w:rPr>
          <w:rFonts w:cs="Arial"/>
          <w:sz w:val="24"/>
          <w:szCs w:val="24"/>
          <w:lang w:val="en-US"/>
        </w:rPr>
        <w:t>-</w:t>
      </w:r>
      <w:r w:rsidRPr="0018115D">
        <w:rPr>
          <w:rFonts w:cs="Arial"/>
          <w:sz w:val="24"/>
          <w:szCs w:val="24"/>
          <w:lang w:val="en-US"/>
        </w:rPr>
        <w:t>176.</w:t>
      </w:r>
    </w:p>
    <w:p w14:paraId="1B3496A4" w14:textId="77777777" w:rsidR="0018115D" w:rsidRPr="0018115D" w:rsidRDefault="0018115D" w:rsidP="0018115D">
      <w:pPr>
        <w:spacing w:before="120" w:after="120" w:line="360" w:lineRule="auto"/>
        <w:jc w:val="both"/>
        <w:rPr>
          <w:rFonts w:cs="Arial"/>
          <w:sz w:val="24"/>
          <w:szCs w:val="24"/>
          <w:lang w:val="en-US"/>
        </w:rPr>
      </w:pPr>
      <w:r w:rsidRPr="0018115D">
        <w:rPr>
          <w:rFonts w:cs="Arial"/>
          <w:sz w:val="24"/>
          <w:szCs w:val="24"/>
          <w:lang w:val="en-US"/>
        </w:rPr>
        <w:lastRenderedPageBreak/>
        <w:t xml:space="preserve">Bolivar, O. (2025). High-frequency inflation forecasting: A two-step machine learning methodology. </w:t>
      </w:r>
      <w:r w:rsidRPr="0018115D">
        <w:rPr>
          <w:rFonts w:cs="Arial"/>
          <w:i/>
          <w:iCs/>
          <w:sz w:val="24"/>
          <w:szCs w:val="24"/>
          <w:lang w:val="en-US"/>
        </w:rPr>
        <w:t>Latin American Journal of Central Banking</w:t>
      </w:r>
      <w:r w:rsidRPr="0018115D">
        <w:rPr>
          <w:rFonts w:cs="Arial"/>
          <w:sz w:val="24"/>
          <w:szCs w:val="24"/>
          <w:lang w:val="en-US"/>
        </w:rPr>
        <w:t>, (Forthcoming).</w:t>
      </w:r>
    </w:p>
    <w:p w14:paraId="4B83C0B5" w14:textId="77777777" w:rsidR="0018115D" w:rsidRPr="0018115D" w:rsidRDefault="0018115D" w:rsidP="0018115D">
      <w:pPr>
        <w:spacing w:before="120" w:after="120" w:line="360" w:lineRule="auto"/>
        <w:jc w:val="both"/>
        <w:rPr>
          <w:rFonts w:cs="Arial"/>
          <w:sz w:val="24"/>
          <w:szCs w:val="24"/>
          <w:lang w:val="en-US"/>
        </w:rPr>
      </w:pPr>
      <w:r w:rsidRPr="0018115D">
        <w:rPr>
          <w:rFonts w:cs="Arial"/>
          <w:sz w:val="24"/>
          <w:szCs w:val="24"/>
          <w:lang w:val="en-US"/>
        </w:rPr>
        <w:t xml:space="preserve">Clarida, R., Gali, J., and Gertler, M. (1999). The science of monetary policy: a new keynesian perspective. </w:t>
      </w:r>
      <w:r w:rsidRPr="0018115D">
        <w:rPr>
          <w:rFonts w:cs="Arial"/>
          <w:i/>
          <w:iCs/>
          <w:sz w:val="24"/>
          <w:szCs w:val="24"/>
          <w:lang w:val="en-US"/>
        </w:rPr>
        <w:t>Journal of economic literature</w:t>
      </w:r>
      <w:r w:rsidRPr="0018115D">
        <w:rPr>
          <w:rFonts w:cs="Arial"/>
          <w:sz w:val="24"/>
          <w:szCs w:val="24"/>
          <w:lang w:val="en-US"/>
        </w:rPr>
        <w:t>, 37(4):1661–1707.</w:t>
      </w:r>
    </w:p>
    <w:p w14:paraId="1884C343" w14:textId="77777777" w:rsidR="0018115D" w:rsidRPr="0018115D" w:rsidRDefault="0018115D" w:rsidP="0018115D">
      <w:pPr>
        <w:spacing w:before="120" w:after="120" w:line="360" w:lineRule="auto"/>
        <w:jc w:val="both"/>
        <w:rPr>
          <w:rFonts w:cs="Arial"/>
          <w:sz w:val="24"/>
          <w:szCs w:val="24"/>
          <w:lang w:val="en-US"/>
        </w:rPr>
      </w:pPr>
      <w:r w:rsidRPr="0018115D">
        <w:rPr>
          <w:rFonts w:cs="Arial"/>
          <w:sz w:val="24"/>
          <w:szCs w:val="24"/>
          <w:lang w:val="en-US"/>
        </w:rPr>
        <w:t xml:space="preserve">Corbet, S., Meegan, A., Larkin, C., Lucey, B., and Yarovaya, L. (2018). Exploring the dynamic relationships between cryptocurrencies and other financial assets. </w:t>
      </w:r>
      <w:r w:rsidRPr="0018115D">
        <w:rPr>
          <w:rFonts w:cs="Arial"/>
          <w:i/>
          <w:iCs/>
          <w:sz w:val="24"/>
          <w:szCs w:val="24"/>
          <w:lang w:val="en-US"/>
        </w:rPr>
        <w:t>Economics letters</w:t>
      </w:r>
      <w:r w:rsidRPr="0018115D">
        <w:rPr>
          <w:rFonts w:cs="Arial"/>
          <w:sz w:val="24"/>
          <w:szCs w:val="24"/>
          <w:lang w:val="en-US"/>
        </w:rPr>
        <w:t>, 165:28–34.</w:t>
      </w:r>
    </w:p>
    <w:p w14:paraId="38439D35" w14:textId="0E215A34" w:rsidR="0018115D" w:rsidRPr="0018115D" w:rsidRDefault="0018115D" w:rsidP="0018115D">
      <w:pPr>
        <w:spacing w:before="120" w:after="120" w:line="360" w:lineRule="auto"/>
        <w:jc w:val="both"/>
        <w:rPr>
          <w:rFonts w:cs="Arial"/>
          <w:sz w:val="24"/>
          <w:szCs w:val="24"/>
          <w:lang w:val="en-US"/>
        </w:rPr>
      </w:pPr>
      <w:r w:rsidRPr="0018115D">
        <w:rPr>
          <w:rFonts w:cs="Arial"/>
          <w:sz w:val="24"/>
          <w:szCs w:val="24"/>
          <w:lang w:val="en-US"/>
        </w:rPr>
        <w:t>Gal</w:t>
      </w:r>
      <w:r>
        <w:rPr>
          <w:rFonts w:cs="Arial"/>
          <w:sz w:val="24"/>
          <w:szCs w:val="24"/>
          <w:lang w:val="en-US"/>
        </w:rPr>
        <w:t>í</w:t>
      </w:r>
      <w:r w:rsidRPr="0018115D">
        <w:rPr>
          <w:rFonts w:cs="Arial"/>
          <w:sz w:val="24"/>
          <w:szCs w:val="24"/>
          <w:lang w:val="en-US"/>
        </w:rPr>
        <w:t xml:space="preserve">, J. (2015). </w:t>
      </w:r>
      <w:r w:rsidRPr="0018115D">
        <w:rPr>
          <w:rFonts w:cs="Arial"/>
          <w:i/>
          <w:iCs/>
          <w:sz w:val="24"/>
          <w:szCs w:val="24"/>
          <w:lang w:val="en-US"/>
        </w:rPr>
        <w:t>Monetary policy, inflation, and the business cycle: an introduction to the new Keynesian framework and its applications</w:t>
      </w:r>
      <w:r w:rsidRPr="0018115D">
        <w:rPr>
          <w:rFonts w:cs="Arial"/>
          <w:sz w:val="24"/>
          <w:szCs w:val="24"/>
          <w:lang w:val="en-US"/>
        </w:rPr>
        <w:t>. Princeton University Press.</w:t>
      </w:r>
    </w:p>
    <w:p w14:paraId="14F2D91E" w14:textId="29EE45F1" w:rsidR="0018115D" w:rsidRPr="0018115D" w:rsidRDefault="0018115D" w:rsidP="0018115D">
      <w:pPr>
        <w:spacing w:before="120" w:after="120" w:line="360" w:lineRule="auto"/>
        <w:jc w:val="both"/>
        <w:rPr>
          <w:rFonts w:cs="Arial"/>
          <w:sz w:val="24"/>
          <w:szCs w:val="24"/>
          <w:lang w:val="en-US"/>
        </w:rPr>
      </w:pPr>
      <w:r w:rsidRPr="0018115D">
        <w:rPr>
          <w:rFonts w:cs="Arial"/>
          <w:sz w:val="24"/>
          <w:szCs w:val="24"/>
          <w:lang w:val="en-US"/>
        </w:rPr>
        <w:t xml:space="preserve">Giannone, D., Lenza, M., and Primiceri, G. E. (2015). Prior selection for vector autoregressions. </w:t>
      </w:r>
      <w:r w:rsidRPr="0018115D">
        <w:rPr>
          <w:rFonts w:cs="Arial"/>
          <w:i/>
          <w:iCs/>
          <w:sz w:val="24"/>
          <w:szCs w:val="24"/>
          <w:lang w:val="en-US"/>
        </w:rPr>
        <w:t>Review of Economics and Statistics</w:t>
      </w:r>
      <w:r w:rsidRPr="0018115D">
        <w:rPr>
          <w:rFonts w:cs="Arial"/>
          <w:sz w:val="24"/>
          <w:szCs w:val="24"/>
          <w:lang w:val="en-US"/>
        </w:rPr>
        <w:t>, 97(2):436–451.</w:t>
      </w:r>
    </w:p>
    <w:p w14:paraId="438005BA" w14:textId="6CE31BDF" w:rsidR="0018115D" w:rsidRPr="0018115D" w:rsidRDefault="0018115D" w:rsidP="0018115D">
      <w:pPr>
        <w:spacing w:before="120" w:after="120" w:line="360" w:lineRule="auto"/>
        <w:jc w:val="both"/>
        <w:rPr>
          <w:rFonts w:cs="Arial"/>
          <w:sz w:val="24"/>
          <w:szCs w:val="24"/>
          <w:lang w:val="en-US"/>
        </w:rPr>
      </w:pPr>
      <w:r w:rsidRPr="0018115D">
        <w:rPr>
          <w:rFonts w:cs="Arial"/>
          <w:sz w:val="24"/>
          <w:szCs w:val="24"/>
          <w:lang w:val="en-US"/>
        </w:rPr>
        <w:t xml:space="preserve">Glebocki, H. and Saha, S. (2024). Global uncertainty and exchange rate conditions: Assessing the impact of uncertainty shocks in emerging markets and advanced economies. </w:t>
      </w:r>
      <w:r w:rsidRPr="0018115D">
        <w:rPr>
          <w:rFonts w:cs="Arial"/>
          <w:i/>
          <w:iCs/>
          <w:sz w:val="24"/>
          <w:szCs w:val="24"/>
          <w:lang w:val="en-US"/>
        </w:rPr>
        <w:t>Journal of International Financial Markets, Institutions and Money</w:t>
      </w:r>
      <w:r w:rsidRPr="0018115D">
        <w:rPr>
          <w:rFonts w:cs="Arial"/>
          <w:sz w:val="24"/>
          <w:szCs w:val="24"/>
          <w:lang w:val="en-US"/>
        </w:rPr>
        <w:t>, 96:102060.</w:t>
      </w:r>
    </w:p>
    <w:p w14:paraId="415F1DA8" w14:textId="08023476" w:rsidR="0018115D" w:rsidRPr="0018115D" w:rsidRDefault="0018115D" w:rsidP="0018115D">
      <w:pPr>
        <w:spacing w:before="120" w:after="120" w:line="360" w:lineRule="auto"/>
        <w:jc w:val="both"/>
        <w:rPr>
          <w:rFonts w:cs="Arial"/>
          <w:sz w:val="24"/>
          <w:szCs w:val="24"/>
          <w:lang w:val="en-US"/>
        </w:rPr>
      </w:pPr>
      <w:r w:rsidRPr="0018115D">
        <w:rPr>
          <w:rFonts w:cs="Arial"/>
          <w:sz w:val="24"/>
          <w:szCs w:val="24"/>
          <w:lang w:val="en-US"/>
        </w:rPr>
        <w:t>Gupta, S. (2025). Uncertainty shocks and monetary policy rules in a small open economy.</w:t>
      </w:r>
      <w:r>
        <w:rPr>
          <w:rFonts w:cs="Arial"/>
          <w:sz w:val="24"/>
          <w:szCs w:val="24"/>
          <w:lang w:val="en-US"/>
        </w:rPr>
        <w:t xml:space="preserve"> </w:t>
      </w:r>
      <w:r w:rsidRPr="0018115D">
        <w:rPr>
          <w:rFonts w:cs="Arial"/>
          <w:i/>
          <w:iCs/>
          <w:sz w:val="24"/>
          <w:szCs w:val="24"/>
          <w:lang w:val="en-US"/>
        </w:rPr>
        <w:t>Macroeconomic Dynamics</w:t>
      </w:r>
      <w:r w:rsidRPr="0018115D">
        <w:rPr>
          <w:rFonts w:cs="Arial"/>
          <w:sz w:val="24"/>
          <w:szCs w:val="24"/>
          <w:lang w:val="en-US"/>
        </w:rPr>
        <w:t>, 29:e18.</w:t>
      </w:r>
    </w:p>
    <w:p w14:paraId="79017C03" w14:textId="3E526958" w:rsidR="0018115D" w:rsidRPr="0018115D" w:rsidRDefault="0018115D" w:rsidP="0018115D">
      <w:pPr>
        <w:spacing w:before="120" w:after="120" w:line="360" w:lineRule="auto"/>
        <w:jc w:val="both"/>
        <w:rPr>
          <w:rFonts w:cs="Arial"/>
          <w:sz w:val="24"/>
          <w:szCs w:val="24"/>
          <w:lang w:val="en-US"/>
        </w:rPr>
      </w:pPr>
      <w:r w:rsidRPr="0018115D">
        <w:rPr>
          <w:rFonts w:cs="Arial"/>
          <w:sz w:val="24"/>
          <w:szCs w:val="24"/>
          <w:lang w:val="en-US"/>
        </w:rPr>
        <w:t xml:space="preserve">Liao, G. and Caramichael, J. (2022). Stablecoins: Growth potential and impact on banking. </w:t>
      </w:r>
      <w:r w:rsidRPr="0018115D">
        <w:rPr>
          <w:rFonts w:cs="Arial"/>
          <w:i/>
          <w:iCs/>
          <w:sz w:val="24"/>
          <w:szCs w:val="24"/>
          <w:lang w:val="en-US"/>
        </w:rPr>
        <w:t>International Finance Discussion Paper</w:t>
      </w:r>
      <w:r w:rsidRPr="0018115D">
        <w:rPr>
          <w:rFonts w:cs="Arial"/>
          <w:sz w:val="24"/>
          <w:szCs w:val="24"/>
          <w:lang w:val="en-US"/>
        </w:rPr>
        <w:t>, 1334.</w:t>
      </w:r>
    </w:p>
    <w:p w14:paraId="48FF71F4" w14:textId="4E1661BB" w:rsidR="0018115D" w:rsidRPr="0018115D" w:rsidRDefault="0018115D" w:rsidP="0018115D">
      <w:pPr>
        <w:spacing w:before="120" w:after="120" w:line="360" w:lineRule="auto"/>
        <w:jc w:val="both"/>
        <w:rPr>
          <w:rFonts w:cs="Arial"/>
          <w:sz w:val="24"/>
          <w:szCs w:val="24"/>
        </w:rPr>
      </w:pPr>
      <w:r w:rsidRPr="0018115D">
        <w:rPr>
          <w:rFonts w:cs="Arial"/>
          <w:sz w:val="24"/>
          <w:szCs w:val="24"/>
          <w:lang w:val="en-US"/>
        </w:rPr>
        <w:t>Mendieta-Ossio, P. (2010). The renaissance of friedman hypothesis: nature of global financial crisis and consequences</w:t>
      </w:r>
      <w:r>
        <w:rPr>
          <w:rFonts w:cs="Arial"/>
          <w:sz w:val="24"/>
          <w:szCs w:val="24"/>
          <w:lang w:val="en-US"/>
        </w:rPr>
        <w:t xml:space="preserve"> </w:t>
      </w:r>
      <w:r w:rsidRPr="0018115D">
        <w:rPr>
          <w:rFonts w:cs="Arial"/>
          <w:sz w:val="24"/>
          <w:szCs w:val="24"/>
          <w:lang w:val="en-US"/>
        </w:rPr>
        <w:t>in a small open and highly dollarized economy</w:t>
      </w:r>
      <w:r w:rsidRPr="0018115D">
        <w:rPr>
          <w:rFonts w:cs="Arial"/>
          <w:i/>
          <w:iCs/>
          <w:sz w:val="24"/>
          <w:szCs w:val="24"/>
          <w:lang w:val="en-US"/>
        </w:rPr>
        <w:t xml:space="preserve">. </w:t>
      </w:r>
      <w:r w:rsidRPr="0018115D">
        <w:rPr>
          <w:rFonts w:cs="Arial"/>
          <w:i/>
          <w:iCs/>
          <w:sz w:val="24"/>
          <w:szCs w:val="24"/>
        </w:rPr>
        <w:t>Revista de Análisis del Banco Central de Bolivia</w:t>
      </w:r>
      <w:r w:rsidRPr="0018115D">
        <w:rPr>
          <w:rFonts w:cs="Arial"/>
          <w:sz w:val="24"/>
          <w:szCs w:val="24"/>
        </w:rPr>
        <w:t>, 13:119.</w:t>
      </w:r>
    </w:p>
    <w:p w14:paraId="0AC38904" w14:textId="77777777" w:rsidR="0018115D" w:rsidRPr="0018115D" w:rsidRDefault="0018115D" w:rsidP="0018115D">
      <w:pPr>
        <w:spacing w:before="120" w:after="120" w:line="360" w:lineRule="auto"/>
        <w:jc w:val="both"/>
        <w:rPr>
          <w:rFonts w:cs="Arial"/>
          <w:sz w:val="24"/>
          <w:szCs w:val="24"/>
          <w:lang w:val="en-US"/>
        </w:rPr>
      </w:pPr>
      <w:r w:rsidRPr="0018115D">
        <w:rPr>
          <w:rFonts w:cs="Arial"/>
          <w:sz w:val="24"/>
          <w:szCs w:val="24"/>
        </w:rPr>
        <w:t xml:space="preserve">Miescu, M. S. (2023). </w:t>
      </w:r>
      <w:r w:rsidRPr="0018115D">
        <w:rPr>
          <w:rFonts w:cs="Arial"/>
          <w:sz w:val="24"/>
          <w:szCs w:val="24"/>
          <w:lang w:val="en-US"/>
        </w:rPr>
        <w:t xml:space="preserve">Uncertainty shocks in emerging economies: A global to local approach for identification. </w:t>
      </w:r>
      <w:r w:rsidRPr="0018115D">
        <w:rPr>
          <w:rFonts w:cs="Arial"/>
          <w:i/>
          <w:iCs/>
          <w:sz w:val="24"/>
          <w:szCs w:val="24"/>
          <w:lang w:val="en-US"/>
        </w:rPr>
        <w:t>European Economic Review</w:t>
      </w:r>
      <w:r w:rsidRPr="0018115D">
        <w:rPr>
          <w:rFonts w:cs="Arial"/>
          <w:sz w:val="24"/>
          <w:szCs w:val="24"/>
          <w:lang w:val="en-US"/>
        </w:rPr>
        <w:t>, 154:104437.</w:t>
      </w:r>
    </w:p>
    <w:p w14:paraId="0A6C1D19" w14:textId="77777777" w:rsidR="0018115D" w:rsidRPr="0018115D" w:rsidRDefault="0018115D" w:rsidP="0018115D">
      <w:pPr>
        <w:spacing w:before="120" w:after="120" w:line="360" w:lineRule="auto"/>
        <w:jc w:val="both"/>
        <w:rPr>
          <w:rFonts w:cs="Arial"/>
          <w:sz w:val="24"/>
          <w:szCs w:val="24"/>
          <w:lang w:val="en-US"/>
        </w:rPr>
      </w:pPr>
      <w:r w:rsidRPr="0018115D">
        <w:rPr>
          <w:rFonts w:cs="Arial"/>
          <w:sz w:val="24"/>
          <w:szCs w:val="24"/>
          <w:lang w:val="en-US"/>
        </w:rPr>
        <w:t xml:space="preserve">Milani, F. (2017). Sentiment and the us business cycle. </w:t>
      </w:r>
      <w:r w:rsidRPr="0018115D">
        <w:rPr>
          <w:rFonts w:cs="Arial"/>
          <w:i/>
          <w:iCs/>
          <w:sz w:val="24"/>
          <w:szCs w:val="24"/>
          <w:lang w:val="en-US"/>
        </w:rPr>
        <w:t>Journal of Economic Dynamics and Control</w:t>
      </w:r>
      <w:r w:rsidRPr="0018115D">
        <w:rPr>
          <w:rFonts w:cs="Arial"/>
          <w:sz w:val="24"/>
          <w:szCs w:val="24"/>
          <w:lang w:val="en-US"/>
        </w:rPr>
        <w:t>, 82:289–311.</w:t>
      </w:r>
    </w:p>
    <w:p w14:paraId="0378F874" w14:textId="3FB57F47" w:rsidR="0018115D" w:rsidRPr="0018115D" w:rsidRDefault="0018115D" w:rsidP="0018115D">
      <w:pPr>
        <w:spacing w:before="120" w:after="120" w:line="360" w:lineRule="auto"/>
        <w:jc w:val="both"/>
        <w:rPr>
          <w:rFonts w:cs="Arial"/>
          <w:sz w:val="24"/>
          <w:szCs w:val="24"/>
          <w:lang w:val="en-US"/>
        </w:rPr>
      </w:pPr>
      <w:r w:rsidRPr="0018115D">
        <w:rPr>
          <w:rFonts w:cs="Arial"/>
          <w:sz w:val="24"/>
          <w:szCs w:val="24"/>
          <w:lang w:val="en-US"/>
        </w:rPr>
        <w:t xml:space="preserve">Nowzohour, L. and Stracca, L. (2020). More than a feeling: Confidence, uncertainty, and macroeconomic fluctuations. </w:t>
      </w:r>
      <w:r w:rsidRPr="0018115D">
        <w:rPr>
          <w:rFonts w:cs="Arial"/>
          <w:i/>
          <w:iCs/>
          <w:sz w:val="24"/>
          <w:szCs w:val="24"/>
          <w:lang w:val="en-US"/>
        </w:rPr>
        <w:t>Journal of Economic Surveys</w:t>
      </w:r>
      <w:r w:rsidRPr="0018115D">
        <w:rPr>
          <w:rFonts w:cs="Arial"/>
          <w:sz w:val="24"/>
          <w:szCs w:val="24"/>
          <w:lang w:val="en-US"/>
        </w:rPr>
        <w:t>, 34(4):691–726.</w:t>
      </w:r>
    </w:p>
    <w:p w14:paraId="52E0339C" w14:textId="77777777" w:rsidR="0018115D" w:rsidRPr="0018115D" w:rsidRDefault="0018115D" w:rsidP="0018115D">
      <w:pPr>
        <w:spacing w:before="120" w:after="120" w:line="360" w:lineRule="auto"/>
        <w:jc w:val="both"/>
        <w:rPr>
          <w:rFonts w:cs="Arial"/>
          <w:sz w:val="24"/>
          <w:szCs w:val="24"/>
          <w:lang w:val="en-US"/>
        </w:rPr>
      </w:pPr>
      <w:r w:rsidRPr="0018115D">
        <w:rPr>
          <w:rFonts w:cs="Arial"/>
          <w:sz w:val="24"/>
          <w:szCs w:val="24"/>
          <w:lang w:val="en-US"/>
        </w:rPr>
        <w:lastRenderedPageBreak/>
        <w:t xml:space="preserve">Shleifer, A. and Summers, L. H. (1990). The noise trader approach to finance. </w:t>
      </w:r>
      <w:r w:rsidRPr="0018115D">
        <w:rPr>
          <w:rFonts w:cs="Arial"/>
          <w:i/>
          <w:iCs/>
          <w:sz w:val="24"/>
          <w:szCs w:val="24"/>
          <w:lang w:val="en-US"/>
        </w:rPr>
        <w:t>Journal of Economic perspectives</w:t>
      </w:r>
      <w:r w:rsidRPr="0018115D">
        <w:rPr>
          <w:rFonts w:cs="Arial"/>
          <w:sz w:val="24"/>
          <w:szCs w:val="24"/>
          <w:lang w:val="en-US"/>
        </w:rPr>
        <w:t>, 4(2):19–33.</w:t>
      </w:r>
    </w:p>
    <w:p w14:paraId="7E28CDB9" w14:textId="77777777" w:rsidR="0018115D" w:rsidRPr="0018115D" w:rsidRDefault="0018115D" w:rsidP="0018115D">
      <w:pPr>
        <w:spacing w:before="120" w:after="120" w:line="360" w:lineRule="auto"/>
        <w:jc w:val="both"/>
        <w:rPr>
          <w:rFonts w:cs="Arial"/>
          <w:sz w:val="24"/>
          <w:szCs w:val="24"/>
          <w:lang w:val="en-US"/>
        </w:rPr>
      </w:pPr>
      <w:r w:rsidRPr="0018115D">
        <w:rPr>
          <w:rFonts w:cs="Arial"/>
          <w:sz w:val="24"/>
          <w:szCs w:val="24"/>
          <w:lang w:val="en-US"/>
        </w:rPr>
        <w:t>Valdivia, D. and Montenegro, M. (2009). Bolivia’s fiscal rules: dynamic stochastic general equilibrium model approach.</w:t>
      </w:r>
    </w:p>
    <w:p w14:paraId="7E691B2E" w14:textId="4EBF524D" w:rsidR="0018115D" w:rsidRPr="0018115D" w:rsidRDefault="0018115D" w:rsidP="0018115D">
      <w:pPr>
        <w:spacing w:before="120" w:after="120" w:line="360" w:lineRule="auto"/>
        <w:jc w:val="both"/>
        <w:rPr>
          <w:rFonts w:cs="Arial"/>
          <w:sz w:val="24"/>
          <w:szCs w:val="24"/>
          <w:lang w:val="en-US"/>
        </w:rPr>
      </w:pPr>
      <w:r w:rsidRPr="0018115D">
        <w:rPr>
          <w:rFonts w:cs="Arial"/>
          <w:sz w:val="24"/>
          <w:szCs w:val="24"/>
        </w:rPr>
        <w:t xml:space="preserve">Valdivia, J. (2016). Evaluación de la política fiscal de Bolivia (evaluation of bolivia’s fiscal policy). </w:t>
      </w:r>
      <w:r w:rsidRPr="0018115D">
        <w:rPr>
          <w:rFonts w:cs="Arial"/>
          <w:i/>
          <w:iCs/>
          <w:sz w:val="24"/>
          <w:szCs w:val="24"/>
          <w:lang w:val="en-US"/>
        </w:rPr>
        <w:t>Available at SSRN</w:t>
      </w:r>
      <w:r w:rsidRPr="0018115D">
        <w:rPr>
          <w:rFonts w:cs="Arial"/>
          <w:sz w:val="24"/>
          <w:szCs w:val="24"/>
          <w:lang w:val="en-US"/>
        </w:rPr>
        <w:t xml:space="preserve"> </w:t>
      </w:r>
      <w:r w:rsidRPr="0018115D">
        <w:rPr>
          <w:rFonts w:cs="Arial"/>
          <w:i/>
          <w:iCs/>
          <w:sz w:val="24"/>
          <w:szCs w:val="24"/>
          <w:lang w:val="en-US"/>
        </w:rPr>
        <w:t>2991024</w:t>
      </w:r>
      <w:r w:rsidRPr="0018115D">
        <w:rPr>
          <w:rFonts w:cs="Arial"/>
          <w:sz w:val="24"/>
          <w:szCs w:val="24"/>
          <w:lang w:val="en-US"/>
        </w:rPr>
        <w:t>.</w:t>
      </w:r>
    </w:p>
    <w:p w14:paraId="21449FFC" w14:textId="77777777" w:rsidR="0018115D" w:rsidRPr="0018115D" w:rsidRDefault="0018115D" w:rsidP="0018115D">
      <w:pPr>
        <w:spacing w:before="120" w:after="120" w:line="360" w:lineRule="auto"/>
        <w:jc w:val="both"/>
        <w:rPr>
          <w:rFonts w:cs="Arial"/>
          <w:sz w:val="24"/>
          <w:szCs w:val="24"/>
          <w:lang w:val="en-US"/>
        </w:rPr>
      </w:pPr>
      <w:r w:rsidRPr="0018115D">
        <w:rPr>
          <w:rFonts w:cs="Arial"/>
          <w:sz w:val="24"/>
          <w:szCs w:val="24"/>
          <w:lang w:val="en-US"/>
        </w:rPr>
        <w:t>World Bank (2025). Macro poverty outlook / april 2025. Technical report, World Bank.</w:t>
      </w:r>
    </w:p>
    <w:p w14:paraId="60BA4C27" w14:textId="77777777" w:rsidR="0018115D" w:rsidRPr="0018115D" w:rsidRDefault="0018115D" w:rsidP="0018115D">
      <w:pPr>
        <w:spacing w:before="120" w:after="120" w:line="360" w:lineRule="auto"/>
        <w:jc w:val="both"/>
        <w:rPr>
          <w:rFonts w:cs="Arial"/>
          <w:sz w:val="24"/>
          <w:szCs w:val="24"/>
          <w:lang w:val="en-US"/>
        </w:rPr>
      </w:pPr>
      <w:r w:rsidRPr="0018115D">
        <w:rPr>
          <w:rFonts w:cs="Arial"/>
          <w:sz w:val="24"/>
          <w:szCs w:val="24"/>
        </w:rPr>
        <w:t xml:space="preserve">Zeballos Coria, D., Heredia G´omez, J. C., and Tonconi, P. Y. (2018). Fluctuaciones c´ıclicas y cambios de r´egimen en la econom´ıa boliviana: Un ana´lisis estructural a partir de un modelo dsge. </w:t>
      </w:r>
      <w:r w:rsidRPr="0018115D">
        <w:rPr>
          <w:rFonts w:cs="Arial"/>
          <w:sz w:val="24"/>
          <w:szCs w:val="24"/>
          <w:lang w:val="en-US"/>
        </w:rPr>
        <w:t>Technical report, Development Research Working Paper Series.</w:t>
      </w:r>
    </w:p>
    <w:p w14:paraId="66086A8D" w14:textId="77777777" w:rsidR="0018115D" w:rsidRDefault="0018115D" w:rsidP="0018115D">
      <w:pPr>
        <w:spacing w:before="120" w:after="120" w:line="360" w:lineRule="auto"/>
        <w:jc w:val="both"/>
        <w:rPr>
          <w:rFonts w:cs="Arial"/>
          <w:sz w:val="24"/>
          <w:szCs w:val="24"/>
          <w:lang w:val="en-US"/>
        </w:rPr>
      </w:pPr>
      <w:r w:rsidRPr="0018115D">
        <w:rPr>
          <w:rFonts w:cs="Arial"/>
          <w:sz w:val="24"/>
          <w:szCs w:val="24"/>
          <w:lang w:val="en-US"/>
        </w:rPr>
        <w:t xml:space="preserve"> </w:t>
      </w:r>
    </w:p>
    <w:p w14:paraId="580DA7B6" w14:textId="77777777" w:rsidR="000E374A" w:rsidRDefault="000E374A" w:rsidP="0018115D">
      <w:pPr>
        <w:spacing w:before="120" w:after="120" w:line="360" w:lineRule="auto"/>
        <w:jc w:val="both"/>
        <w:rPr>
          <w:rFonts w:cs="Arial"/>
          <w:sz w:val="24"/>
          <w:szCs w:val="24"/>
          <w:lang w:val="en-US"/>
        </w:rPr>
      </w:pPr>
    </w:p>
    <w:p w14:paraId="41783B9A" w14:textId="77777777" w:rsidR="000E374A" w:rsidRDefault="000E374A" w:rsidP="0018115D">
      <w:pPr>
        <w:spacing w:before="120" w:after="120" w:line="360" w:lineRule="auto"/>
        <w:jc w:val="both"/>
        <w:rPr>
          <w:rFonts w:cs="Arial"/>
          <w:sz w:val="24"/>
          <w:szCs w:val="24"/>
          <w:lang w:val="en-US"/>
        </w:rPr>
      </w:pPr>
    </w:p>
    <w:p w14:paraId="7BB4A430" w14:textId="77777777" w:rsidR="000E374A" w:rsidRDefault="000E374A" w:rsidP="0018115D">
      <w:pPr>
        <w:spacing w:before="120" w:after="120" w:line="360" w:lineRule="auto"/>
        <w:jc w:val="both"/>
        <w:rPr>
          <w:rFonts w:cs="Arial"/>
          <w:sz w:val="24"/>
          <w:szCs w:val="24"/>
          <w:lang w:val="en-US"/>
        </w:rPr>
      </w:pPr>
    </w:p>
    <w:p w14:paraId="4BEBE7D7" w14:textId="77777777" w:rsidR="000E374A" w:rsidRDefault="000E374A" w:rsidP="0018115D">
      <w:pPr>
        <w:spacing w:before="120" w:after="120" w:line="360" w:lineRule="auto"/>
        <w:jc w:val="both"/>
        <w:rPr>
          <w:rFonts w:cs="Arial"/>
          <w:sz w:val="24"/>
          <w:szCs w:val="24"/>
          <w:lang w:val="en-US"/>
        </w:rPr>
      </w:pPr>
    </w:p>
    <w:p w14:paraId="4AA5B867" w14:textId="77777777" w:rsidR="000E374A" w:rsidRDefault="000E374A" w:rsidP="0018115D">
      <w:pPr>
        <w:spacing w:before="120" w:after="120" w:line="360" w:lineRule="auto"/>
        <w:jc w:val="both"/>
        <w:rPr>
          <w:rFonts w:cs="Arial"/>
          <w:sz w:val="24"/>
          <w:szCs w:val="24"/>
          <w:lang w:val="en-US"/>
        </w:rPr>
      </w:pPr>
    </w:p>
    <w:p w14:paraId="5E44F3DE" w14:textId="77777777" w:rsidR="001B7004" w:rsidRDefault="001B7004" w:rsidP="0018115D">
      <w:pPr>
        <w:spacing w:before="120" w:after="120" w:line="360" w:lineRule="auto"/>
        <w:jc w:val="both"/>
        <w:rPr>
          <w:rFonts w:cs="Arial"/>
          <w:sz w:val="24"/>
          <w:szCs w:val="24"/>
          <w:lang w:val="en-US"/>
        </w:rPr>
      </w:pPr>
    </w:p>
    <w:p w14:paraId="0CDE1293" w14:textId="77777777" w:rsidR="001B7004" w:rsidRDefault="001B7004" w:rsidP="0018115D">
      <w:pPr>
        <w:spacing w:before="120" w:after="120" w:line="360" w:lineRule="auto"/>
        <w:jc w:val="both"/>
        <w:rPr>
          <w:rFonts w:cs="Arial"/>
          <w:sz w:val="24"/>
          <w:szCs w:val="24"/>
          <w:lang w:val="en-US"/>
        </w:rPr>
      </w:pPr>
    </w:p>
    <w:p w14:paraId="1C83C117" w14:textId="77777777" w:rsidR="001B7004" w:rsidRDefault="001B7004" w:rsidP="0018115D">
      <w:pPr>
        <w:spacing w:before="120" w:after="120" w:line="360" w:lineRule="auto"/>
        <w:jc w:val="both"/>
        <w:rPr>
          <w:rFonts w:cs="Arial"/>
          <w:sz w:val="24"/>
          <w:szCs w:val="24"/>
          <w:lang w:val="en-US"/>
        </w:rPr>
      </w:pPr>
    </w:p>
    <w:p w14:paraId="0020F868" w14:textId="77777777" w:rsidR="001B7004" w:rsidRDefault="001B7004" w:rsidP="0018115D">
      <w:pPr>
        <w:spacing w:before="120" w:after="120" w:line="360" w:lineRule="auto"/>
        <w:jc w:val="both"/>
        <w:rPr>
          <w:rFonts w:cs="Arial"/>
          <w:sz w:val="24"/>
          <w:szCs w:val="24"/>
          <w:lang w:val="en-US"/>
        </w:rPr>
      </w:pPr>
    </w:p>
    <w:p w14:paraId="1D7931D2" w14:textId="77777777" w:rsidR="001B7004" w:rsidRDefault="001B7004" w:rsidP="0018115D">
      <w:pPr>
        <w:spacing w:before="120" w:after="120" w:line="360" w:lineRule="auto"/>
        <w:jc w:val="both"/>
        <w:rPr>
          <w:rFonts w:cs="Arial"/>
          <w:sz w:val="24"/>
          <w:szCs w:val="24"/>
          <w:lang w:val="en-US"/>
        </w:rPr>
      </w:pPr>
    </w:p>
    <w:p w14:paraId="365EBC38" w14:textId="77777777" w:rsidR="001B7004" w:rsidRDefault="001B7004" w:rsidP="0018115D">
      <w:pPr>
        <w:spacing w:before="120" w:after="120" w:line="360" w:lineRule="auto"/>
        <w:jc w:val="both"/>
        <w:rPr>
          <w:rFonts w:cs="Arial"/>
          <w:sz w:val="24"/>
          <w:szCs w:val="24"/>
          <w:lang w:val="en-US"/>
        </w:rPr>
      </w:pPr>
    </w:p>
    <w:p w14:paraId="7C4174DC" w14:textId="77777777" w:rsidR="001B7004" w:rsidRDefault="001B7004" w:rsidP="0018115D">
      <w:pPr>
        <w:spacing w:before="120" w:after="120" w:line="360" w:lineRule="auto"/>
        <w:jc w:val="both"/>
        <w:rPr>
          <w:rFonts w:cs="Arial"/>
          <w:sz w:val="24"/>
          <w:szCs w:val="24"/>
          <w:lang w:val="en-US"/>
        </w:rPr>
      </w:pPr>
    </w:p>
    <w:p w14:paraId="2A84E8D9" w14:textId="77777777" w:rsidR="00395DC8" w:rsidRDefault="00395DC8" w:rsidP="0018115D">
      <w:pPr>
        <w:spacing w:before="120" w:after="120" w:line="360" w:lineRule="auto"/>
        <w:jc w:val="both"/>
        <w:rPr>
          <w:rFonts w:cs="Arial"/>
          <w:sz w:val="24"/>
          <w:szCs w:val="24"/>
          <w:lang w:val="en-US"/>
        </w:rPr>
      </w:pPr>
    </w:p>
    <w:p w14:paraId="4DAB6383" w14:textId="77777777" w:rsidR="00395DC8" w:rsidRDefault="00395DC8" w:rsidP="0018115D">
      <w:pPr>
        <w:spacing w:before="120" w:after="120" w:line="360" w:lineRule="auto"/>
        <w:jc w:val="both"/>
        <w:rPr>
          <w:rFonts w:cs="Arial"/>
          <w:sz w:val="24"/>
          <w:szCs w:val="24"/>
          <w:lang w:val="en-US"/>
        </w:rPr>
      </w:pPr>
    </w:p>
    <w:p w14:paraId="37EDF3CB" w14:textId="77777777" w:rsidR="001B7004" w:rsidRDefault="001B7004" w:rsidP="0018115D">
      <w:pPr>
        <w:spacing w:before="120" w:after="120" w:line="360" w:lineRule="auto"/>
        <w:jc w:val="both"/>
        <w:rPr>
          <w:rFonts w:cs="Arial"/>
          <w:sz w:val="24"/>
          <w:szCs w:val="24"/>
          <w:lang w:val="en-US"/>
        </w:rPr>
      </w:pPr>
    </w:p>
    <w:p w14:paraId="6BECA31F" w14:textId="77777777" w:rsidR="0018115D" w:rsidRPr="001B7004" w:rsidRDefault="0018115D" w:rsidP="0018115D">
      <w:pPr>
        <w:spacing w:before="120" w:after="120" w:line="360" w:lineRule="auto"/>
        <w:jc w:val="both"/>
        <w:rPr>
          <w:rFonts w:cs="Arial"/>
          <w:b/>
          <w:bCs/>
          <w:sz w:val="24"/>
          <w:szCs w:val="24"/>
          <w:lang w:val="en-US"/>
        </w:rPr>
      </w:pPr>
      <w:r w:rsidRPr="001B7004">
        <w:rPr>
          <w:rFonts w:cs="Arial"/>
          <w:b/>
          <w:bCs/>
          <w:sz w:val="24"/>
          <w:szCs w:val="24"/>
          <w:lang w:val="en-US"/>
        </w:rPr>
        <w:lastRenderedPageBreak/>
        <w:t>A</w:t>
      </w:r>
      <w:r w:rsidRPr="001B7004">
        <w:rPr>
          <w:rFonts w:cs="Arial"/>
          <w:b/>
          <w:bCs/>
          <w:sz w:val="24"/>
          <w:szCs w:val="24"/>
          <w:lang w:val="en-US"/>
        </w:rPr>
        <w:tab/>
        <w:t>Daily-Frequency Inflation Forecast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10"/>
      </w:tblGrid>
      <w:tr w:rsidR="000E374A" w:rsidRPr="00CF0423" w14:paraId="6704C726" w14:textId="77777777" w:rsidTr="000E374A">
        <w:tc>
          <w:tcPr>
            <w:tcW w:w="9710" w:type="dxa"/>
            <w:vAlign w:val="center"/>
          </w:tcPr>
          <w:p w14:paraId="0BA8D51F" w14:textId="39F86D8A" w:rsidR="000E374A" w:rsidRDefault="000E374A" w:rsidP="000E374A">
            <w:pPr>
              <w:pStyle w:val="Textoindependiente"/>
              <w:spacing w:before="139"/>
              <w:rPr>
                <w:b/>
                <w:sz w:val="16"/>
                <w:szCs w:val="20"/>
              </w:rPr>
            </w:pPr>
            <w:r>
              <w:rPr>
                <w:b/>
                <w:noProof/>
                <w:sz w:val="20"/>
              </w:rPr>
              <w:drawing>
                <wp:anchor distT="0" distB="0" distL="0" distR="0" simplePos="0" relativeHeight="251661312" behindDoc="1" locked="0" layoutInCell="1" allowOverlap="1" wp14:anchorId="321BBD1D" wp14:editId="5FB49D6F">
                  <wp:simplePos x="0" y="0"/>
                  <wp:positionH relativeFrom="page">
                    <wp:posOffset>182245</wp:posOffset>
                  </wp:positionH>
                  <wp:positionV relativeFrom="paragraph">
                    <wp:posOffset>-2877820</wp:posOffset>
                  </wp:positionV>
                  <wp:extent cx="5805805" cy="2887345"/>
                  <wp:effectExtent l="0" t="0" r="0" b="0"/>
                  <wp:wrapTopAndBottom/>
                  <wp:docPr id="1009100795"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9" cstate="print"/>
                          <a:stretch>
                            <a:fillRect/>
                          </a:stretch>
                        </pic:blipFill>
                        <pic:spPr>
                          <a:xfrm>
                            <a:off x="0" y="0"/>
                            <a:ext cx="5805805" cy="2887345"/>
                          </a:xfrm>
                          <a:prstGeom prst="rect">
                            <a:avLst/>
                          </a:prstGeom>
                        </pic:spPr>
                      </pic:pic>
                    </a:graphicData>
                  </a:graphic>
                  <wp14:sizeRelH relativeFrom="margin">
                    <wp14:pctWidth>0</wp14:pctWidth>
                  </wp14:sizeRelH>
                  <wp14:sizeRelV relativeFrom="margin">
                    <wp14:pctHeight>0</wp14:pctHeight>
                  </wp14:sizeRelV>
                </wp:anchor>
              </w:drawing>
            </w:r>
          </w:p>
        </w:tc>
      </w:tr>
      <w:tr w:rsidR="000E374A" w:rsidRPr="00CF0423" w14:paraId="15E9F5B3" w14:textId="77777777" w:rsidTr="000E374A">
        <w:tc>
          <w:tcPr>
            <w:tcW w:w="9710" w:type="dxa"/>
          </w:tcPr>
          <w:p w14:paraId="3D58E22F" w14:textId="262802F9" w:rsidR="000E374A" w:rsidRPr="000E374A" w:rsidRDefault="000E374A" w:rsidP="000E374A">
            <w:pPr>
              <w:spacing w:before="120" w:after="120" w:line="360" w:lineRule="auto"/>
              <w:jc w:val="both"/>
              <w:rPr>
                <w:rFonts w:cs="Arial"/>
                <w:sz w:val="20"/>
                <w:szCs w:val="20"/>
                <w:lang w:val="en-US"/>
              </w:rPr>
            </w:pPr>
            <w:r w:rsidRPr="000E374A">
              <w:rPr>
                <w:rFonts w:cs="Arial"/>
                <w:sz w:val="20"/>
                <w:szCs w:val="20"/>
                <w:lang w:val="en-US"/>
              </w:rPr>
              <w:t>Note: The forecast interval (shaded area) is determined by the maximum and minimum daily predictions generated by the three best-performing algorithms. This interval serves as a reference for the range of variability across individual model predictions.</w:t>
            </w:r>
          </w:p>
        </w:tc>
      </w:tr>
      <w:tr w:rsidR="000E374A" w:rsidRPr="00CF0423" w14:paraId="1281940D" w14:textId="77777777" w:rsidTr="000E374A">
        <w:tc>
          <w:tcPr>
            <w:tcW w:w="9710" w:type="dxa"/>
          </w:tcPr>
          <w:p w14:paraId="4B839896" w14:textId="6683354D" w:rsidR="000E374A" w:rsidRPr="000E374A" w:rsidRDefault="000E374A" w:rsidP="000E374A">
            <w:pPr>
              <w:spacing w:before="120" w:after="120" w:line="360" w:lineRule="auto"/>
              <w:jc w:val="center"/>
              <w:rPr>
                <w:rFonts w:cs="Arial"/>
                <w:sz w:val="24"/>
                <w:szCs w:val="24"/>
                <w:lang w:val="en-US"/>
              </w:rPr>
            </w:pPr>
            <w:r w:rsidRPr="0018115D">
              <w:rPr>
                <w:rFonts w:cs="Arial"/>
                <w:sz w:val="24"/>
                <w:szCs w:val="24"/>
                <w:lang w:val="en-US"/>
              </w:rPr>
              <w:t>Figure 1</w:t>
            </w:r>
            <w:r>
              <w:rPr>
                <w:rFonts w:cs="Arial"/>
                <w:sz w:val="24"/>
                <w:szCs w:val="24"/>
                <w:lang w:val="en-US"/>
              </w:rPr>
              <w:t>1</w:t>
            </w:r>
            <w:r w:rsidRPr="0018115D">
              <w:rPr>
                <w:rFonts w:cs="Arial"/>
                <w:sz w:val="24"/>
                <w:szCs w:val="24"/>
                <w:lang w:val="en-US"/>
              </w:rPr>
              <w:t>: Daily y-o-y Inflation Forecast</w:t>
            </w:r>
          </w:p>
        </w:tc>
      </w:tr>
    </w:tbl>
    <w:p w14:paraId="20FF1D61" w14:textId="77777777" w:rsidR="000E374A" w:rsidRPr="00CF0423" w:rsidRDefault="000E374A" w:rsidP="000E374A">
      <w:pPr>
        <w:tabs>
          <w:tab w:val="left" w:pos="1628"/>
          <w:tab w:val="left" w:pos="2473"/>
        </w:tabs>
        <w:spacing w:before="84"/>
        <w:ind w:right="473"/>
        <w:jc w:val="center"/>
        <w:rPr>
          <w:w w:val="105"/>
          <w:sz w:val="20"/>
          <w:lang w:val="en-US"/>
        </w:rPr>
      </w:pPr>
    </w:p>
    <w:p w14:paraId="06E09C8F" w14:textId="77777777" w:rsidR="00584A8F" w:rsidRPr="00CF0423" w:rsidRDefault="00584A8F" w:rsidP="000E374A">
      <w:pPr>
        <w:tabs>
          <w:tab w:val="left" w:pos="1628"/>
          <w:tab w:val="left" w:pos="2473"/>
        </w:tabs>
        <w:spacing w:before="84"/>
        <w:ind w:right="473"/>
        <w:jc w:val="center"/>
        <w:rPr>
          <w:w w:val="105"/>
          <w:sz w:val="20"/>
          <w:lang w:val="en-US"/>
        </w:rPr>
      </w:pPr>
    </w:p>
    <w:p w14:paraId="77E061E7" w14:textId="4AFCCDA0" w:rsidR="000E374A" w:rsidRPr="000E374A" w:rsidRDefault="000E374A" w:rsidP="000E374A">
      <w:pPr>
        <w:tabs>
          <w:tab w:val="left" w:pos="1628"/>
          <w:tab w:val="left" w:pos="2473"/>
        </w:tabs>
        <w:spacing w:before="84"/>
        <w:ind w:right="473"/>
        <w:jc w:val="center"/>
        <w:rPr>
          <w:rFonts w:cs="Arial"/>
          <w:sz w:val="20"/>
          <w:szCs w:val="20"/>
        </w:rPr>
      </w:pPr>
      <w:r w:rsidRPr="000E374A">
        <w:rPr>
          <w:rFonts w:cs="Arial"/>
          <w:w w:val="105"/>
          <w:sz w:val="20"/>
          <w:szCs w:val="20"/>
        </w:rPr>
        <w:t>Forecast</w:t>
      </w:r>
      <w:r w:rsidRPr="000E374A">
        <w:rPr>
          <w:rFonts w:cs="Arial"/>
          <w:spacing w:val="8"/>
          <w:w w:val="110"/>
          <w:sz w:val="20"/>
          <w:szCs w:val="20"/>
        </w:rPr>
        <w:t xml:space="preserve"> </w:t>
      </w:r>
      <w:r w:rsidRPr="000E374A">
        <w:rPr>
          <w:rFonts w:cs="Arial"/>
          <w:spacing w:val="-2"/>
          <w:w w:val="110"/>
          <w:sz w:val="20"/>
          <w:szCs w:val="20"/>
        </w:rPr>
        <w:t>model</w:t>
      </w:r>
      <w:r w:rsidRPr="000E374A">
        <w:rPr>
          <w:rFonts w:cs="Arial"/>
          <w:sz w:val="20"/>
          <w:szCs w:val="20"/>
        </w:rPr>
        <w:tab/>
      </w:r>
      <w:r w:rsidRPr="000E374A">
        <w:rPr>
          <w:rFonts w:cs="Arial"/>
          <w:spacing w:val="-5"/>
          <w:w w:val="110"/>
          <w:sz w:val="20"/>
          <w:szCs w:val="20"/>
        </w:rPr>
        <w:t>MSE</w:t>
      </w:r>
      <w:r w:rsidRPr="000E374A">
        <w:rPr>
          <w:rFonts w:cs="Arial"/>
          <w:sz w:val="20"/>
          <w:szCs w:val="20"/>
        </w:rPr>
        <w:tab/>
      </w:r>
      <w:r w:rsidRPr="000E374A">
        <w:rPr>
          <w:rFonts w:cs="Arial"/>
          <w:i/>
          <w:spacing w:val="-5"/>
          <w:w w:val="110"/>
          <w:sz w:val="20"/>
          <w:szCs w:val="20"/>
        </w:rPr>
        <w:t>R</w:t>
      </w:r>
      <w:r w:rsidRPr="000E374A">
        <w:rPr>
          <w:rFonts w:cs="Arial"/>
          <w:spacing w:val="-5"/>
          <w:w w:val="110"/>
          <w:sz w:val="20"/>
          <w:szCs w:val="20"/>
          <w:vertAlign w:val="superscript"/>
        </w:rPr>
        <w:t>2</w:t>
      </w:r>
    </w:p>
    <w:tbl>
      <w:tblPr>
        <w:tblStyle w:val="TableNormal"/>
        <w:tblW w:w="0" w:type="auto"/>
        <w:tblInd w:w="3157" w:type="dxa"/>
        <w:tblLayout w:type="fixed"/>
        <w:tblLook w:val="01E0" w:firstRow="1" w:lastRow="1" w:firstColumn="1" w:lastColumn="1" w:noHBand="0" w:noVBand="0"/>
      </w:tblPr>
      <w:tblGrid>
        <w:gridCol w:w="1417"/>
        <w:gridCol w:w="950"/>
        <w:gridCol w:w="693"/>
      </w:tblGrid>
      <w:tr w:rsidR="000E374A" w:rsidRPr="000E374A" w14:paraId="76907CC7" w14:textId="77777777" w:rsidTr="002B00D4">
        <w:trPr>
          <w:trHeight w:val="348"/>
        </w:trPr>
        <w:tc>
          <w:tcPr>
            <w:tcW w:w="1417" w:type="dxa"/>
            <w:tcBorders>
              <w:top w:val="single" w:sz="6" w:space="0" w:color="000000"/>
            </w:tcBorders>
          </w:tcPr>
          <w:p w14:paraId="7618C071" w14:textId="77777777" w:rsidR="000E374A" w:rsidRPr="000E374A" w:rsidRDefault="000E374A" w:rsidP="002B00D4">
            <w:pPr>
              <w:pStyle w:val="TableParagraph"/>
              <w:spacing w:before="82"/>
              <w:rPr>
                <w:rFonts w:ascii="Arial" w:hAnsi="Arial" w:cs="Arial"/>
                <w:sz w:val="20"/>
                <w:szCs w:val="20"/>
              </w:rPr>
            </w:pPr>
            <w:r w:rsidRPr="000E374A">
              <w:rPr>
                <w:rFonts w:ascii="Arial" w:hAnsi="Arial" w:cs="Arial"/>
                <w:spacing w:val="-2"/>
                <w:w w:val="110"/>
                <w:sz w:val="20"/>
                <w:szCs w:val="20"/>
              </w:rPr>
              <w:t>Ridge</w:t>
            </w:r>
          </w:p>
        </w:tc>
        <w:tc>
          <w:tcPr>
            <w:tcW w:w="950" w:type="dxa"/>
            <w:tcBorders>
              <w:top w:val="single" w:sz="6" w:space="0" w:color="000000"/>
            </w:tcBorders>
          </w:tcPr>
          <w:p w14:paraId="2E9BB40D" w14:textId="77777777" w:rsidR="000E374A" w:rsidRPr="000E374A" w:rsidRDefault="000E374A" w:rsidP="002B00D4">
            <w:pPr>
              <w:pStyle w:val="TableParagraph"/>
              <w:spacing w:before="82"/>
              <w:ind w:left="139"/>
              <w:jc w:val="center"/>
              <w:rPr>
                <w:rFonts w:ascii="Arial" w:hAnsi="Arial" w:cs="Arial"/>
                <w:sz w:val="20"/>
                <w:szCs w:val="20"/>
              </w:rPr>
            </w:pPr>
            <w:r w:rsidRPr="000E374A">
              <w:rPr>
                <w:rFonts w:ascii="Arial" w:hAnsi="Arial" w:cs="Arial"/>
                <w:color w:val="000000"/>
                <w:spacing w:val="8"/>
                <w:sz w:val="20"/>
                <w:szCs w:val="20"/>
                <w:shd w:val="clear" w:color="auto" w:fill="A5FF7F"/>
              </w:rPr>
              <w:t xml:space="preserve"> </w:t>
            </w:r>
            <w:r w:rsidRPr="000E374A">
              <w:rPr>
                <w:rFonts w:ascii="Arial" w:hAnsi="Arial" w:cs="Arial"/>
                <w:color w:val="000000"/>
                <w:spacing w:val="-4"/>
                <w:sz w:val="20"/>
                <w:szCs w:val="20"/>
                <w:highlight w:val="green"/>
                <w:shd w:val="clear" w:color="auto" w:fill="A5FF7F"/>
              </w:rPr>
              <w:t>0.154</w:t>
            </w:r>
            <w:r w:rsidRPr="000E374A">
              <w:rPr>
                <w:rFonts w:ascii="Arial" w:hAnsi="Arial" w:cs="Arial"/>
                <w:color w:val="000000"/>
                <w:spacing w:val="40"/>
                <w:sz w:val="20"/>
                <w:szCs w:val="20"/>
                <w:shd w:val="clear" w:color="auto" w:fill="A5FF7F"/>
              </w:rPr>
              <w:t xml:space="preserve"> </w:t>
            </w:r>
          </w:p>
        </w:tc>
        <w:tc>
          <w:tcPr>
            <w:tcW w:w="693" w:type="dxa"/>
            <w:tcBorders>
              <w:top w:val="single" w:sz="6" w:space="0" w:color="000000"/>
            </w:tcBorders>
          </w:tcPr>
          <w:p w14:paraId="26571A16" w14:textId="77777777" w:rsidR="000E374A" w:rsidRPr="000E374A" w:rsidRDefault="000E374A" w:rsidP="002B00D4">
            <w:pPr>
              <w:pStyle w:val="TableParagraph"/>
              <w:spacing w:before="82"/>
              <w:ind w:left="1"/>
              <w:jc w:val="center"/>
              <w:rPr>
                <w:rFonts w:ascii="Arial" w:hAnsi="Arial" w:cs="Arial"/>
                <w:sz w:val="20"/>
                <w:szCs w:val="20"/>
              </w:rPr>
            </w:pPr>
            <w:r w:rsidRPr="000E374A">
              <w:rPr>
                <w:rFonts w:ascii="Arial" w:hAnsi="Arial" w:cs="Arial"/>
                <w:spacing w:val="-2"/>
                <w:sz w:val="20"/>
                <w:szCs w:val="20"/>
              </w:rPr>
              <w:t>0.974</w:t>
            </w:r>
          </w:p>
        </w:tc>
      </w:tr>
      <w:tr w:rsidR="000E374A" w:rsidRPr="000E374A" w14:paraId="0C0DAC47" w14:textId="77777777" w:rsidTr="002B00D4">
        <w:trPr>
          <w:trHeight w:val="305"/>
        </w:trPr>
        <w:tc>
          <w:tcPr>
            <w:tcW w:w="1417" w:type="dxa"/>
          </w:tcPr>
          <w:p w14:paraId="200FE6BD" w14:textId="77777777" w:rsidR="000E374A" w:rsidRPr="000E374A" w:rsidRDefault="000E374A" w:rsidP="002B00D4">
            <w:pPr>
              <w:pStyle w:val="TableParagraph"/>
              <w:spacing w:before="30"/>
              <w:rPr>
                <w:rFonts w:ascii="Arial" w:hAnsi="Arial" w:cs="Arial"/>
                <w:i/>
                <w:sz w:val="20"/>
                <w:szCs w:val="20"/>
              </w:rPr>
            </w:pPr>
            <w:r w:rsidRPr="000E374A">
              <w:rPr>
                <w:rFonts w:ascii="Arial" w:hAnsi="Arial" w:cs="Arial"/>
                <w:w w:val="110"/>
                <w:sz w:val="20"/>
                <w:szCs w:val="20"/>
              </w:rPr>
              <w:t>WAM-</w:t>
            </w:r>
            <w:r w:rsidRPr="000E374A">
              <w:rPr>
                <w:rFonts w:ascii="Arial" w:hAnsi="Arial" w:cs="Arial"/>
                <w:spacing w:val="-2"/>
                <w:w w:val="110"/>
                <w:sz w:val="20"/>
                <w:szCs w:val="20"/>
              </w:rPr>
              <w:t>Best</w:t>
            </w:r>
            <w:r w:rsidRPr="000E374A">
              <w:rPr>
                <w:rFonts w:ascii="Arial" w:hAnsi="Arial" w:cs="Arial"/>
                <w:i/>
                <w:spacing w:val="-2"/>
                <w:w w:val="110"/>
                <w:sz w:val="20"/>
                <w:szCs w:val="20"/>
                <w:vertAlign w:val="superscript"/>
              </w:rPr>
              <w:t>†</w:t>
            </w:r>
          </w:p>
        </w:tc>
        <w:tc>
          <w:tcPr>
            <w:tcW w:w="950" w:type="dxa"/>
          </w:tcPr>
          <w:p w14:paraId="1D13B1A9" w14:textId="77777777" w:rsidR="000E374A" w:rsidRPr="000E374A" w:rsidRDefault="000E374A" w:rsidP="002B00D4">
            <w:pPr>
              <w:pStyle w:val="TableParagraph"/>
              <w:spacing w:before="30"/>
              <w:ind w:left="139"/>
              <w:jc w:val="center"/>
              <w:rPr>
                <w:rFonts w:ascii="Arial" w:hAnsi="Arial" w:cs="Arial"/>
                <w:sz w:val="20"/>
                <w:szCs w:val="20"/>
              </w:rPr>
            </w:pPr>
            <w:r w:rsidRPr="000E374A">
              <w:rPr>
                <w:rFonts w:ascii="Arial" w:hAnsi="Arial" w:cs="Arial"/>
                <w:color w:val="000000"/>
                <w:spacing w:val="8"/>
                <w:sz w:val="20"/>
                <w:szCs w:val="20"/>
                <w:shd w:val="clear" w:color="auto" w:fill="C9FFB2"/>
              </w:rPr>
              <w:t xml:space="preserve"> </w:t>
            </w:r>
            <w:r w:rsidRPr="000E374A">
              <w:rPr>
                <w:rFonts w:ascii="Arial" w:hAnsi="Arial" w:cs="Arial"/>
                <w:color w:val="000000"/>
                <w:spacing w:val="-4"/>
                <w:sz w:val="20"/>
                <w:szCs w:val="20"/>
                <w:highlight w:val="yellow"/>
                <w:shd w:val="clear" w:color="auto" w:fill="C9FFB2"/>
              </w:rPr>
              <w:t>0.161</w:t>
            </w:r>
            <w:r w:rsidRPr="000E374A">
              <w:rPr>
                <w:rFonts w:ascii="Arial" w:hAnsi="Arial" w:cs="Arial"/>
                <w:color w:val="000000"/>
                <w:spacing w:val="40"/>
                <w:sz w:val="20"/>
                <w:szCs w:val="20"/>
                <w:shd w:val="clear" w:color="auto" w:fill="C9FFB2"/>
              </w:rPr>
              <w:t xml:space="preserve"> </w:t>
            </w:r>
          </w:p>
        </w:tc>
        <w:tc>
          <w:tcPr>
            <w:tcW w:w="693" w:type="dxa"/>
          </w:tcPr>
          <w:p w14:paraId="1793616F" w14:textId="77777777" w:rsidR="000E374A" w:rsidRPr="000E374A" w:rsidRDefault="000E374A" w:rsidP="002B00D4">
            <w:pPr>
              <w:pStyle w:val="TableParagraph"/>
              <w:spacing w:before="30"/>
              <w:ind w:left="1"/>
              <w:jc w:val="center"/>
              <w:rPr>
                <w:rFonts w:ascii="Arial" w:hAnsi="Arial" w:cs="Arial"/>
                <w:sz w:val="20"/>
                <w:szCs w:val="20"/>
              </w:rPr>
            </w:pPr>
            <w:r w:rsidRPr="000E374A">
              <w:rPr>
                <w:rFonts w:ascii="Arial" w:hAnsi="Arial" w:cs="Arial"/>
                <w:spacing w:val="-2"/>
                <w:sz w:val="20"/>
                <w:szCs w:val="20"/>
              </w:rPr>
              <w:t>0.973</w:t>
            </w:r>
          </w:p>
        </w:tc>
      </w:tr>
      <w:tr w:rsidR="000E374A" w:rsidRPr="000E374A" w14:paraId="3337AC85" w14:textId="77777777" w:rsidTr="002B00D4">
        <w:trPr>
          <w:trHeight w:val="310"/>
        </w:trPr>
        <w:tc>
          <w:tcPr>
            <w:tcW w:w="1417" w:type="dxa"/>
          </w:tcPr>
          <w:p w14:paraId="0396E82D" w14:textId="77777777" w:rsidR="000E374A" w:rsidRPr="000E374A" w:rsidRDefault="000E374A" w:rsidP="002B00D4">
            <w:pPr>
              <w:pStyle w:val="TableParagraph"/>
              <w:spacing w:before="22"/>
              <w:rPr>
                <w:rFonts w:ascii="Arial" w:hAnsi="Arial" w:cs="Arial"/>
                <w:sz w:val="20"/>
                <w:szCs w:val="20"/>
              </w:rPr>
            </w:pPr>
            <w:r w:rsidRPr="000E374A">
              <w:rPr>
                <w:rFonts w:ascii="Arial" w:hAnsi="Arial" w:cs="Arial"/>
                <w:spacing w:val="-5"/>
                <w:w w:val="115"/>
                <w:sz w:val="20"/>
                <w:szCs w:val="20"/>
              </w:rPr>
              <w:t>WAM</w:t>
            </w:r>
          </w:p>
        </w:tc>
        <w:tc>
          <w:tcPr>
            <w:tcW w:w="950" w:type="dxa"/>
          </w:tcPr>
          <w:p w14:paraId="4F55CBA8" w14:textId="77777777" w:rsidR="000E374A" w:rsidRPr="000E374A" w:rsidRDefault="000E374A" w:rsidP="002B00D4">
            <w:pPr>
              <w:pStyle w:val="TableParagraph"/>
              <w:spacing w:before="22"/>
              <w:ind w:left="139"/>
              <w:jc w:val="center"/>
              <w:rPr>
                <w:rFonts w:ascii="Arial" w:hAnsi="Arial" w:cs="Arial"/>
                <w:sz w:val="20"/>
                <w:szCs w:val="20"/>
              </w:rPr>
            </w:pPr>
            <w:r w:rsidRPr="000E374A">
              <w:rPr>
                <w:rFonts w:ascii="Arial" w:hAnsi="Arial" w:cs="Arial"/>
                <w:color w:val="000000"/>
                <w:spacing w:val="8"/>
                <w:sz w:val="20"/>
                <w:szCs w:val="20"/>
                <w:shd w:val="clear" w:color="auto" w:fill="E4FFD8"/>
              </w:rPr>
              <w:t xml:space="preserve"> </w:t>
            </w:r>
            <w:r w:rsidRPr="000E374A">
              <w:rPr>
                <w:rFonts w:ascii="Arial" w:hAnsi="Arial" w:cs="Arial"/>
                <w:color w:val="000000"/>
                <w:spacing w:val="-4"/>
                <w:sz w:val="20"/>
                <w:szCs w:val="20"/>
                <w:highlight w:val="cyan"/>
                <w:shd w:val="clear" w:color="auto" w:fill="E4FFD8"/>
              </w:rPr>
              <w:t>0.222</w:t>
            </w:r>
            <w:r w:rsidRPr="000E374A">
              <w:rPr>
                <w:rFonts w:ascii="Arial" w:hAnsi="Arial" w:cs="Arial"/>
                <w:color w:val="000000"/>
                <w:spacing w:val="40"/>
                <w:sz w:val="20"/>
                <w:szCs w:val="20"/>
                <w:shd w:val="clear" w:color="auto" w:fill="E4FFD8"/>
              </w:rPr>
              <w:t xml:space="preserve"> </w:t>
            </w:r>
          </w:p>
        </w:tc>
        <w:tc>
          <w:tcPr>
            <w:tcW w:w="693" w:type="dxa"/>
          </w:tcPr>
          <w:p w14:paraId="2972C68C" w14:textId="77777777" w:rsidR="000E374A" w:rsidRPr="000E374A" w:rsidRDefault="000E374A" w:rsidP="002B00D4">
            <w:pPr>
              <w:pStyle w:val="TableParagraph"/>
              <w:spacing w:before="22"/>
              <w:ind w:left="1"/>
              <w:jc w:val="center"/>
              <w:rPr>
                <w:rFonts w:ascii="Arial" w:hAnsi="Arial" w:cs="Arial"/>
                <w:sz w:val="20"/>
                <w:szCs w:val="20"/>
              </w:rPr>
            </w:pPr>
            <w:r w:rsidRPr="000E374A">
              <w:rPr>
                <w:rFonts w:ascii="Arial" w:hAnsi="Arial" w:cs="Arial"/>
                <w:spacing w:val="-2"/>
                <w:sz w:val="20"/>
                <w:szCs w:val="20"/>
              </w:rPr>
              <w:t>0.963</w:t>
            </w:r>
          </w:p>
        </w:tc>
      </w:tr>
      <w:tr w:rsidR="000E374A" w:rsidRPr="000E374A" w14:paraId="2E1A228F" w14:textId="77777777" w:rsidTr="002B00D4">
        <w:trPr>
          <w:trHeight w:val="296"/>
        </w:trPr>
        <w:tc>
          <w:tcPr>
            <w:tcW w:w="1417" w:type="dxa"/>
          </w:tcPr>
          <w:p w14:paraId="79E244FA" w14:textId="77777777" w:rsidR="000E374A" w:rsidRPr="000E374A" w:rsidRDefault="000E374A" w:rsidP="002B00D4">
            <w:pPr>
              <w:pStyle w:val="TableParagraph"/>
              <w:spacing w:before="7"/>
              <w:rPr>
                <w:rFonts w:ascii="Arial" w:hAnsi="Arial" w:cs="Arial"/>
                <w:sz w:val="20"/>
                <w:szCs w:val="20"/>
              </w:rPr>
            </w:pPr>
            <w:r w:rsidRPr="000E374A">
              <w:rPr>
                <w:rFonts w:ascii="Arial" w:hAnsi="Arial" w:cs="Arial"/>
                <w:spacing w:val="-5"/>
                <w:w w:val="145"/>
                <w:sz w:val="20"/>
                <w:szCs w:val="20"/>
              </w:rPr>
              <w:t>ET</w:t>
            </w:r>
          </w:p>
        </w:tc>
        <w:tc>
          <w:tcPr>
            <w:tcW w:w="950" w:type="dxa"/>
          </w:tcPr>
          <w:p w14:paraId="787D22C7" w14:textId="77777777" w:rsidR="000E374A" w:rsidRPr="000E374A" w:rsidRDefault="000E374A" w:rsidP="002B00D4">
            <w:pPr>
              <w:pStyle w:val="TableParagraph"/>
              <w:spacing w:before="7"/>
              <w:ind w:left="138"/>
              <w:jc w:val="center"/>
              <w:rPr>
                <w:rFonts w:ascii="Arial" w:hAnsi="Arial" w:cs="Arial"/>
                <w:sz w:val="20"/>
                <w:szCs w:val="20"/>
              </w:rPr>
            </w:pPr>
            <w:r w:rsidRPr="000E374A">
              <w:rPr>
                <w:rFonts w:ascii="Arial" w:hAnsi="Arial" w:cs="Arial"/>
                <w:spacing w:val="-2"/>
                <w:sz w:val="20"/>
                <w:szCs w:val="20"/>
              </w:rPr>
              <w:t>0.320</w:t>
            </w:r>
          </w:p>
        </w:tc>
        <w:tc>
          <w:tcPr>
            <w:tcW w:w="693" w:type="dxa"/>
          </w:tcPr>
          <w:p w14:paraId="73AC2526" w14:textId="77777777" w:rsidR="000E374A" w:rsidRPr="000E374A" w:rsidRDefault="000E374A" w:rsidP="002B00D4">
            <w:pPr>
              <w:pStyle w:val="TableParagraph"/>
              <w:spacing w:before="7"/>
              <w:ind w:left="1"/>
              <w:jc w:val="center"/>
              <w:rPr>
                <w:rFonts w:ascii="Arial" w:hAnsi="Arial" w:cs="Arial"/>
                <w:sz w:val="20"/>
                <w:szCs w:val="20"/>
              </w:rPr>
            </w:pPr>
            <w:r w:rsidRPr="000E374A">
              <w:rPr>
                <w:rFonts w:ascii="Arial" w:hAnsi="Arial" w:cs="Arial"/>
                <w:spacing w:val="-2"/>
                <w:sz w:val="20"/>
                <w:szCs w:val="20"/>
              </w:rPr>
              <w:t>0.946</w:t>
            </w:r>
          </w:p>
        </w:tc>
      </w:tr>
      <w:tr w:rsidR="000E374A" w:rsidRPr="000E374A" w14:paraId="3487F552" w14:textId="77777777" w:rsidTr="002B00D4">
        <w:trPr>
          <w:trHeight w:val="296"/>
        </w:trPr>
        <w:tc>
          <w:tcPr>
            <w:tcW w:w="1417" w:type="dxa"/>
          </w:tcPr>
          <w:p w14:paraId="3BAC9640" w14:textId="77777777" w:rsidR="000E374A" w:rsidRPr="000E374A" w:rsidRDefault="000E374A" w:rsidP="002B00D4">
            <w:pPr>
              <w:pStyle w:val="TableParagraph"/>
              <w:spacing w:before="7"/>
              <w:rPr>
                <w:rFonts w:ascii="Arial" w:hAnsi="Arial" w:cs="Arial"/>
                <w:sz w:val="20"/>
                <w:szCs w:val="20"/>
              </w:rPr>
            </w:pPr>
            <w:r w:rsidRPr="000E374A">
              <w:rPr>
                <w:rFonts w:ascii="Arial" w:hAnsi="Arial" w:cs="Arial"/>
                <w:spacing w:val="-2"/>
                <w:w w:val="110"/>
                <w:sz w:val="20"/>
                <w:szCs w:val="20"/>
              </w:rPr>
              <w:t>Lasso</w:t>
            </w:r>
          </w:p>
        </w:tc>
        <w:tc>
          <w:tcPr>
            <w:tcW w:w="950" w:type="dxa"/>
          </w:tcPr>
          <w:p w14:paraId="670CE7F8" w14:textId="77777777" w:rsidR="000E374A" w:rsidRPr="000E374A" w:rsidRDefault="000E374A" w:rsidP="002B00D4">
            <w:pPr>
              <w:pStyle w:val="TableParagraph"/>
              <w:spacing w:before="7"/>
              <w:ind w:left="138"/>
              <w:jc w:val="center"/>
              <w:rPr>
                <w:rFonts w:ascii="Arial" w:hAnsi="Arial" w:cs="Arial"/>
                <w:sz w:val="20"/>
                <w:szCs w:val="20"/>
              </w:rPr>
            </w:pPr>
            <w:r w:rsidRPr="000E374A">
              <w:rPr>
                <w:rFonts w:ascii="Arial" w:hAnsi="Arial" w:cs="Arial"/>
                <w:spacing w:val="-2"/>
                <w:sz w:val="20"/>
                <w:szCs w:val="20"/>
              </w:rPr>
              <w:t>0.411</w:t>
            </w:r>
          </w:p>
        </w:tc>
        <w:tc>
          <w:tcPr>
            <w:tcW w:w="693" w:type="dxa"/>
          </w:tcPr>
          <w:p w14:paraId="752C034F" w14:textId="77777777" w:rsidR="000E374A" w:rsidRPr="000E374A" w:rsidRDefault="000E374A" w:rsidP="002B00D4">
            <w:pPr>
              <w:pStyle w:val="TableParagraph"/>
              <w:spacing w:before="7"/>
              <w:ind w:left="1" w:right="1"/>
              <w:jc w:val="center"/>
              <w:rPr>
                <w:rFonts w:ascii="Arial" w:hAnsi="Arial" w:cs="Arial"/>
                <w:sz w:val="20"/>
                <w:szCs w:val="20"/>
              </w:rPr>
            </w:pPr>
            <w:r w:rsidRPr="000E374A">
              <w:rPr>
                <w:rFonts w:ascii="Arial" w:hAnsi="Arial" w:cs="Arial"/>
                <w:spacing w:val="-2"/>
                <w:sz w:val="20"/>
                <w:szCs w:val="20"/>
              </w:rPr>
              <w:t>0.931</w:t>
            </w:r>
          </w:p>
        </w:tc>
      </w:tr>
      <w:tr w:rsidR="000E374A" w:rsidRPr="000E374A" w14:paraId="2331633A" w14:textId="77777777" w:rsidTr="002B00D4">
        <w:trPr>
          <w:trHeight w:val="296"/>
        </w:trPr>
        <w:tc>
          <w:tcPr>
            <w:tcW w:w="1417" w:type="dxa"/>
          </w:tcPr>
          <w:p w14:paraId="5EDB1BEF" w14:textId="77777777" w:rsidR="000E374A" w:rsidRPr="000E374A" w:rsidRDefault="000E374A" w:rsidP="002B00D4">
            <w:pPr>
              <w:pStyle w:val="TableParagraph"/>
              <w:spacing w:before="7"/>
              <w:rPr>
                <w:rFonts w:ascii="Arial" w:hAnsi="Arial" w:cs="Arial"/>
                <w:sz w:val="20"/>
                <w:szCs w:val="20"/>
              </w:rPr>
            </w:pPr>
            <w:r w:rsidRPr="000E374A">
              <w:rPr>
                <w:rFonts w:ascii="Arial" w:hAnsi="Arial" w:cs="Arial"/>
                <w:spacing w:val="-5"/>
                <w:w w:val="130"/>
                <w:sz w:val="20"/>
                <w:szCs w:val="20"/>
              </w:rPr>
              <w:t>GBR</w:t>
            </w:r>
          </w:p>
        </w:tc>
        <w:tc>
          <w:tcPr>
            <w:tcW w:w="950" w:type="dxa"/>
          </w:tcPr>
          <w:p w14:paraId="16CB952A" w14:textId="77777777" w:rsidR="000E374A" w:rsidRPr="000E374A" w:rsidRDefault="000E374A" w:rsidP="002B00D4">
            <w:pPr>
              <w:pStyle w:val="TableParagraph"/>
              <w:spacing w:before="7"/>
              <w:ind w:left="138"/>
              <w:jc w:val="center"/>
              <w:rPr>
                <w:rFonts w:ascii="Arial" w:hAnsi="Arial" w:cs="Arial"/>
                <w:sz w:val="20"/>
                <w:szCs w:val="20"/>
              </w:rPr>
            </w:pPr>
            <w:r w:rsidRPr="000E374A">
              <w:rPr>
                <w:rFonts w:ascii="Arial" w:hAnsi="Arial" w:cs="Arial"/>
                <w:spacing w:val="-2"/>
                <w:sz w:val="20"/>
                <w:szCs w:val="20"/>
              </w:rPr>
              <w:t>0.449</w:t>
            </w:r>
          </w:p>
        </w:tc>
        <w:tc>
          <w:tcPr>
            <w:tcW w:w="693" w:type="dxa"/>
          </w:tcPr>
          <w:p w14:paraId="1B2630F8" w14:textId="77777777" w:rsidR="000E374A" w:rsidRPr="000E374A" w:rsidRDefault="000E374A" w:rsidP="002B00D4">
            <w:pPr>
              <w:pStyle w:val="TableParagraph"/>
              <w:spacing w:before="7"/>
              <w:ind w:left="1" w:right="1"/>
              <w:jc w:val="center"/>
              <w:rPr>
                <w:rFonts w:ascii="Arial" w:hAnsi="Arial" w:cs="Arial"/>
                <w:sz w:val="20"/>
                <w:szCs w:val="20"/>
              </w:rPr>
            </w:pPr>
            <w:r w:rsidRPr="000E374A">
              <w:rPr>
                <w:rFonts w:ascii="Arial" w:hAnsi="Arial" w:cs="Arial"/>
                <w:spacing w:val="-2"/>
                <w:sz w:val="20"/>
                <w:szCs w:val="20"/>
              </w:rPr>
              <w:t>0.924</w:t>
            </w:r>
          </w:p>
        </w:tc>
      </w:tr>
      <w:tr w:rsidR="000E374A" w:rsidRPr="000E374A" w14:paraId="589D8288" w14:textId="77777777" w:rsidTr="002B00D4">
        <w:trPr>
          <w:trHeight w:val="296"/>
        </w:trPr>
        <w:tc>
          <w:tcPr>
            <w:tcW w:w="1417" w:type="dxa"/>
          </w:tcPr>
          <w:p w14:paraId="38B86656" w14:textId="77777777" w:rsidR="000E374A" w:rsidRPr="000E374A" w:rsidRDefault="000E374A" w:rsidP="002B00D4">
            <w:pPr>
              <w:pStyle w:val="TableParagraph"/>
              <w:spacing w:before="7"/>
              <w:rPr>
                <w:rFonts w:ascii="Arial" w:hAnsi="Arial" w:cs="Arial"/>
                <w:sz w:val="20"/>
                <w:szCs w:val="20"/>
              </w:rPr>
            </w:pPr>
            <w:r w:rsidRPr="000E374A">
              <w:rPr>
                <w:rFonts w:ascii="Arial" w:hAnsi="Arial" w:cs="Arial"/>
                <w:spacing w:val="-5"/>
                <w:w w:val="125"/>
                <w:sz w:val="20"/>
                <w:szCs w:val="20"/>
              </w:rPr>
              <w:t>ADA</w:t>
            </w:r>
          </w:p>
        </w:tc>
        <w:tc>
          <w:tcPr>
            <w:tcW w:w="950" w:type="dxa"/>
          </w:tcPr>
          <w:p w14:paraId="153AC8E9" w14:textId="77777777" w:rsidR="000E374A" w:rsidRPr="000E374A" w:rsidRDefault="000E374A" w:rsidP="002B00D4">
            <w:pPr>
              <w:pStyle w:val="TableParagraph"/>
              <w:spacing w:before="7"/>
              <w:ind w:left="139"/>
              <w:jc w:val="center"/>
              <w:rPr>
                <w:rFonts w:ascii="Arial" w:hAnsi="Arial" w:cs="Arial"/>
                <w:sz w:val="20"/>
                <w:szCs w:val="20"/>
              </w:rPr>
            </w:pPr>
            <w:r w:rsidRPr="000E374A">
              <w:rPr>
                <w:rFonts w:ascii="Arial" w:hAnsi="Arial" w:cs="Arial"/>
                <w:spacing w:val="-2"/>
                <w:sz w:val="20"/>
                <w:szCs w:val="20"/>
              </w:rPr>
              <w:t>0.504</w:t>
            </w:r>
          </w:p>
        </w:tc>
        <w:tc>
          <w:tcPr>
            <w:tcW w:w="693" w:type="dxa"/>
          </w:tcPr>
          <w:p w14:paraId="0B3A5A0E" w14:textId="77777777" w:rsidR="000E374A" w:rsidRPr="000E374A" w:rsidRDefault="000E374A" w:rsidP="002B00D4">
            <w:pPr>
              <w:pStyle w:val="TableParagraph"/>
              <w:spacing w:before="7"/>
              <w:ind w:left="1"/>
              <w:jc w:val="center"/>
              <w:rPr>
                <w:rFonts w:ascii="Arial" w:hAnsi="Arial" w:cs="Arial"/>
                <w:sz w:val="20"/>
                <w:szCs w:val="20"/>
              </w:rPr>
            </w:pPr>
            <w:r w:rsidRPr="000E374A">
              <w:rPr>
                <w:rFonts w:ascii="Arial" w:hAnsi="Arial" w:cs="Arial"/>
                <w:spacing w:val="-2"/>
                <w:sz w:val="20"/>
                <w:szCs w:val="20"/>
              </w:rPr>
              <w:t>0.915</w:t>
            </w:r>
          </w:p>
        </w:tc>
      </w:tr>
      <w:tr w:rsidR="000E374A" w:rsidRPr="000E374A" w14:paraId="502128D1" w14:textId="77777777" w:rsidTr="002B00D4">
        <w:trPr>
          <w:trHeight w:val="327"/>
        </w:trPr>
        <w:tc>
          <w:tcPr>
            <w:tcW w:w="1417" w:type="dxa"/>
            <w:tcBorders>
              <w:bottom w:val="single" w:sz="8" w:space="0" w:color="000000"/>
            </w:tcBorders>
          </w:tcPr>
          <w:p w14:paraId="2DA58522" w14:textId="77777777" w:rsidR="000E374A" w:rsidRPr="000E374A" w:rsidRDefault="000E374A" w:rsidP="002B00D4">
            <w:pPr>
              <w:pStyle w:val="TableParagraph"/>
              <w:spacing w:before="7"/>
              <w:rPr>
                <w:rFonts w:ascii="Arial" w:hAnsi="Arial" w:cs="Arial"/>
                <w:sz w:val="20"/>
                <w:szCs w:val="20"/>
              </w:rPr>
            </w:pPr>
            <w:r w:rsidRPr="000E374A">
              <w:rPr>
                <w:rFonts w:ascii="Arial" w:hAnsi="Arial" w:cs="Arial"/>
                <w:spacing w:val="-5"/>
                <w:w w:val="135"/>
                <w:sz w:val="20"/>
                <w:szCs w:val="20"/>
              </w:rPr>
              <w:t>RF</w:t>
            </w:r>
          </w:p>
        </w:tc>
        <w:tc>
          <w:tcPr>
            <w:tcW w:w="950" w:type="dxa"/>
            <w:tcBorders>
              <w:bottom w:val="single" w:sz="8" w:space="0" w:color="000000"/>
            </w:tcBorders>
          </w:tcPr>
          <w:p w14:paraId="41F12824" w14:textId="77777777" w:rsidR="000E374A" w:rsidRPr="000E374A" w:rsidRDefault="000E374A" w:rsidP="002B00D4">
            <w:pPr>
              <w:pStyle w:val="TableParagraph"/>
              <w:spacing w:before="7"/>
              <w:ind w:left="139"/>
              <w:jc w:val="center"/>
              <w:rPr>
                <w:rFonts w:ascii="Arial" w:hAnsi="Arial" w:cs="Arial"/>
                <w:sz w:val="20"/>
                <w:szCs w:val="20"/>
              </w:rPr>
            </w:pPr>
            <w:r w:rsidRPr="000E374A">
              <w:rPr>
                <w:rFonts w:ascii="Arial" w:hAnsi="Arial" w:cs="Arial"/>
                <w:spacing w:val="-2"/>
                <w:sz w:val="20"/>
                <w:szCs w:val="20"/>
              </w:rPr>
              <w:t>0.831</w:t>
            </w:r>
          </w:p>
        </w:tc>
        <w:tc>
          <w:tcPr>
            <w:tcW w:w="693" w:type="dxa"/>
            <w:tcBorders>
              <w:bottom w:val="single" w:sz="8" w:space="0" w:color="000000"/>
            </w:tcBorders>
          </w:tcPr>
          <w:p w14:paraId="5B9DCF28" w14:textId="77777777" w:rsidR="000E374A" w:rsidRPr="000E374A" w:rsidRDefault="000E374A" w:rsidP="002B00D4">
            <w:pPr>
              <w:pStyle w:val="TableParagraph"/>
              <w:spacing w:before="7"/>
              <w:ind w:left="1"/>
              <w:jc w:val="center"/>
              <w:rPr>
                <w:rFonts w:ascii="Arial" w:hAnsi="Arial" w:cs="Arial"/>
                <w:sz w:val="20"/>
                <w:szCs w:val="20"/>
              </w:rPr>
            </w:pPr>
            <w:r w:rsidRPr="000E374A">
              <w:rPr>
                <w:rFonts w:ascii="Arial" w:hAnsi="Arial" w:cs="Arial"/>
                <w:spacing w:val="-2"/>
                <w:sz w:val="20"/>
                <w:szCs w:val="20"/>
              </w:rPr>
              <w:t>0.860</w:t>
            </w:r>
          </w:p>
        </w:tc>
      </w:tr>
    </w:tbl>
    <w:p w14:paraId="1AE0224C" w14:textId="64EAFF7A" w:rsidR="0018115D" w:rsidRPr="00584A8F" w:rsidRDefault="000E374A" w:rsidP="000E374A">
      <w:pPr>
        <w:spacing w:before="90" w:line="288" w:lineRule="auto"/>
        <w:ind w:left="144" w:right="553"/>
        <w:jc w:val="both"/>
        <w:rPr>
          <w:rFonts w:cs="Arial"/>
          <w:sz w:val="20"/>
          <w:szCs w:val="20"/>
          <w:lang w:val="en-US"/>
        </w:rPr>
      </w:pPr>
      <w:r w:rsidRPr="00584A8F">
        <w:rPr>
          <w:rFonts w:cs="Arial"/>
          <w:w w:val="115"/>
          <w:sz w:val="20"/>
          <w:szCs w:val="20"/>
          <w:lang w:val="en-US"/>
        </w:rPr>
        <w:t>(</w:t>
      </w:r>
      <w:r w:rsidRPr="00584A8F">
        <w:rPr>
          <w:rFonts w:cs="Arial"/>
          <w:i/>
          <w:w w:val="115"/>
          <w:sz w:val="20"/>
          <w:szCs w:val="20"/>
          <w:vertAlign w:val="superscript"/>
          <w:lang w:val="en-US"/>
        </w:rPr>
        <w:t>†</w:t>
      </w:r>
      <w:r w:rsidRPr="00584A8F">
        <w:rPr>
          <w:rFonts w:cs="Arial"/>
          <w:w w:val="115"/>
          <w:sz w:val="20"/>
          <w:szCs w:val="20"/>
          <w:lang w:val="en-US"/>
        </w:rPr>
        <w:t>):</w:t>
      </w:r>
      <w:r w:rsidRPr="00584A8F">
        <w:rPr>
          <w:rFonts w:cs="Arial"/>
          <w:spacing w:val="16"/>
          <w:w w:val="115"/>
          <w:sz w:val="20"/>
          <w:szCs w:val="20"/>
          <w:lang w:val="en-US"/>
        </w:rPr>
        <w:t xml:space="preserve"> </w:t>
      </w:r>
      <w:r w:rsidRPr="00584A8F">
        <w:rPr>
          <w:rFonts w:cs="Arial"/>
          <w:w w:val="115"/>
          <w:sz w:val="20"/>
          <w:szCs w:val="20"/>
          <w:lang w:val="en-US"/>
        </w:rPr>
        <w:t xml:space="preserve">WAM and WAM-Best denote Weighted Arithmetic Mean of all individual forecasts, and Weighted Arithmetic Mean of the Three </w:t>
      </w:r>
      <w:r w:rsidRPr="00584A8F">
        <w:rPr>
          <w:w w:val="115"/>
          <w:sz w:val="20"/>
          <w:szCs w:val="20"/>
          <w:lang w:val="en-US"/>
        </w:rPr>
        <w:t>Best-performing individual forecasts, respectively.</w:t>
      </w:r>
      <w:r w:rsidRPr="00584A8F">
        <w:rPr>
          <w:spacing w:val="71"/>
          <w:w w:val="115"/>
          <w:sz w:val="20"/>
          <w:szCs w:val="20"/>
          <w:lang w:val="en-US"/>
        </w:rPr>
        <w:t xml:space="preserve"> </w:t>
      </w:r>
      <w:r w:rsidRPr="00584A8F">
        <w:rPr>
          <w:w w:val="115"/>
          <w:sz w:val="20"/>
          <w:szCs w:val="20"/>
          <w:highlight w:val="green"/>
          <w:lang w:val="en-US"/>
        </w:rPr>
        <w:t>1st-best-performing</w:t>
      </w:r>
      <w:r w:rsidRPr="00584A8F">
        <w:rPr>
          <w:w w:val="115"/>
          <w:sz w:val="20"/>
          <w:szCs w:val="20"/>
          <w:lang w:val="en-US"/>
        </w:rPr>
        <w:t>;</w:t>
      </w:r>
      <w:r w:rsidRPr="00584A8F">
        <w:rPr>
          <w:spacing w:val="40"/>
          <w:w w:val="115"/>
          <w:sz w:val="20"/>
          <w:szCs w:val="20"/>
          <w:lang w:val="en-US"/>
        </w:rPr>
        <w:t xml:space="preserve"> </w:t>
      </w:r>
      <w:r w:rsidRPr="00584A8F">
        <w:rPr>
          <w:w w:val="115"/>
          <w:sz w:val="20"/>
          <w:szCs w:val="20"/>
          <w:highlight w:val="yellow"/>
          <w:lang w:val="en-US"/>
        </w:rPr>
        <w:t>2nd-best-performing</w:t>
      </w:r>
      <w:r w:rsidRPr="00584A8F">
        <w:rPr>
          <w:w w:val="115"/>
          <w:sz w:val="20"/>
          <w:szCs w:val="20"/>
          <w:lang w:val="en-US"/>
        </w:rPr>
        <w:t xml:space="preserve">; and </w:t>
      </w:r>
      <w:r w:rsidRPr="00584A8F">
        <w:rPr>
          <w:w w:val="115"/>
          <w:sz w:val="20"/>
          <w:szCs w:val="20"/>
          <w:highlight w:val="cyan"/>
          <w:lang w:val="en-US"/>
        </w:rPr>
        <w:t>3rd-best-performing</w:t>
      </w:r>
    </w:p>
    <w:p w14:paraId="239088FD" w14:textId="77777777" w:rsidR="0018115D" w:rsidRDefault="0018115D" w:rsidP="000E374A">
      <w:pPr>
        <w:spacing w:before="120" w:after="120" w:line="360" w:lineRule="auto"/>
        <w:jc w:val="center"/>
        <w:rPr>
          <w:rFonts w:cs="Arial"/>
          <w:sz w:val="24"/>
          <w:szCs w:val="24"/>
          <w:lang w:val="en-US"/>
        </w:rPr>
      </w:pPr>
      <w:r w:rsidRPr="0018115D">
        <w:rPr>
          <w:rFonts w:cs="Arial"/>
          <w:sz w:val="24"/>
          <w:szCs w:val="24"/>
          <w:lang w:val="en-US"/>
        </w:rPr>
        <w:t>Table 2: Forecast Evaluation on Validation Set (Out-of-sample)</w:t>
      </w:r>
    </w:p>
    <w:p w14:paraId="45EA4F7B" w14:textId="77777777" w:rsidR="001B7004" w:rsidRPr="0018115D" w:rsidRDefault="001B7004" w:rsidP="000E374A">
      <w:pPr>
        <w:spacing w:before="120" w:after="120" w:line="360" w:lineRule="auto"/>
        <w:jc w:val="center"/>
        <w:rPr>
          <w:rFonts w:cs="Arial"/>
          <w:sz w:val="24"/>
          <w:szCs w:val="24"/>
          <w:lang w:val="en-US"/>
        </w:rPr>
      </w:pPr>
    </w:p>
    <w:p w14:paraId="1CE28845" w14:textId="2657E288" w:rsidR="0018115D" w:rsidRDefault="0018115D" w:rsidP="0018115D">
      <w:pPr>
        <w:spacing w:before="120" w:after="120" w:line="360" w:lineRule="auto"/>
        <w:jc w:val="both"/>
        <w:rPr>
          <w:rFonts w:cs="Arial"/>
          <w:b/>
          <w:bCs/>
          <w:sz w:val="24"/>
          <w:szCs w:val="24"/>
          <w:lang w:val="en-US"/>
        </w:rPr>
      </w:pPr>
      <w:r w:rsidRPr="0018115D">
        <w:rPr>
          <w:rFonts w:cs="Arial"/>
          <w:sz w:val="24"/>
          <w:szCs w:val="24"/>
          <w:lang w:val="en-US"/>
        </w:rPr>
        <w:lastRenderedPageBreak/>
        <w:t xml:space="preserve"> </w:t>
      </w:r>
      <w:r w:rsidRPr="000E374A">
        <w:rPr>
          <w:rFonts w:cs="Arial"/>
          <w:b/>
          <w:bCs/>
          <w:sz w:val="24"/>
          <w:szCs w:val="24"/>
          <w:lang w:val="en-US"/>
        </w:rPr>
        <w:t>B</w:t>
      </w:r>
      <w:r w:rsidRPr="000E374A">
        <w:rPr>
          <w:rFonts w:cs="Arial"/>
          <w:b/>
          <w:bCs/>
          <w:sz w:val="24"/>
          <w:szCs w:val="24"/>
          <w:lang w:val="en-US"/>
        </w:rPr>
        <w:tab/>
        <w:t>Economic Uncertainty Sentiment Index</w:t>
      </w:r>
    </w:p>
    <w:p w14:paraId="105F684C" w14:textId="6A1EB2D3" w:rsidR="00CF0423" w:rsidRDefault="00CF0423" w:rsidP="00CF0423">
      <w:pPr>
        <w:spacing w:before="120" w:after="120" w:line="360" w:lineRule="auto"/>
        <w:jc w:val="center"/>
        <w:rPr>
          <w:rFonts w:cs="Arial"/>
          <w:b/>
          <w:bCs/>
          <w:sz w:val="24"/>
          <w:szCs w:val="24"/>
          <w:lang w:val="en-US"/>
        </w:rPr>
      </w:pPr>
      <w:r>
        <w:rPr>
          <w:rFonts w:cs="Arial"/>
          <w:b/>
          <w:bCs/>
          <w:noProof/>
          <w:sz w:val="24"/>
          <w:szCs w:val="24"/>
          <w:lang w:val="en-US"/>
        </w:rPr>
        <w:drawing>
          <wp:inline distT="0" distB="0" distL="0" distR="0" wp14:anchorId="36BF3573" wp14:editId="4324142F">
            <wp:extent cx="5250873" cy="2707009"/>
            <wp:effectExtent l="0" t="0" r="6985" b="0"/>
            <wp:docPr id="1187191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91778" name="Imagen 1187191778"/>
                    <pic:cNvPicPr/>
                  </pic:nvPicPr>
                  <pic:blipFill>
                    <a:blip r:embed="rId30">
                      <a:extLst>
                        <a:ext uri="{28A0092B-C50C-407E-A947-70E740481C1C}">
                          <a14:useLocalDpi xmlns:a14="http://schemas.microsoft.com/office/drawing/2010/main" val="0"/>
                        </a:ext>
                      </a:extLst>
                    </a:blip>
                    <a:stretch>
                      <a:fillRect/>
                    </a:stretch>
                  </pic:blipFill>
                  <pic:spPr>
                    <a:xfrm>
                      <a:off x="0" y="0"/>
                      <a:ext cx="5269984" cy="2716861"/>
                    </a:xfrm>
                    <a:prstGeom prst="rect">
                      <a:avLst/>
                    </a:prstGeom>
                  </pic:spPr>
                </pic:pic>
              </a:graphicData>
            </a:graphic>
          </wp:inline>
        </w:drawing>
      </w:r>
    </w:p>
    <w:p w14:paraId="271BF135" w14:textId="127B665B" w:rsidR="00CF0423" w:rsidRPr="00CF0423" w:rsidRDefault="00CF0423" w:rsidP="00CF0423">
      <w:pPr>
        <w:spacing w:before="120" w:after="120" w:line="360" w:lineRule="auto"/>
        <w:jc w:val="center"/>
        <w:rPr>
          <w:rFonts w:cs="Arial"/>
          <w:sz w:val="24"/>
          <w:szCs w:val="24"/>
          <w:lang w:val="en-US"/>
        </w:rPr>
      </w:pPr>
      <w:r>
        <w:rPr>
          <w:rFonts w:cs="Arial"/>
          <w:sz w:val="24"/>
          <w:szCs w:val="24"/>
          <w:lang w:val="en-US"/>
        </w:rPr>
        <w:t xml:space="preserve">Figure 12: </w:t>
      </w:r>
      <w:r w:rsidRPr="00CF0423">
        <w:rPr>
          <w:rFonts w:cs="Arial"/>
          <w:sz w:val="24"/>
          <w:szCs w:val="24"/>
          <w:lang w:val="en-US"/>
        </w:rPr>
        <w:t>Economic Uncertainty Sentiment Index with Events</w:t>
      </w:r>
    </w:p>
    <w:p w14:paraId="399291B7" w14:textId="7FB6C434" w:rsidR="0018115D" w:rsidRDefault="0018115D" w:rsidP="0018115D">
      <w:pPr>
        <w:spacing w:before="120" w:after="120" w:line="360" w:lineRule="auto"/>
        <w:jc w:val="both"/>
        <w:rPr>
          <w:rFonts w:cs="Arial"/>
          <w:sz w:val="24"/>
          <w:szCs w:val="24"/>
          <w:lang w:val="en-US"/>
        </w:rPr>
      </w:pPr>
      <w:r w:rsidRPr="0018115D">
        <w:rPr>
          <w:rFonts w:cs="Arial"/>
          <w:sz w:val="24"/>
          <w:szCs w:val="24"/>
          <w:lang w:val="en-US"/>
        </w:rPr>
        <w:t>To construct the dictionary of terms underlying the economic uncertainty sentiment indicator, we proceeded as follows:</w:t>
      </w:r>
    </w:p>
    <w:p w14:paraId="18DC0B4A" w14:textId="20059776" w:rsidR="000E374A" w:rsidRDefault="000E374A" w:rsidP="000E374A">
      <w:pPr>
        <w:pStyle w:val="Prrafodelista"/>
        <w:numPr>
          <w:ilvl w:val="0"/>
          <w:numId w:val="11"/>
        </w:numPr>
        <w:spacing w:before="120" w:after="120" w:line="360" w:lineRule="auto"/>
        <w:jc w:val="both"/>
        <w:rPr>
          <w:rFonts w:cs="Arial"/>
          <w:sz w:val="24"/>
          <w:szCs w:val="24"/>
          <w:lang w:val="en-US"/>
        </w:rPr>
      </w:pPr>
      <w:r w:rsidRPr="000E374A">
        <w:rPr>
          <w:rFonts w:cs="Arial"/>
          <w:b/>
          <w:bCs/>
          <w:sz w:val="24"/>
          <w:szCs w:val="24"/>
          <w:lang w:val="en-US"/>
        </w:rPr>
        <w:t>Source selection:</w:t>
      </w:r>
      <w:r w:rsidRPr="000E374A">
        <w:rPr>
          <w:rFonts w:cs="Arial"/>
          <w:sz w:val="24"/>
          <w:szCs w:val="24"/>
          <w:lang w:val="en-US"/>
        </w:rPr>
        <w:t xml:space="preserve"> We collected IMF Article IV reports for the period 2015–2020, along with a set of headlines and messages shared in a WhatsApp group dedicated to economic news in Bolivia.</w:t>
      </w:r>
    </w:p>
    <w:p w14:paraId="69204183" w14:textId="246FC2F1" w:rsidR="000E374A" w:rsidRDefault="000E374A" w:rsidP="000E374A">
      <w:pPr>
        <w:pStyle w:val="Prrafodelista"/>
        <w:numPr>
          <w:ilvl w:val="0"/>
          <w:numId w:val="11"/>
        </w:numPr>
        <w:spacing w:before="120" w:after="120" w:line="360" w:lineRule="auto"/>
        <w:jc w:val="both"/>
        <w:rPr>
          <w:rFonts w:cs="Arial"/>
          <w:sz w:val="24"/>
          <w:szCs w:val="24"/>
          <w:lang w:val="en-US"/>
        </w:rPr>
      </w:pPr>
      <w:r w:rsidRPr="000E374A">
        <w:rPr>
          <w:rFonts w:cs="Arial"/>
          <w:b/>
          <w:bCs/>
          <w:sz w:val="24"/>
          <w:szCs w:val="24"/>
          <w:lang w:val="en-US"/>
        </w:rPr>
        <w:t>Frequent term detection:</w:t>
      </w:r>
      <w:r w:rsidRPr="000E374A">
        <w:rPr>
          <w:rFonts w:cs="Arial"/>
          <w:sz w:val="24"/>
          <w:szCs w:val="24"/>
          <w:lang w:val="en-US"/>
        </w:rPr>
        <w:t xml:space="preserve"> Each document (report or news chat) was subjected to a word-cloud analysis (</w:t>
      </w:r>
      <w:r w:rsidRPr="000E374A">
        <w:rPr>
          <w:rFonts w:cs="Arial"/>
          <w:i/>
          <w:iCs/>
          <w:sz w:val="24"/>
          <w:szCs w:val="24"/>
          <w:lang w:val="en-US"/>
        </w:rPr>
        <w:t>WordCloud</w:t>
      </w:r>
      <w:r w:rsidRPr="000E374A">
        <w:rPr>
          <w:rFonts w:cs="Arial"/>
          <w:sz w:val="24"/>
          <w:szCs w:val="24"/>
          <w:lang w:val="en-US"/>
        </w:rPr>
        <w:t>). This procedure extracted, for each source, the most frequently occurring words.</w:t>
      </w:r>
    </w:p>
    <w:p w14:paraId="199A9CC2" w14:textId="62EA7834" w:rsidR="000E374A" w:rsidRDefault="000E374A" w:rsidP="000E374A">
      <w:pPr>
        <w:pStyle w:val="Prrafodelista"/>
        <w:numPr>
          <w:ilvl w:val="0"/>
          <w:numId w:val="11"/>
        </w:numPr>
        <w:spacing w:before="120" w:after="120" w:line="360" w:lineRule="auto"/>
        <w:jc w:val="both"/>
        <w:rPr>
          <w:rFonts w:cs="Arial"/>
          <w:sz w:val="24"/>
          <w:szCs w:val="24"/>
          <w:lang w:val="en-US"/>
        </w:rPr>
      </w:pPr>
      <w:r w:rsidRPr="000E374A">
        <w:rPr>
          <w:rFonts w:cs="Arial"/>
          <w:b/>
          <w:bCs/>
          <w:sz w:val="24"/>
          <w:szCs w:val="24"/>
          <w:lang w:val="en-US"/>
        </w:rPr>
        <w:t>Construction of relative frequency tables:</w:t>
      </w:r>
      <w:r w:rsidRPr="000E374A">
        <w:rPr>
          <w:rFonts w:cs="Arial"/>
          <w:sz w:val="24"/>
          <w:szCs w:val="24"/>
          <w:lang w:val="en-US"/>
        </w:rPr>
        <w:t xml:space="preserve"> For each report and the WhatsApp corpus, we generated a table listing, for each word, its absolute frequency and its relative frequency for the total number of terms analyzed.</w:t>
      </w:r>
    </w:p>
    <w:p w14:paraId="50B04C96" w14:textId="3C8A61F2" w:rsidR="000E374A" w:rsidRDefault="000E374A" w:rsidP="000E374A">
      <w:pPr>
        <w:pStyle w:val="Prrafodelista"/>
        <w:numPr>
          <w:ilvl w:val="0"/>
          <w:numId w:val="11"/>
        </w:numPr>
        <w:spacing w:before="120" w:after="120" w:line="360" w:lineRule="auto"/>
        <w:jc w:val="both"/>
        <w:rPr>
          <w:rFonts w:cs="Arial"/>
          <w:sz w:val="24"/>
          <w:szCs w:val="24"/>
          <w:lang w:val="en-US"/>
        </w:rPr>
      </w:pPr>
      <w:r w:rsidRPr="000E374A">
        <w:rPr>
          <w:rFonts w:cs="Arial"/>
          <w:b/>
          <w:bCs/>
          <w:sz w:val="24"/>
          <w:szCs w:val="24"/>
          <w:lang w:val="en-US"/>
        </w:rPr>
        <w:t>Consolidation and averaging of frequencies:</w:t>
      </w:r>
      <w:r w:rsidRPr="000E374A">
        <w:rPr>
          <w:rFonts w:cs="Arial"/>
          <w:sz w:val="24"/>
          <w:szCs w:val="24"/>
          <w:lang w:val="en-US"/>
        </w:rPr>
        <w:t xml:space="preserve"> We merged all tables into a single dataset. We then calculated the mean relative frequency of each term across all sources, ensuring that the dictionary reflects the most persistent concerns over time and across different channels.</w:t>
      </w:r>
    </w:p>
    <w:p w14:paraId="58EE4023" w14:textId="4B85555C" w:rsidR="000E374A" w:rsidRDefault="000E374A" w:rsidP="000E374A">
      <w:pPr>
        <w:pStyle w:val="Prrafodelista"/>
        <w:numPr>
          <w:ilvl w:val="0"/>
          <w:numId w:val="11"/>
        </w:numPr>
        <w:spacing w:before="120" w:after="120" w:line="360" w:lineRule="auto"/>
        <w:jc w:val="both"/>
        <w:rPr>
          <w:rFonts w:cs="Arial"/>
          <w:sz w:val="24"/>
          <w:szCs w:val="24"/>
          <w:lang w:val="en-US"/>
        </w:rPr>
      </w:pPr>
      <w:r w:rsidRPr="000E374A">
        <w:rPr>
          <w:rFonts w:cs="Arial"/>
          <w:b/>
          <w:bCs/>
          <w:sz w:val="24"/>
          <w:szCs w:val="24"/>
          <w:lang w:val="en-US"/>
        </w:rPr>
        <w:t>Term selection and thematic classification:</w:t>
      </w:r>
      <w:r w:rsidRPr="000E374A">
        <w:rPr>
          <w:rFonts w:cs="Arial"/>
          <w:sz w:val="24"/>
          <w:szCs w:val="24"/>
          <w:lang w:val="en-US"/>
        </w:rPr>
        <w:t xml:space="preserve"> We selected those terms whose mean relative frequency exceeded a predefined threshold. These terms were grouped into three thematic categories:</w:t>
      </w:r>
    </w:p>
    <w:p w14:paraId="0EEE00F1" w14:textId="41AB00E0" w:rsidR="000E374A" w:rsidRPr="00584A8F" w:rsidRDefault="00584A8F" w:rsidP="00584A8F">
      <w:pPr>
        <w:pStyle w:val="Prrafodelista"/>
        <w:numPr>
          <w:ilvl w:val="1"/>
          <w:numId w:val="11"/>
        </w:numPr>
        <w:spacing w:before="120" w:after="120" w:line="360" w:lineRule="auto"/>
        <w:jc w:val="both"/>
        <w:rPr>
          <w:rFonts w:cs="Arial"/>
          <w:i/>
          <w:iCs/>
          <w:sz w:val="24"/>
          <w:szCs w:val="24"/>
        </w:rPr>
      </w:pPr>
      <w:r w:rsidRPr="00584A8F">
        <w:rPr>
          <w:rFonts w:cs="Arial"/>
          <w:b/>
          <w:bCs/>
          <w:i/>
          <w:iCs/>
          <w:sz w:val="24"/>
          <w:szCs w:val="24"/>
        </w:rPr>
        <w:lastRenderedPageBreak/>
        <w:t>Economics:</w:t>
      </w:r>
      <w:r w:rsidRPr="00584A8F">
        <w:rPr>
          <w:rFonts w:cs="Arial"/>
          <w:i/>
          <w:iCs/>
          <w:sz w:val="24"/>
          <w:szCs w:val="24"/>
        </w:rPr>
        <w:t xml:space="preserve"> 'pib', 'deuda', 'deuda externa', 'usdt', 'bitcoin', 'dólares', 'dólar blue', 'dólar', 'precio del oro', 'tipo de cambio', 'crisis económica', 'crisis', 'gasolina', 'precios', 'inflación', 'reservas', 'rin', 'crecimiento', 'gasto público', 'combustible', 'quiebra', 'importación', 'exportación', 'hidrocarburos', 'diesel', 'filas', 'suben los precios', 'economía', 'económico', 'escasez', 'divisas', 'paralelo'.</w:t>
      </w:r>
    </w:p>
    <w:p w14:paraId="523A34F2" w14:textId="0FFD2EC0" w:rsidR="00584A8F" w:rsidRPr="00584A8F" w:rsidRDefault="00584A8F" w:rsidP="00584A8F">
      <w:pPr>
        <w:pStyle w:val="Prrafodelista"/>
        <w:numPr>
          <w:ilvl w:val="1"/>
          <w:numId w:val="11"/>
        </w:numPr>
        <w:spacing w:before="120" w:after="120" w:line="360" w:lineRule="auto"/>
        <w:jc w:val="both"/>
        <w:rPr>
          <w:rFonts w:cs="Arial"/>
          <w:i/>
          <w:iCs/>
          <w:sz w:val="24"/>
          <w:szCs w:val="24"/>
        </w:rPr>
      </w:pPr>
      <w:r w:rsidRPr="00584A8F">
        <w:rPr>
          <w:rFonts w:cs="Arial"/>
          <w:b/>
          <w:bCs/>
          <w:i/>
          <w:iCs/>
          <w:sz w:val="24"/>
          <w:szCs w:val="24"/>
        </w:rPr>
        <w:t>Politics:</w:t>
      </w:r>
      <w:r w:rsidRPr="00584A8F">
        <w:rPr>
          <w:rFonts w:cs="Arial"/>
          <w:i/>
          <w:iCs/>
          <w:sz w:val="24"/>
          <w:szCs w:val="24"/>
        </w:rPr>
        <w:t xml:space="preserve"> 'golpe de estado', 'política', 'banco central', 'gobierno', 'política fiscal', 'corralito', 'intervención', 'elecciones nacionales'.</w:t>
      </w:r>
    </w:p>
    <w:p w14:paraId="3F307951" w14:textId="557D1566" w:rsidR="00584A8F" w:rsidRPr="00584A8F" w:rsidRDefault="00584A8F" w:rsidP="00584A8F">
      <w:pPr>
        <w:pStyle w:val="Prrafodelista"/>
        <w:numPr>
          <w:ilvl w:val="1"/>
          <w:numId w:val="11"/>
        </w:numPr>
        <w:spacing w:before="120" w:after="120" w:line="360" w:lineRule="auto"/>
        <w:jc w:val="both"/>
        <w:rPr>
          <w:rFonts w:cs="Arial"/>
          <w:i/>
          <w:iCs/>
          <w:sz w:val="24"/>
          <w:szCs w:val="24"/>
        </w:rPr>
      </w:pPr>
      <w:r w:rsidRPr="00584A8F">
        <w:rPr>
          <w:rFonts w:cs="Arial"/>
          <w:b/>
          <w:bCs/>
          <w:i/>
          <w:iCs/>
          <w:sz w:val="24"/>
          <w:szCs w:val="24"/>
        </w:rPr>
        <w:t>Uncertainty:</w:t>
      </w:r>
      <w:r w:rsidRPr="00584A8F">
        <w:rPr>
          <w:rFonts w:cs="Arial"/>
          <w:i/>
          <w:iCs/>
          <w:sz w:val="24"/>
          <w:szCs w:val="24"/>
        </w:rPr>
        <w:t xml:space="preserve"> 'incertidumbre', 'riesgo', 'inseguridad', 'covid-19', 'pandemia', 'coronavirus'.</w:t>
      </w:r>
    </w:p>
    <w:p w14:paraId="47C4B059" w14:textId="01FDEA29" w:rsidR="00584A8F" w:rsidRDefault="00584A8F" w:rsidP="00584A8F">
      <w:pPr>
        <w:spacing w:before="120" w:after="120" w:line="360" w:lineRule="auto"/>
        <w:jc w:val="both"/>
        <w:rPr>
          <w:rFonts w:cs="Arial"/>
          <w:sz w:val="24"/>
          <w:szCs w:val="24"/>
          <w:lang w:val="en-US"/>
        </w:rPr>
      </w:pPr>
      <w:r w:rsidRPr="00584A8F">
        <w:rPr>
          <w:rFonts w:cs="Arial"/>
          <w:sz w:val="24"/>
          <w:szCs w:val="24"/>
          <w:lang w:val="en-US"/>
        </w:rPr>
        <w:t xml:space="preserve">The result is a robust, empirically validated term dictionary that serves as the basis for constructing the economic uncertainty sentiment index used in this study.  </w:t>
      </w:r>
    </w:p>
    <w:p w14:paraId="794FB04B" w14:textId="77777777" w:rsidR="00584A8F" w:rsidRDefault="00584A8F" w:rsidP="00584A8F">
      <w:pPr>
        <w:ind w:left="1025"/>
        <w:rPr>
          <w:sz w:val="20"/>
        </w:rPr>
      </w:pPr>
      <w:r>
        <w:rPr>
          <w:noProof/>
          <w:sz w:val="20"/>
        </w:rPr>
        <w:drawing>
          <wp:inline distT="0" distB="0" distL="0" distR="0" wp14:anchorId="3A6443CD" wp14:editId="3389F2FA">
            <wp:extent cx="2271712" cy="1134427"/>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1" cstate="print"/>
                    <a:stretch>
                      <a:fillRect/>
                    </a:stretch>
                  </pic:blipFill>
                  <pic:spPr>
                    <a:xfrm>
                      <a:off x="0" y="0"/>
                      <a:ext cx="2271712" cy="1134427"/>
                    </a:xfrm>
                    <a:prstGeom prst="rect">
                      <a:avLst/>
                    </a:prstGeom>
                  </pic:spPr>
                </pic:pic>
              </a:graphicData>
            </a:graphic>
          </wp:inline>
        </w:drawing>
      </w:r>
      <w:r>
        <w:rPr>
          <w:rFonts w:ascii="Times New Roman"/>
          <w:spacing w:val="70"/>
          <w:sz w:val="20"/>
        </w:rPr>
        <w:t xml:space="preserve"> </w:t>
      </w:r>
      <w:r>
        <w:rPr>
          <w:noProof/>
          <w:spacing w:val="70"/>
          <w:sz w:val="20"/>
        </w:rPr>
        <w:drawing>
          <wp:inline distT="0" distB="0" distL="0" distR="0" wp14:anchorId="4E3B430D" wp14:editId="52882895">
            <wp:extent cx="2277427" cy="1134427"/>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32" cstate="print"/>
                    <a:stretch>
                      <a:fillRect/>
                    </a:stretch>
                  </pic:blipFill>
                  <pic:spPr>
                    <a:xfrm>
                      <a:off x="0" y="0"/>
                      <a:ext cx="2277427" cy="1134427"/>
                    </a:xfrm>
                    <a:prstGeom prst="rect">
                      <a:avLst/>
                    </a:prstGeom>
                  </pic:spPr>
                </pic:pic>
              </a:graphicData>
            </a:graphic>
          </wp:inline>
        </w:drawing>
      </w:r>
    </w:p>
    <w:p w14:paraId="012B32EC" w14:textId="77777777" w:rsidR="00584A8F" w:rsidRPr="00584A8F" w:rsidRDefault="00584A8F" w:rsidP="00584A8F">
      <w:pPr>
        <w:pStyle w:val="Prrafodelista"/>
        <w:widowControl w:val="0"/>
        <w:numPr>
          <w:ilvl w:val="3"/>
          <w:numId w:val="12"/>
        </w:numPr>
        <w:tabs>
          <w:tab w:val="left" w:pos="351"/>
          <w:tab w:val="left" w:pos="3700"/>
        </w:tabs>
        <w:autoSpaceDE w:val="0"/>
        <w:autoSpaceDN w:val="0"/>
        <w:spacing w:before="127" w:after="0" w:line="240" w:lineRule="auto"/>
        <w:ind w:left="351" w:right="2232" w:hanging="351"/>
        <w:contextualSpacing w:val="0"/>
        <w:jc w:val="right"/>
        <w:rPr>
          <w:rFonts w:cs="Arial"/>
          <w:sz w:val="24"/>
          <w:szCs w:val="24"/>
        </w:rPr>
      </w:pPr>
      <w:r w:rsidRPr="00584A8F">
        <w:rPr>
          <w:rFonts w:cs="Arial"/>
          <w:noProof/>
          <w:sz w:val="24"/>
          <w:szCs w:val="24"/>
        </w:rPr>
        <w:drawing>
          <wp:anchor distT="0" distB="0" distL="0" distR="0" simplePos="0" relativeHeight="251663360" behindDoc="1" locked="0" layoutInCell="1" allowOverlap="1" wp14:anchorId="4C89B452" wp14:editId="59D77F9C">
            <wp:simplePos x="0" y="0"/>
            <wp:positionH relativeFrom="page">
              <wp:posOffset>1560052</wp:posOffset>
            </wp:positionH>
            <wp:positionV relativeFrom="paragraph">
              <wp:posOffset>280883</wp:posOffset>
            </wp:positionV>
            <wp:extent cx="2277427" cy="1134427"/>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3" cstate="print"/>
                    <a:stretch>
                      <a:fillRect/>
                    </a:stretch>
                  </pic:blipFill>
                  <pic:spPr>
                    <a:xfrm>
                      <a:off x="0" y="0"/>
                      <a:ext cx="2277427" cy="1134427"/>
                    </a:xfrm>
                    <a:prstGeom prst="rect">
                      <a:avLst/>
                    </a:prstGeom>
                  </pic:spPr>
                </pic:pic>
              </a:graphicData>
            </a:graphic>
          </wp:anchor>
        </w:drawing>
      </w:r>
      <w:r w:rsidRPr="00584A8F">
        <w:rPr>
          <w:rFonts w:cs="Arial"/>
          <w:noProof/>
          <w:sz w:val="24"/>
          <w:szCs w:val="24"/>
        </w:rPr>
        <w:drawing>
          <wp:anchor distT="0" distB="0" distL="0" distR="0" simplePos="0" relativeHeight="251664384" behindDoc="1" locked="0" layoutInCell="1" allowOverlap="1" wp14:anchorId="3B476B00" wp14:editId="3DE0A4FC">
            <wp:simplePos x="0" y="0"/>
            <wp:positionH relativeFrom="page">
              <wp:posOffset>3916738</wp:posOffset>
            </wp:positionH>
            <wp:positionV relativeFrom="paragraph">
              <wp:posOffset>280883</wp:posOffset>
            </wp:positionV>
            <wp:extent cx="2274570" cy="1134427"/>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34" cstate="print"/>
                    <a:stretch>
                      <a:fillRect/>
                    </a:stretch>
                  </pic:blipFill>
                  <pic:spPr>
                    <a:xfrm>
                      <a:off x="0" y="0"/>
                      <a:ext cx="2274570" cy="1134427"/>
                    </a:xfrm>
                    <a:prstGeom prst="rect">
                      <a:avLst/>
                    </a:prstGeom>
                  </pic:spPr>
                </pic:pic>
              </a:graphicData>
            </a:graphic>
          </wp:anchor>
        </w:drawing>
      </w:r>
      <w:r w:rsidRPr="00584A8F">
        <w:rPr>
          <w:rFonts w:cs="Arial"/>
          <w:w w:val="105"/>
          <w:sz w:val="24"/>
          <w:szCs w:val="24"/>
        </w:rPr>
        <w:t>Wordcloud</w:t>
      </w:r>
      <w:r w:rsidRPr="00584A8F">
        <w:rPr>
          <w:rFonts w:cs="Arial"/>
          <w:spacing w:val="4"/>
          <w:w w:val="105"/>
          <w:sz w:val="24"/>
          <w:szCs w:val="24"/>
        </w:rPr>
        <w:t xml:space="preserve"> </w:t>
      </w:r>
      <w:r w:rsidRPr="00584A8F">
        <w:rPr>
          <w:rFonts w:cs="Arial"/>
          <w:spacing w:val="-4"/>
          <w:w w:val="105"/>
          <w:sz w:val="24"/>
          <w:szCs w:val="24"/>
        </w:rPr>
        <w:t>2015</w:t>
      </w:r>
      <w:r w:rsidRPr="00584A8F">
        <w:rPr>
          <w:rFonts w:cs="Arial"/>
          <w:sz w:val="24"/>
          <w:szCs w:val="24"/>
        </w:rPr>
        <w:tab/>
      </w:r>
      <w:r w:rsidRPr="00584A8F">
        <w:rPr>
          <w:rFonts w:cs="Arial"/>
          <w:w w:val="105"/>
          <w:sz w:val="24"/>
          <w:szCs w:val="24"/>
        </w:rPr>
        <w:t>(b)</w:t>
      </w:r>
      <w:r w:rsidRPr="00584A8F">
        <w:rPr>
          <w:rFonts w:cs="Arial"/>
          <w:spacing w:val="26"/>
          <w:w w:val="105"/>
          <w:sz w:val="24"/>
          <w:szCs w:val="24"/>
        </w:rPr>
        <w:t xml:space="preserve"> </w:t>
      </w:r>
      <w:r w:rsidRPr="00584A8F">
        <w:rPr>
          <w:rFonts w:cs="Arial"/>
          <w:w w:val="105"/>
          <w:sz w:val="24"/>
          <w:szCs w:val="24"/>
        </w:rPr>
        <w:t>Wordcloud</w:t>
      </w:r>
      <w:r w:rsidRPr="00584A8F">
        <w:rPr>
          <w:rFonts w:cs="Arial"/>
          <w:spacing w:val="26"/>
          <w:w w:val="105"/>
          <w:sz w:val="24"/>
          <w:szCs w:val="24"/>
        </w:rPr>
        <w:t xml:space="preserve"> </w:t>
      </w:r>
      <w:r w:rsidRPr="00584A8F">
        <w:rPr>
          <w:rFonts w:cs="Arial"/>
          <w:spacing w:val="-4"/>
          <w:w w:val="105"/>
          <w:sz w:val="24"/>
          <w:szCs w:val="24"/>
        </w:rPr>
        <w:t>2016</w:t>
      </w:r>
    </w:p>
    <w:p w14:paraId="714D3D01" w14:textId="77777777" w:rsidR="00584A8F" w:rsidRPr="00584A8F" w:rsidRDefault="00584A8F" w:rsidP="00584A8F">
      <w:pPr>
        <w:tabs>
          <w:tab w:val="left" w:pos="3694"/>
        </w:tabs>
        <w:spacing w:before="123" w:after="47"/>
        <w:ind w:right="2232"/>
        <w:jc w:val="right"/>
        <w:rPr>
          <w:rFonts w:cs="Arial"/>
          <w:sz w:val="24"/>
          <w:szCs w:val="24"/>
        </w:rPr>
      </w:pPr>
      <w:r w:rsidRPr="00584A8F">
        <w:rPr>
          <w:rFonts w:cs="Arial"/>
          <w:w w:val="105"/>
          <w:sz w:val="24"/>
          <w:szCs w:val="24"/>
        </w:rPr>
        <w:t>(c)</w:t>
      </w:r>
      <w:r w:rsidRPr="00584A8F">
        <w:rPr>
          <w:rFonts w:cs="Arial"/>
          <w:spacing w:val="25"/>
          <w:w w:val="105"/>
          <w:sz w:val="24"/>
          <w:szCs w:val="24"/>
        </w:rPr>
        <w:t xml:space="preserve"> </w:t>
      </w:r>
      <w:r w:rsidRPr="00584A8F">
        <w:rPr>
          <w:rFonts w:cs="Arial"/>
          <w:w w:val="105"/>
          <w:sz w:val="24"/>
          <w:szCs w:val="24"/>
        </w:rPr>
        <w:t>Wordcloud</w:t>
      </w:r>
      <w:r w:rsidRPr="00584A8F">
        <w:rPr>
          <w:rFonts w:cs="Arial"/>
          <w:spacing w:val="26"/>
          <w:w w:val="105"/>
          <w:sz w:val="24"/>
          <w:szCs w:val="24"/>
        </w:rPr>
        <w:t xml:space="preserve"> </w:t>
      </w:r>
      <w:r w:rsidRPr="00584A8F">
        <w:rPr>
          <w:rFonts w:cs="Arial"/>
          <w:spacing w:val="-4"/>
          <w:w w:val="105"/>
          <w:sz w:val="24"/>
          <w:szCs w:val="24"/>
        </w:rPr>
        <w:t>2017</w:t>
      </w:r>
      <w:r w:rsidRPr="00584A8F">
        <w:rPr>
          <w:rFonts w:cs="Arial"/>
          <w:sz w:val="24"/>
          <w:szCs w:val="24"/>
        </w:rPr>
        <w:tab/>
      </w:r>
      <w:r w:rsidRPr="00584A8F">
        <w:rPr>
          <w:rFonts w:cs="Arial"/>
          <w:w w:val="105"/>
          <w:sz w:val="24"/>
          <w:szCs w:val="24"/>
        </w:rPr>
        <w:t>(d)</w:t>
      </w:r>
      <w:r w:rsidRPr="00584A8F">
        <w:rPr>
          <w:rFonts w:cs="Arial"/>
          <w:spacing w:val="26"/>
          <w:w w:val="105"/>
          <w:sz w:val="24"/>
          <w:szCs w:val="24"/>
        </w:rPr>
        <w:t xml:space="preserve"> </w:t>
      </w:r>
      <w:r w:rsidRPr="00584A8F">
        <w:rPr>
          <w:rFonts w:cs="Arial"/>
          <w:w w:val="105"/>
          <w:sz w:val="24"/>
          <w:szCs w:val="24"/>
        </w:rPr>
        <w:t>Wordcloud</w:t>
      </w:r>
      <w:r w:rsidRPr="00584A8F">
        <w:rPr>
          <w:rFonts w:cs="Arial"/>
          <w:spacing w:val="26"/>
          <w:w w:val="105"/>
          <w:sz w:val="24"/>
          <w:szCs w:val="24"/>
        </w:rPr>
        <w:t xml:space="preserve"> </w:t>
      </w:r>
      <w:r w:rsidRPr="00584A8F">
        <w:rPr>
          <w:rFonts w:cs="Arial"/>
          <w:spacing w:val="-4"/>
          <w:w w:val="105"/>
          <w:sz w:val="24"/>
          <w:szCs w:val="24"/>
        </w:rPr>
        <w:t>2018</w:t>
      </w:r>
    </w:p>
    <w:p w14:paraId="3B2A5530" w14:textId="77777777" w:rsidR="00584A8F" w:rsidRPr="00584A8F" w:rsidRDefault="00584A8F" w:rsidP="00584A8F">
      <w:pPr>
        <w:ind w:left="880"/>
        <w:rPr>
          <w:rFonts w:cs="Arial"/>
          <w:sz w:val="24"/>
          <w:szCs w:val="24"/>
        </w:rPr>
      </w:pPr>
      <w:r w:rsidRPr="00584A8F">
        <w:rPr>
          <w:rFonts w:cs="Arial"/>
          <w:noProof/>
          <w:position w:val="4"/>
          <w:sz w:val="24"/>
          <w:szCs w:val="24"/>
        </w:rPr>
        <w:drawing>
          <wp:inline distT="0" distB="0" distL="0" distR="0" wp14:anchorId="6E26240C" wp14:editId="4841CBA8">
            <wp:extent cx="2274569" cy="1134427"/>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5" cstate="print"/>
                    <a:stretch>
                      <a:fillRect/>
                    </a:stretch>
                  </pic:blipFill>
                  <pic:spPr>
                    <a:xfrm>
                      <a:off x="0" y="0"/>
                      <a:ext cx="2274569" cy="1134427"/>
                    </a:xfrm>
                    <a:prstGeom prst="rect">
                      <a:avLst/>
                    </a:prstGeom>
                  </pic:spPr>
                </pic:pic>
              </a:graphicData>
            </a:graphic>
          </wp:inline>
        </w:drawing>
      </w:r>
      <w:r w:rsidRPr="00584A8F">
        <w:rPr>
          <w:rFonts w:cs="Arial"/>
          <w:spacing w:val="75"/>
          <w:position w:val="4"/>
          <w:sz w:val="24"/>
          <w:szCs w:val="24"/>
        </w:rPr>
        <w:t xml:space="preserve"> </w:t>
      </w:r>
      <w:r w:rsidRPr="00584A8F">
        <w:rPr>
          <w:rFonts w:cs="Arial"/>
          <w:noProof/>
          <w:spacing w:val="75"/>
          <w:sz w:val="24"/>
          <w:szCs w:val="24"/>
        </w:rPr>
        <w:drawing>
          <wp:inline distT="0" distB="0" distL="0" distR="0" wp14:anchorId="1F2ECA12" wp14:editId="610AC671">
            <wp:extent cx="2505170" cy="1247870"/>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36" cstate="print"/>
                    <a:stretch>
                      <a:fillRect/>
                    </a:stretch>
                  </pic:blipFill>
                  <pic:spPr>
                    <a:xfrm>
                      <a:off x="0" y="0"/>
                      <a:ext cx="2505170" cy="1247870"/>
                    </a:xfrm>
                    <a:prstGeom prst="rect">
                      <a:avLst/>
                    </a:prstGeom>
                  </pic:spPr>
                </pic:pic>
              </a:graphicData>
            </a:graphic>
          </wp:inline>
        </w:drawing>
      </w:r>
    </w:p>
    <w:p w14:paraId="6212E12F" w14:textId="77777777" w:rsidR="00584A8F" w:rsidRPr="00584A8F" w:rsidRDefault="00584A8F" w:rsidP="00584A8F">
      <w:pPr>
        <w:tabs>
          <w:tab w:val="left" w:pos="3849"/>
        </w:tabs>
        <w:spacing w:before="79"/>
        <w:ind w:right="2251"/>
        <w:jc w:val="right"/>
        <w:rPr>
          <w:rFonts w:cs="Arial"/>
          <w:sz w:val="24"/>
          <w:szCs w:val="24"/>
          <w:lang w:val="en-US"/>
        </w:rPr>
      </w:pPr>
      <w:r w:rsidRPr="00584A8F">
        <w:rPr>
          <w:rFonts w:cs="Arial"/>
          <w:w w:val="105"/>
          <w:sz w:val="24"/>
          <w:szCs w:val="24"/>
          <w:lang w:val="en-US"/>
        </w:rPr>
        <w:t>(e)</w:t>
      </w:r>
      <w:r w:rsidRPr="00584A8F">
        <w:rPr>
          <w:rFonts w:cs="Arial"/>
          <w:spacing w:val="17"/>
          <w:w w:val="105"/>
          <w:sz w:val="24"/>
          <w:szCs w:val="24"/>
          <w:lang w:val="en-US"/>
        </w:rPr>
        <w:t xml:space="preserve"> </w:t>
      </w:r>
      <w:r w:rsidRPr="00584A8F">
        <w:rPr>
          <w:rFonts w:cs="Arial"/>
          <w:w w:val="105"/>
          <w:sz w:val="24"/>
          <w:szCs w:val="24"/>
          <w:lang w:val="en-US"/>
        </w:rPr>
        <w:t>Wordcloud</w:t>
      </w:r>
      <w:r w:rsidRPr="00584A8F">
        <w:rPr>
          <w:rFonts w:cs="Arial"/>
          <w:spacing w:val="17"/>
          <w:w w:val="105"/>
          <w:sz w:val="24"/>
          <w:szCs w:val="24"/>
          <w:lang w:val="en-US"/>
        </w:rPr>
        <w:t xml:space="preserve"> </w:t>
      </w:r>
      <w:r w:rsidRPr="00584A8F">
        <w:rPr>
          <w:rFonts w:cs="Arial"/>
          <w:spacing w:val="-4"/>
          <w:w w:val="105"/>
          <w:sz w:val="24"/>
          <w:szCs w:val="24"/>
          <w:lang w:val="en-US"/>
        </w:rPr>
        <w:t>2019</w:t>
      </w:r>
      <w:r w:rsidRPr="00584A8F">
        <w:rPr>
          <w:rFonts w:cs="Arial"/>
          <w:sz w:val="24"/>
          <w:szCs w:val="24"/>
          <w:lang w:val="en-US"/>
        </w:rPr>
        <w:tab/>
      </w:r>
      <w:r w:rsidRPr="00584A8F">
        <w:rPr>
          <w:rFonts w:cs="Arial"/>
          <w:w w:val="105"/>
          <w:sz w:val="24"/>
          <w:szCs w:val="24"/>
          <w:lang w:val="en-US"/>
        </w:rPr>
        <w:t>(f)</w:t>
      </w:r>
      <w:r w:rsidRPr="00584A8F">
        <w:rPr>
          <w:rFonts w:cs="Arial"/>
          <w:spacing w:val="32"/>
          <w:w w:val="105"/>
          <w:sz w:val="24"/>
          <w:szCs w:val="24"/>
          <w:lang w:val="en-US"/>
        </w:rPr>
        <w:t xml:space="preserve"> </w:t>
      </w:r>
      <w:r w:rsidRPr="00584A8F">
        <w:rPr>
          <w:rFonts w:cs="Arial"/>
          <w:w w:val="105"/>
          <w:sz w:val="24"/>
          <w:szCs w:val="24"/>
          <w:lang w:val="en-US"/>
        </w:rPr>
        <w:t>Wordcloud</w:t>
      </w:r>
      <w:r w:rsidRPr="00584A8F">
        <w:rPr>
          <w:rFonts w:cs="Arial"/>
          <w:spacing w:val="33"/>
          <w:w w:val="105"/>
          <w:sz w:val="24"/>
          <w:szCs w:val="24"/>
          <w:lang w:val="en-US"/>
        </w:rPr>
        <w:t xml:space="preserve"> </w:t>
      </w:r>
      <w:r w:rsidRPr="00584A8F">
        <w:rPr>
          <w:rFonts w:cs="Arial"/>
          <w:spacing w:val="-4"/>
          <w:w w:val="105"/>
          <w:sz w:val="24"/>
          <w:szCs w:val="24"/>
          <w:lang w:val="en-US"/>
        </w:rPr>
        <w:t>2020</w:t>
      </w:r>
    </w:p>
    <w:p w14:paraId="0955C49C" w14:textId="2B8D285A" w:rsidR="00584A8F" w:rsidRPr="00584A8F" w:rsidRDefault="00584A8F" w:rsidP="00584A8F">
      <w:pPr>
        <w:pStyle w:val="Textoindependiente"/>
        <w:spacing w:before="195"/>
        <w:ind w:right="357"/>
        <w:jc w:val="center"/>
        <w:rPr>
          <w:rFonts w:ascii="Arial" w:hAnsi="Arial" w:cs="Arial"/>
        </w:rPr>
      </w:pPr>
      <w:r w:rsidRPr="00584A8F">
        <w:rPr>
          <w:rFonts w:ascii="Arial" w:hAnsi="Arial" w:cs="Arial"/>
          <w:w w:val="105"/>
        </w:rPr>
        <w:t>Figure</w:t>
      </w:r>
      <w:r w:rsidRPr="00584A8F">
        <w:rPr>
          <w:rFonts w:ascii="Arial" w:hAnsi="Arial" w:cs="Arial"/>
          <w:spacing w:val="9"/>
          <w:w w:val="105"/>
        </w:rPr>
        <w:t xml:space="preserve"> </w:t>
      </w:r>
      <w:r w:rsidRPr="00584A8F">
        <w:rPr>
          <w:rFonts w:ascii="Arial" w:hAnsi="Arial" w:cs="Arial"/>
          <w:w w:val="105"/>
        </w:rPr>
        <w:t>1</w:t>
      </w:r>
      <w:r w:rsidR="00CF0423">
        <w:rPr>
          <w:rFonts w:ascii="Arial" w:hAnsi="Arial" w:cs="Arial"/>
          <w:w w:val="105"/>
        </w:rPr>
        <w:t>3</w:t>
      </w:r>
      <w:r w:rsidRPr="00584A8F">
        <w:rPr>
          <w:rFonts w:ascii="Arial" w:hAnsi="Arial" w:cs="Arial"/>
          <w:w w:val="105"/>
        </w:rPr>
        <w:t>:</w:t>
      </w:r>
      <w:r w:rsidRPr="00584A8F">
        <w:rPr>
          <w:rFonts w:ascii="Arial" w:hAnsi="Arial" w:cs="Arial"/>
          <w:spacing w:val="31"/>
          <w:w w:val="105"/>
        </w:rPr>
        <w:t xml:space="preserve"> </w:t>
      </w:r>
      <w:r w:rsidRPr="00584A8F">
        <w:rPr>
          <w:rFonts w:ascii="Arial" w:hAnsi="Arial" w:cs="Arial"/>
          <w:w w:val="105"/>
        </w:rPr>
        <w:t>Wordcloud</w:t>
      </w:r>
      <w:r w:rsidRPr="00584A8F">
        <w:rPr>
          <w:rFonts w:ascii="Arial" w:hAnsi="Arial" w:cs="Arial"/>
          <w:spacing w:val="9"/>
          <w:w w:val="105"/>
        </w:rPr>
        <w:t xml:space="preserve"> </w:t>
      </w:r>
      <w:r w:rsidRPr="00584A8F">
        <w:rPr>
          <w:rFonts w:ascii="Arial" w:hAnsi="Arial" w:cs="Arial"/>
          <w:w w:val="105"/>
        </w:rPr>
        <w:t>by</w:t>
      </w:r>
      <w:r w:rsidRPr="00584A8F">
        <w:rPr>
          <w:rFonts w:ascii="Arial" w:hAnsi="Arial" w:cs="Arial"/>
          <w:spacing w:val="9"/>
          <w:w w:val="105"/>
        </w:rPr>
        <w:t xml:space="preserve"> </w:t>
      </w:r>
      <w:r w:rsidRPr="00584A8F">
        <w:rPr>
          <w:rFonts w:ascii="Arial" w:hAnsi="Arial" w:cs="Arial"/>
          <w:spacing w:val="-4"/>
          <w:w w:val="105"/>
        </w:rPr>
        <w:t>Year</w:t>
      </w:r>
    </w:p>
    <w:p w14:paraId="63714FBF" w14:textId="0A8B973F" w:rsidR="00584A8F" w:rsidRPr="000E374A" w:rsidRDefault="00584A8F" w:rsidP="00584A8F">
      <w:pPr>
        <w:spacing w:before="120" w:after="120" w:line="360" w:lineRule="auto"/>
        <w:jc w:val="both"/>
        <w:rPr>
          <w:rFonts w:cs="Arial"/>
          <w:b/>
          <w:bCs/>
          <w:sz w:val="24"/>
          <w:szCs w:val="24"/>
          <w:lang w:val="en-US"/>
        </w:rPr>
      </w:pPr>
      <w:r>
        <w:rPr>
          <w:rFonts w:cs="Arial"/>
          <w:b/>
          <w:bCs/>
          <w:sz w:val="24"/>
          <w:szCs w:val="24"/>
          <w:lang w:val="en-US"/>
        </w:rPr>
        <w:lastRenderedPageBreak/>
        <w:t>C</w:t>
      </w:r>
      <w:r w:rsidRPr="000E374A">
        <w:rPr>
          <w:rFonts w:cs="Arial"/>
          <w:b/>
          <w:bCs/>
          <w:sz w:val="24"/>
          <w:szCs w:val="24"/>
          <w:lang w:val="en-US"/>
        </w:rPr>
        <w:tab/>
      </w:r>
      <w:r w:rsidRPr="00584A8F">
        <w:rPr>
          <w:rFonts w:cs="Arial"/>
          <w:b/>
          <w:bCs/>
          <w:sz w:val="24"/>
          <w:szCs w:val="24"/>
          <w:lang w:val="en-US"/>
        </w:rPr>
        <w:t>Transmission Chanel IRFs: BSVAR Model With 30 Lags</w:t>
      </w:r>
    </w:p>
    <w:p w14:paraId="02242AC3" w14:textId="77777777" w:rsidR="00584A8F" w:rsidRDefault="00584A8F" w:rsidP="00584A8F">
      <w:pPr>
        <w:pStyle w:val="Textoindependiente"/>
        <w:spacing w:before="210"/>
        <w:rPr>
          <w:b/>
          <w:sz w:val="20"/>
        </w:rPr>
      </w:pPr>
      <w:r>
        <w:rPr>
          <w:b/>
          <w:noProof/>
          <w:sz w:val="20"/>
        </w:rPr>
        <w:drawing>
          <wp:anchor distT="0" distB="0" distL="0" distR="0" simplePos="0" relativeHeight="251666432" behindDoc="1" locked="0" layoutInCell="1" allowOverlap="1" wp14:anchorId="4738B904" wp14:editId="661EB16E">
            <wp:simplePos x="0" y="0"/>
            <wp:positionH relativeFrom="page">
              <wp:posOffset>2564990</wp:posOffset>
            </wp:positionH>
            <wp:positionV relativeFrom="paragraph">
              <wp:posOffset>304226</wp:posOffset>
            </wp:positionV>
            <wp:extent cx="2657856" cy="1953768"/>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37" cstate="print"/>
                    <a:stretch>
                      <a:fillRect/>
                    </a:stretch>
                  </pic:blipFill>
                  <pic:spPr>
                    <a:xfrm>
                      <a:off x="0" y="0"/>
                      <a:ext cx="2657856" cy="1953768"/>
                    </a:xfrm>
                    <a:prstGeom prst="rect">
                      <a:avLst/>
                    </a:prstGeom>
                  </pic:spPr>
                </pic:pic>
              </a:graphicData>
            </a:graphic>
          </wp:anchor>
        </w:drawing>
      </w:r>
    </w:p>
    <w:p w14:paraId="40892B2B" w14:textId="77777777" w:rsidR="00584A8F" w:rsidRDefault="00584A8F" w:rsidP="00584A8F">
      <w:pPr>
        <w:pStyle w:val="Textoindependiente"/>
        <w:spacing w:before="96"/>
        <w:rPr>
          <w:b/>
        </w:rPr>
      </w:pPr>
    </w:p>
    <w:p w14:paraId="6949F088" w14:textId="1D237BD3" w:rsidR="00584A8F" w:rsidRPr="00584A8F" w:rsidRDefault="00584A8F" w:rsidP="00584A8F">
      <w:pPr>
        <w:pStyle w:val="Textoindependiente"/>
        <w:ind w:left="593"/>
        <w:rPr>
          <w:rFonts w:ascii="Arial" w:hAnsi="Arial" w:cs="Arial"/>
        </w:rPr>
      </w:pPr>
      <w:r w:rsidRPr="00584A8F">
        <w:rPr>
          <w:rFonts w:ascii="Arial" w:hAnsi="Arial" w:cs="Arial"/>
          <w:w w:val="105"/>
        </w:rPr>
        <w:t>Figure</w:t>
      </w:r>
      <w:r w:rsidRPr="00584A8F">
        <w:rPr>
          <w:rFonts w:ascii="Arial" w:hAnsi="Arial" w:cs="Arial"/>
          <w:spacing w:val="36"/>
          <w:w w:val="105"/>
        </w:rPr>
        <w:t xml:space="preserve"> </w:t>
      </w:r>
      <w:r w:rsidRPr="00584A8F">
        <w:rPr>
          <w:rFonts w:ascii="Arial" w:hAnsi="Arial" w:cs="Arial"/>
          <w:w w:val="105"/>
        </w:rPr>
        <w:t>1</w:t>
      </w:r>
      <w:r w:rsidR="00CF0423">
        <w:rPr>
          <w:rFonts w:ascii="Arial" w:hAnsi="Arial" w:cs="Arial"/>
          <w:w w:val="105"/>
        </w:rPr>
        <w:t>4</w:t>
      </w:r>
      <w:r w:rsidRPr="00584A8F">
        <w:rPr>
          <w:rFonts w:ascii="Arial" w:hAnsi="Arial" w:cs="Arial"/>
          <w:w w:val="105"/>
        </w:rPr>
        <w:t>:</w:t>
      </w:r>
      <w:r w:rsidRPr="00584A8F">
        <w:rPr>
          <w:rFonts w:ascii="Arial" w:hAnsi="Arial" w:cs="Arial"/>
          <w:spacing w:val="67"/>
          <w:w w:val="105"/>
        </w:rPr>
        <w:t xml:space="preserve"> </w:t>
      </w:r>
      <w:r w:rsidRPr="00584A8F">
        <w:rPr>
          <w:rFonts w:ascii="Arial" w:hAnsi="Arial" w:cs="Arial"/>
          <w:w w:val="105"/>
        </w:rPr>
        <w:t>Sentiment</w:t>
      </w:r>
      <w:r w:rsidRPr="00584A8F">
        <w:rPr>
          <w:rFonts w:ascii="Arial" w:hAnsi="Arial" w:cs="Arial"/>
          <w:spacing w:val="36"/>
          <w:w w:val="105"/>
        </w:rPr>
        <w:t xml:space="preserve"> </w:t>
      </w:r>
      <w:r w:rsidRPr="00584A8F">
        <w:rPr>
          <w:rFonts w:ascii="Arial" w:hAnsi="Arial" w:cs="Arial"/>
          <w:w w:val="105"/>
        </w:rPr>
        <w:t>(↑</w:t>
      </w:r>
      <w:r w:rsidRPr="00584A8F">
        <w:rPr>
          <w:rFonts w:ascii="Arial" w:hAnsi="Arial" w:cs="Arial"/>
          <w:spacing w:val="15"/>
          <w:w w:val="105"/>
        </w:rPr>
        <w:t xml:space="preserve"> </w:t>
      </w:r>
      <w:r w:rsidRPr="00584A8F">
        <w:rPr>
          <w:rFonts w:ascii="Arial" w:hAnsi="Arial" w:cs="Arial"/>
          <w:w w:val="105"/>
        </w:rPr>
        <w:t>Uncertainty)</w:t>
      </w:r>
      <w:r w:rsidRPr="00584A8F">
        <w:rPr>
          <w:rFonts w:ascii="Arial" w:hAnsi="Arial" w:cs="Arial"/>
          <w:spacing w:val="37"/>
          <w:w w:val="105"/>
        </w:rPr>
        <w:t xml:space="preserve"> </w:t>
      </w:r>
      <w:r w:rsidRPr="00584A8F">
        <w:rPr>
          <w:rFonts w:ascii="Arial" w:hAnsi="Arial" w:cs="Arial"/>
          <w:w w:val="105"/>
        </w:rPr>
        <w:t>Shock</w:t>
      </w:r>
      <w:r w:rsidRPr="00584A8F">
        <w:rPr>
          <w:rFonts w:ascii="Arial" w:hAnsi="Arial" w:cs="Arial"/>
          <w:spacing w:val="36"/>
          <w:w w:val="105"/>
        </w:rPr>
        <w:t xml:space="preserve"> </w:t>
      </w:r>
      <w:r w:rsidRPr="00584A8F">
        <w:rPr>
          <w:rFonts w:ascii="Arial" w:hAnsi="Arial" w:cs="Arial"/>
          <w:w w:val="105"/>
        </w:rPr>
        <w:t>→</w:t>
      </w:r>
      <w:r w:rsidRPr="00584A8F">
        <w:rPr>
          <w:rFonts w:ascii="Arial" w:hAnsi="Arial" w:cs="Arial"/>
          <w:spacing w:val="15"/>
          <w:w w:val="105"/>
        </w:rPr>
        <w:t xml:space="preserve"> </w:t>
      </w:r>
      <w:r w:rsidRPr="00584A8F">
        <w:rPr>
          <w:rFonts w:ascii="Arial" w:hAnsi="Arial" w:cs="Arial"/>
          <w:w w:val="105"/>
        </w:rPr>
        <w:t>BOB/USDT</w:t>
      </w:r>
      <w:r w:rsidRPr="00584A8F">
        <w:rPr>
          <w:rFonts w:ascii="Arial" w:hAnsi="Arial" w:cs="Arial"/>
          <w:spacing w:val="36"/>
          <w:w w:val="105"/>
        </w:rPr>
        <w:t xml:space="preserve"> </w:t>
      </w:r>
      <w:r w:rsidRPr="00584A8F">
        <w:rPr>
          <w:rFonts w:ascii="Arial" w:hAnsi="Arial" w:cs="Arial"/>
          <w:w w:val="105"/>
        </w:rPr>
        <w:t>y-o-y</w:t>
      </w:r>
      <w:r w:rsidRPr="00584A8F">
        <w:rPr>
          <w:rFonts w:ascii="Arial" w:hAnsi="Arial" w:cs="Arial"/>
          <w:spacing w:val="37"/>
          <w:w w:val="105"/>
        </w:rPr>
        <w:t xml:space="preserve"> </w:t>
      </w:r>
      <w:r w:rsidRPr="00584A8F">
        <w:rPr>
          <w:rFonts w:ascii="Arial" w:hAnsi="Arial" w:cs="Arial"/>
          <w:spacing w:val="-2"/>
          <w:w w:val="105"/>
        </w:rPr>
        <w:t>Depreciation</w:t>
      </w:r>
    </w:p>
    <w:p w14:paraId="34A35CC3" w14:textId="77777777" w:rsidR="00584A8F" w:rsidRPr="00584A8F" w:rsidRDefault="00584A8F" w:rsidP="00584A8F">
      <w:pPr>
        <w:pStyle w:val="Textoindependiente"/>
        <w:rPr>
          <w:rFonts w:ascii="Arial" w:hAnsi="Arial" w:cs="Arial"/>
        </w:rPr>
      </w:pPr>
    </w:p>
    <w:p w14:paraId="7A2A862B" w14:textId="77777777" w:rsidR="00584A8F" w:rsidRPr="00584A8F" w:rsidRDefault="00584A8F" w:rsidP="00584A8F">
      <w:pPr>
        <w:pStyle w:val="Textoindependiente"/>
        <w:spacing w:before="36"/>
        <w:rPr>
          <w:rFonts w:ascii="Arial" w:hAnsi="Arial" w:cs="Arial"/>
        </w:rPr>
      </w:pPr>
      <w:r w:rsidRPr="00584A8F">
        <w:rPr>
          <w:rFonts w:ascii="Arial" w:hAnsi="Arial" w:cs="Arial"/>
          <w:noProof/>
        </w:rPr>
        <w:drawing>
          <wp:anchor distT="0" distB="0" distL="0" distR="0" simplePos="0" relativeHeight="251667456" behindDoc="1" locked="0" layoutInCell="1" allowOverlap="1" wp14:anchorId="4289C724" wp14:editId="3AA9856C">
            <wp:simplePos x="0" y="0"/>
            <wp:positionH relativeFrom="page">
              <wp:posOffset>1200161</wp:posOffset>
            </wp:positionH>
            <wp:positionV relativeFrom="paragraph">
              <wp:posOffset>195618</wp:posOffset>
            </wp:positionV>
            <wp:extent cx="2668523" cy="1950720"/>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38" cstate="print"/>
                    <a:stretch>
                      <a:fillRect/>
                    </a:stretch>
                  </pic:blipFill>
                  <pic:spPr>
                    <a:xfrm>
                      <a:off x="0" y="0"/>
                      <a:ext cx="2668523" cy="1950720"/>
                    </a:xfrm>
                    <a:prstGeom prst="rect">
                      <a:avLst/>
                    </a:prstGeom>
                  </pic:spPr>
                </pic:pic>
              </a:graphicData>
            </a:graphic>
          </wp:anchor>
        </w:drawing>
      </w:r>
      <w:r w:rsidRPr="00584A8F">
        <w:rPr>
          <w:rFonts w:ascii="Arial" w:hAnsi="Arial" w:cs="Arial"/>
          <w:noProof/>
        </w:rPr>
        <w:drawing>
          <wp:anchor distT="0" distB="0" distL="0" distR="0" simplePos="0" relativeHeight="251668480" behindDoc="1" locked="0" layoutInCell="1" allowOverlap="1" wp14:anchorId="147055CE" wp14:editId="349883F2">
            <wp:simplePos x="0" y="0"/>
            <wp:positionH relativeFrom="page">
              <wp:posOffset>4066170</wp:posOffset>
            </wp:positionH>
            <wp:positionV relativeFrom="paragraph">
              <wp:posOffset>193564</wp:posOffset>
            </wp:positionV>
            <wp:extent cx="2616707" cy="1950720"/>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9" cstate="print"/>
                    <a:stretch>
                      <a:fillRect/>
                    </a:stretch>
                  </pic:blipFill>
                  <pic:spPr>
                    <a:xfrm>
                      <a:off x="0" y="0"/>
                      <a:ext cx="2616707" cy="1950720"/>
                    </a:xfrm>
                    <a:prstGeom prst="rect">
                      <a:avLst/>
                    </a:prstGeom>
                  </pic:spPr>
                </pic:pic>
              </a:graphicData>
            </a:graphic>
          </wp:anchor>
        </w:drawing>
      </w:r>
    </w:p>
    <w:p w14:paraId="4C6A1DF3" w14:textId="77777777" w:rsidR="00584A8F" w:rsidRPr="00584A8F" w:rsidRDefault="00584A8F" w:rsidP="00584A8F">
      <w:pPr>
        <w:tabs>
          <w:tab w:val="left" w:pos="4441"/>
        </w:tabs>
        <w:spacing w:before="191"/>
        <w:ind w:right="367"/>
        <w:jc w:val="center"/>
        <w:rPr>
          <w:rFonts w:cs="Arial"/>
          <w:sz w:val="24"/>
          <w:szCs w:val="24"/>
          <w:lang w:val="en-US"/>
        </w:rPr>
      </w:pPr>
      <w:r w:rsidRPr="00584A8F">
        <w:rPr>
          <w:rFonts w:cs="Arial"/>
          <w:w w:val="110"/>
          <w:sz w:val="24"/>
          <w:szCs w:val="24"/>
          <w:lang w:val="en-US"/>
        </w:rPr>
        <w:t>(a)</w:t>
      </w:r>
      <w:r w:rsidRPr="00584A8F">
        <w:rPr>
          <w:rFonts w:cs="Arial"/>
          <w:spacing w:val="-8"/>
          <w:w w:val="110"/>
          <w:sz w:val="24"/>
          <w:szCs w:val="24"/>
          <w:lang w:val="en-US"/>
        </w:rPr>
        <w:t xml:space="preserve"> </w:t>
      </w:r>
      <w:r w:rsidRPr="00584A8F">
        <w:rPr>
          <w:rFonts w:cs="Arial"/>
          <w:w w:val="110"/>
          <w:sz w:val="24"/>
          <w:szCs w:val="24"/>
          <w:lang w:val="en-US"/>
        </w:rPr>
        <w:t>Sentiment</w:t>
      </w:r>
      <w:r w:rsidRPr="00584A8F">
        <w:rPr>
          <w:rFonts w:cs="Arial"/>
          <w:spacing w:val="-7"/>
          <w:w w:val="110"/>
          <w:sz w:val="24"/>
          <w:szCs w:val="24"/>
          <w:lang w:val="en-US"/>
        </w:rPr>
        <w:t xml:space="preserve"> </w:t>
      </w:r>
      <w:r w:rsidRPr="00584A8F">
        <w:rPr>
          <w:rFonts w:cs="Arial"/>
          <w:w w:val="110"/>
          <w:sz w:val="24"/>
          <w:szCs w:val="24"/>
          <w:lang w:val="en-US"/>
        </w:rPr>
        <w:t>(↑</w:t>
      </w:r>
      <w:r w:rsidRPr="00584A8F">
        <w:rPr>
          <w:rFonts w:cs="Arial"/>
          <w:spacing w:val="-19"/>
          <w:w w:val="110"/>
          <w:sz w:val="24"/>
          <w:szCs w:val="24"/>
          <w:lang w:val="en-US"/>
        </w:rPr>
        <w:t xml:space="preserve"> </w:t>
      </w:r>
      <w:r w:rsidRPr="00584A8F">
        <w:rPr>
          <w:rFonts w:cs="Arial"/>
          <w:w w:val="110"/>
          <w:sz w:val="24"/>
          <w:szCs w:val="24"/>
          <w:lang w:val="en-US"/>
        </w:rPr>
        <w:t>Uncertainty)</w:t>
      </w:r>
      <w:r w:rsidRPr="00584A8F">
        <w:rPr>
          <w:rFonts w:cs="Arial"/>
          <w:spacing w:val="-6"/>
          <w:w w:val="110"/>
          <w:sz w:val="24"/>
          <w:szCs w:val="24"/>
          <w:lang w:val="en-US"/>
        </w:rPr>
        <w:t xml:space="preserve"> </w:t>
      </w:r>
      <w:r w:rsidRPr="00584A8F">
        <w:rPr>
          <w:rFonts w:cs="Arial"/>
          <w:spacing w:val="-2"/>
          <w:w w:val="110"/>
          <w:sz w:val="24"/>
          <w:szCs w:val="24"/>
          <w:lang w:val="en-US"/>
        </w:rPr>
        <w:t>Shock</w:t>
      </w:r>
      <w:r w:rsidRPr="00584A8F">
        <w:rPr>
          <w:rFonts w:cs="Arial"/>
          <w:sz w:val="24"/>
          <w:szCs w:val="24"/>
          <w:lang w:val="en-US"/>
        </w:rPr>
        <w:tab/>
      </w:r>
      <w:r w:rsidRPr="00584A8F">
        <w:rPr>
          <w:rFonts w:cs="Arial"/>
          <w:w w:val="110"/>
          <w:sz w:val="24"/>
          <w:szCs w:val="24"/>
          <w:lang w:val="en-US"/>
        </w:rPr>
        <w:t>(b)</w:t>
      </w:r>
      <w:r w:rsidRPr="00584A8F">
        <w:rPr>
          <w:rFonts w:cs="Arial"/>
          <w:spacing w:val="47"/>
          <w:w w:val="110"/>
          <w:sz w:val="24"/>
          <w:szCs w:val="24"/>
          <w:lang w:val="en-US"/>
        </w:rPr>
        <w:t xml:space="preserve"> </w:t>
      </w:r>
      <w:r w:rsidRPr="00584A8F">
        <w:rPr>
          <w:rFonts w:cs="Arial"/>
          <w:w w:val="110"/>
          <w:sz w:val="24"/>
          <w:szCs w:val="24"/>
          <w:lang w:val="en-US"/>
        </w:rPr>
        <w:t>BOB/USDT</w:t>
      </w:r>
      <w:r w:rsidRPr="00584A8F">
        <w:rPr>
          <w:rFonts w:cs="Arial"/>
          <w:spacing w:val="48"/>
          <w:w w:val="110"/>
          <w:sz w:val="24"/>
          <w:szCs w:val="24"/>
          <w:lang w:val="en-US"/>
        </w:rPr>
        <w:t xml:space="preserve"> </w:t>
      </w:r>
      <w:r w:rsidRPr="00584A8F">
        <w:rPr>
          <w:rFonts w:cs="Arial"/>
          <w:w w:val="110"/>
          <w:sz w:val="24"/>
          <w:szCs w:val="24"/>
          <w:lang w:val="en-US"/>
        </w:rPr>
        <w:t>Depreciation</w:t>
      </w:r>
      <w:r w:rsidRPr="00584A8F">
        <w:rPr>
          <w:rFonts w:cs="Arial"/>
          <w:spacing w:val="48"/>
          <w:w w:val="110"/>
          <w:sz w:val="24"/>
          <w:szCs w:val="24"/>
          <w:lang w:val="en-US"/>
        </w:rPr>
        <w:t xml:space="preserve"> </w:t>
      </w:r>
      <w:r w:rsidRPr="00584A8F">
        <w:rPr>
          <w:rFonts w:cs="Arial"/>
          <w:spacing w:val="-4"/>
          <w:w w:val="110"/>
          <w:sz w:val="24"/>
          <w:szCs w:val="24"/>
          <w:lang w:val="en-US"/>
        </w:rPr>
        <w:t>Shock</w:t>
      </w:r>
    </w:p>
    <w:p w14:paraId="1E0BD6B6" w14:textId="65E561F4" w:rsidR="00584A8F" w:rsidRPr="00584A8F" w:rsidRDefault="00584A8F" w:rsidP="00584A8F">
      <w:pPr>
        <w:pStyle w:val="Textoindependiente"/>
        <w:spacing w:before="123"/>
        <w:ind w:right="356"/>
        <w:jc w:val="center"/>
        <w:rPr>
          <w:rFonts w:ascii="Arial" w:hAnsi="Arial" w:cs="Arial"/>
        </w:rPr>
      </w:pPr>
      <w:r w:rsidRPr="00584A8F">
        <w:rPr>
          <w:rFonts w:ascii="Arial" w:hAnsi="Arial" w:cs="Arial"/>
          <w:w w:val="105"/>
        </w:rPr>
        <w:t>Figure</w:t>
      </w:r>
      <w:r w:rsidRPr="00584A8F">
        <w:rPr>
          <w:rFonts w:ascii="Arial" w:hAnsi="Arial" w:cs="Arial"/>
          <w:spacing w:val="18"/>
          <w:w w:val="105"/>
        </w:rPr>
        <w:t xml:space="preserve"> </w:t>
      </w:r>
      <w:r w:rsidRPr="00584A8F">
        <w:rPr>
          <w:rFonts w:ascii="Arial" w:hAnsi="Arial" w:cs="Arial"/>
          <w:w w:val="105"/>
        </w:rPr>
        <w:t>1</w:t>
      </w:r>
      <w:r w:rsidR="00CF0423">
        <w:rPr>
          <w:rFonts w:ascii="Arial" w:hAnsi="Arial" w:cs="Arial"/>
          <w:w w:val="105"/>
        </w:rPr>
        <w:t>5</w:t>
      </w:r>
      <w:r w:rsidRPr="00584A8F">
        <w:rPr>
          <w:rFonts w:ascii="Arial" w:hAnsi="Arial" w:cs="Arial"/>
          <w:w w:val="105"/>
        </w:rPr>
        <w:t>:</w:t>
      </w:r>
      <w:r w:rsidRPr="00584A8F">
        <w:rPr>
          <w:rFonts w:ascii="Arial" w:hAnsi="Arial" w:cs="Arial"/>
          <w:spacing w:val="43"/>
          <w:w w:val="105"/>
        </w:rPr>
        <w:t xml:space="preserve"> </w:t>
      </w:r>
      <w:r w:rsidRPr="00584A8F">
        <w:rPr>
          <w:rFonts w:ascii="Arial" w:hAnsi="Arial" w:cs="Arial"/>
          <w:w w:val="105"/>
        </w:rPr>
        <w:t>Shocks</w:t>
      </w:r>
      <w:r w:rsidRPr="00584A8F">
        <w:rPr>
          <w:rFonts w:ascii="Arial" w:hAnsi="Arial" w:cs="Arial"/>
          <w:spacing w:val="19"/>
          <w:w w:val="105"/>
        </w:rPr>
        <w:t xml:space="preserve"> </w:t>
      </w:r>
      <w:r w:rsidRPr="00584A8F">
        <w:rPr>
          <w:rFonts w:ascii="Arial" w:hAnsi="Arial" w:cs="Arial"/>
          <w:w w:val="105"/>
        </w:rPr>
        <w:t>→</w:t>
      </w:r>
      <w:r w:rsidRPr="00584A8F">
        <w:rPr>
          <w:rFonts w:ascii="Arial" w:hAnsi="Arial" w:cs="Arial"/>
          <w:spacing w:val="-4"/>
          <w:w w:val="105"/>
        </w:rPr>
        <w:t xml:space="preserve"> </w:t>
      </w:r>
      <w:r w:rsidRPr="00584A8F">
        <w:rPr>
          <w:rFonts w:ascii="Arial" w:hAnsi="Arial" w:cs="Arial"/>
          <w:w w:val="105"/>
        </w:rPr>
        <w:t>y-o-y</w:t>
      </w:r>
      <w:r w:rsidRPr="00584A8F">
        <w:rPr>
          <w:rFonts w:ascii="Arial" w:hAnsi="Arial" w:cs="Arial"/>
          <w:spacing w:val="18"/>
          <w:w w:val="105"/>
        </w:rPr>
        <w:t xml:space="preserve"> </w:t>
      </w:r>
      <w:r w:rsidRPr="00584A8F">
        <w:rPr>
          <w:rFonts w:ascii="Arial" w:hAnsi="Arial" w:cs="Arial"/>
          <w:w w:val="105"/>
        </w:rPr>
        <w:t>Inflation</w:t>
      </w:r>
      <w:r w:rsidRPr="00584A8F">
        <w:rPr>
          <w:rFonts w:ascii="Arial" w:hAnsi="Arial" w:cs="Arial"/>
          <w:spacing w:val="19"/>
          <w:w w:val="105"/>
        </w:rPr>
        <w:t xml:space="preserve"> </w:t>
      </w:r>
      <w:r w:rsidRPr="00584A8F">
        <w:rPr>
          <w:rFonts w:ascii="Arial" w:hAnsi="Arial" w:cs="Arial"/>
          <w:spacing w:val="-2"/>
          <w:w w:val="105"/>
        </w:rPr>
        <w:t>Forecast</w:t>
      </w:r>
    </w:p>
    <w:p w14:paraId="55BBBE9D" w14:textId="3E25DE62" w:rsidR="00584A8F" w:rsidRDefault="00584A8F" w:rsidP="00584A8F">
      <w:pPr>
        <w:spacing w:before="120" w:after="120" w:line="360" w:lineRule="auto"/>
        <w:jc w:val="both"/>
        <w:rPr>
          <w:rFonts w:cs="Arial"/>
          <w:sz w:val="24"/>
          <w:szCs w:val="24"/>
          <w:lang w:val="en-US"/>
        </w:rPr>
      </w:pPr>
    </w:p>
    <w:p w14:paraId="6CB6F7FD" w14:textId="77777777" w:rsidR="00584A8F" w:rsidRDefault="00584A8F" w:rsidP="00584A8F">
      <w:pPr>
        <w:spacing w:before="120" w:after="120" w:line="360" w:lineRule="auto"/>
        <w:jc w:val="both"/>
        <w:rPr>
          <w:rFonts w:cs="Arial"/>
          <w:sz w:val="24"/>
          <w:szCs w:val="24"/>
          <w:lang w:val="en-US"/>
        </w:rPr>
      </w:pPr>
    </w:p>
    <w:p w14:paraId="41A01A1E" w14:textId="77777777" w:rsidR="00584A8F" w:rsidRDefault="00584A8F" w:rsidP="00584A8F">
      <w:pPr>
        <w:spacing w:before="120" w:after="120" w:line="360" w:lineRule="auto"/>
        <w:jc w:val="both"/>
        <w:rPr>
          <w:rFonts w:cs="Arial"/>
          <w:sz w:val="24"/>
          <w:szCs w:val="24"/>
          <w:lang w:val="en-US"/>
        </w:rPr>
      </w:pPr>
    </w:p>
    <w:p w14:paraId="217B3CB5" w14:textId="77777777" w:rsidR="00584A8F" w:rsidRDefault="00584A8F" w:rsidP="00584A8F">
      <w:pPr>
        <w:spacing w:before="120" w:after="120" w:line="360" w:lineRule="auto"/>
        <w:jc w:val="both"/>
        <w:rPr>
          <w:rFonts w:cs="Arial"/>
          <w:sz w:val="24"/>
          <w:szCs w:val="24"/>
          <w:lang w:val="en-US"/>
        </w:rPr>
      </w:pPr>
    </w:p>
    <w:p w14:paraId="6E37A636" w14:textId="77777777" w:rsidR="00584A8F" w:rsidRDefault="00584A8F" w:rsidP="00584A8F">
      <w:pPr>
        <w:spacing w:before="120" w:after="120" w:line="360" w:lineRule="auto"/>
        <w:jc w:val="both"/>
        <w:rPr>
          <w:rFonts w:cs="Arial"/>
          <w:sz w:val="24"/>
          <w:szCs w:val="24"/>
          <w:lang w:val="en-US"/>
        </w:rPr>
      </w:pPr>
    </w:p>
    <w:p w14:paraId="09B33B51" w14:textId="77777777" w:rsidR="00584A8F" w:rsidRPr="0018115D" w:rsidRDefault="00584A8F" w:rsidP="00584A8F">
      <w:pPr>
        <w:spacing w:before="120" w:after="120" w:line="360" w:lineRule="auto"/>
        <w:jc w:val="both"/>
        <w:rPr>
          <w:rFonts w:cs="Arial"/>
          <w:sz w:val="24"/>
          <w:szCs w:val="24"/>
          <w:lang w:val="en-US"/>
        </w:rPr>
      </w:pPr>
    </w:p>
    <w:p w14:paraId="4455766E" w14:textId="4C999083" w:rsidR="00584A8F" w:rsidRPr="000E374A" w:rsidRDefault="00584A8F" w:rsidP="00584A8F">
      <w:pPr>
        <w:spacing w:before="120" w:after="120" w:line="360" w:lineRule="auto"/>
        <w:jc w:val="both"/>
        <w:rPr>
          <w:rFonts w:cs="Arial"/>
          <w:b/>
          <w:bCs/>
          <w:sz w:val="24"/>
          <w:szCs w:val="24"/>
          <w:lang w:val="en-US"/>
        </w:rPr>
      </w:pPr>
      <w:r>
        <w:rPr>
          <w:rFonts w:cs="Arial"/>
          <w:b/>
          <w:bCs/>
          <w:sz w:val="24"/>
          <w:szCs w:val="24"/>
          <w:lang w:val="en-US"/>
        </w:rPr>
        <w:lastRenderedPageBreak/>
        <w:t>D</w:t>
      </w:r>
      <w:r w:rsidRPr="000E374A">
        <w:rPr>
          <w:rFonts w:cs="Arial"/>
          <w:b/>
          <w:bCs/>
          <w:sz w:val="24"/>
          <w:szCs w:val="24"/>
          <w:lang w:val="en-US"/>
        </w:rPr>
        <w:tab/>
      </w:r>
      <w:r w:rsidRPr="00584A8F">
        <w:rPr>
          <w:rFonts w:cs="Arial"/>
          <w:b/>
          <w:bCs/>
          <w:sz w:val="24"/>
          <w:szCs w:val="24"/>
          <w:lang w:val="en-US"/>
        </w:rPr>
        <w:t>Transmission Chanel IRFs: BSVAR Model With Interest Rate</w:t>
      </w:r>
    </w:p>
    <w:p w14:paraId="624A2476" w14:textId="77777777" w:rsidR="00584A8F" w:rsidRDefault="00584A8F" w:rsidP="00584A8F">
      <w:pPr>
        <w:pStyle w:val="Textoindependiente"/>
        <w:rPr>
          <w:b/>
          <w:sz w:val="20"/>
        </w:rPr>
      </w:pPr>
    </w:p>
    <w:p w14:paraId="5165BF79" w14:textId="77777777" w:rsidR="00584A8F" w:rsidRDefault="00584A8F" w:rsidP="00584A8F">
      <w:pPr>
        <w:pStyle w:val="Textoindependiente"/>
        <w:rPr>
          <w:b/>
          <w:sz w:val="20"/>
        </w:rPr>
      </w:pPr>
    </w:p>
    <w:p w14:paraId="476F616B" w14:textId="77777777" w:rsidR="00584A8F" w:rsidRPr="00584A8F" w:rsidRDefault="00584A8F" w:rsidP="00584A8F">
      <w:pPr>
        <w:pStyle w:val="Textoindependiente"/>
        <w:spacing w:before="223"/>
        <w:rPr>
          <w:rFonts w:ascii="Arial" w:hAnsi="Arial" w:cs="Arial"/>
          <w:b/>
        </w:rPr>
      </w:pPr>
      <w:r>
        <w:rPr>
          <w:b/>
          <w:noProof/>
          <w:sz w:val="20"/>
        </w:rPr>
        <w:drawing>
          <wp:anchor distT="0" distB="0" distL="0" distR="0" simplePos="0" relativeHeight="251670528" behindDoc="1" locked="0" layoutInCell="1" allowOverlap="1" wp14:anchorId="63DD49DC" wp14:editId="3B6774CF">
            <wp:simplePos x="0" y="0"/>
            <wp:positionH relativeFrom="page">
              <wp:posOffset>2605587</wp:posOffset>
            </wp:positionH>
            <wp:positionV relativeFrom="paragraph">
              <wp:posOffset>311914</wp:posOffset>
            </wp:positionV>
            <wp:extent cx="2618231" cy="1950720"/>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40" cstate="print"/>
                    <a:stretch>
                      <a:fillRect/>
                    </a:stretch>
                  </pic:blipFill>
                  <pic:spPr>
                    <a:xfrm>
                      <a:off x="0" y="0"/>
                      <a:ext cx="2618231" cy="1950720"/>
                    </a:xfrm>
                    <a:prstGeom prst="rect">
                      <a:avLst/>
                    </a:prstGeom>
                  </pic:spPr>
                </pic:pic>
              </a:graphicData>
            </a:graphic>
          </wp:anchor>
        </w:drawing>
      </w:r>
    </w:p>
    <w:p w14:paraId="6F171137" w14:textId="0AE0E738" w:rsidR="00584A8F" w:rsidRPr="00584A8F" w:rsidRDefault="00584A8F" w:rsidP="00584A8F">
      <w:pPr>
        <w:pStyle w:val="Textoindependiente"/>
        <w:ind w:left="593"/>
        <w:rPr>
          <w:rFonts w:ascii="Arial" w:hAnsi="Arial" w:cs="Arial"/>
        </w:rPr>
      </w:pPr>
      <w:r w:rsidRPr="00584A8F">
        <w:rPr>
          <w:rFonts w:ascii="Arial" w:hAnsi="Arial" w:cs="Arial"/>
          <w:w w:val="105"/>
        </w:rPr>
        <w:t>Figure</w:t>
      </w:r>
      <w:r w:rsidRPr="00584A8F">
        <w:rPr>
          <w:rFonts w:ascii="Arial" w:hAnsi="Arial" w:cs="Arial"/>
          <w:spacing w:val="36"/>
          <w:w w:val="105"/>
        </w:rPr>
        <w:t xml:space="preserve"> </w:t>
      </w:r>
      <w:r w:rsidRPr="00584A8F">
        <w:rPr>
          <w:rFonts w:ascii="Arial" w:hAnsi="Arial" w:cs="Arial"/>
          <w:w w:val="105"/>
        </w:rPr>
        <w:t>1</w:t>
      </w:r>
      <w:r w:rsidR="00CF0423">
        <w:rPr>
          <w:rFonts w:ascii="Arial" w:hAnsi="Arial" w:cs="Arial"/>
          <w:w w:val="105"/>
        </w:rPr>
        <w:t>6</w:t>
      </w:r>
      <w:r w:rsidRPr="00584A8F">
        <w:rPr>
          <w:rFonts w:ascii="Arial" w:hAnsi="Arial" w:cs="Arial"/>
          <w:w w:val="105"/>
        </w:rPr>
        <w:t>:</w:t>
      </w:r>
      <w:r w:rsidRPr="00584A8F">
        <w:rPr>
          <w:rFonts w:ascii="Arial" w:hAnsi="Arial" w:cs="Arial"/>
          <w:spacing w:val="67"/>
          <w:w w:val="105"/>
        </w:rPr>
        <w:t xml:space="preserve"> </w:t>
      </w:r>
      <w:r w:rsidRPr="00584A8F">
        <w:rPr>
          <w:rFonts w:ascii="Arial" w:hAnsi="Arial" w:cs="Arial"/>
          <w:w w:val="105"/>
        </w:rPr>
        <w:t>Sentiment</w:t>
      </w:r>
      <w:r w:rsidRPr="00584A8F">
        <w:rPr>
          <w:rFonts w:ascii="Arial" w:hAnsi="Arial" w:cs="Arial"/>
          <w:spacing w:val="36"/>
          <w:w w:val="105"/>
        </w:rPr>
        <w:t xml:space="preserve"> </w:t>
      </w:r>
      <w:r w:rsidRPr="00584A8F">
        <w:rPr>
          <w:rFonts w:ascii="Arial" w:hAnsi="Arial" w:cs="Arial"/>
          <w:w w:val="105"/>
        </w:rPr>
        <w:t>(↑</w:t>
      </w:r>
      <w:r w:rsidRPr="00584A8F">
        <w:rPr>
          <w:rFonts w:ascii="Arial" w:hAnsi="Arial" w:cs="Arial"/>
          <w:spacing w:val="15"/>
          <w:w w:val="105"/>
        </w:rPr>
        <w:t xml:space="preserve"> </w:t>
      </w:r>
      <w:r w:rsidRPr="00584A8F">
        <w:rPr>
          <w:rFonts w:ascii="Arial" w:hAnsi="Arial" w:cs="Arial"/>
          <w:w w:val="105"/>
        </w:rPr>
        <w:t>Uncertainty)</w:t>
      </w:r>
      <w:r w:rsidRPr="00584A8F">
        <w:rPr>
          <w:rFonts w:ascii="Arial" w:hAnsi="Arial" w:cs="Arial"/>
          <w:spacing w:val="37"/>
          <w:w w:val="105"/>
        </w:rPr>
        <w:t xml:space="preserve"> </w:t>
      </w:r>
      <w:r w:rsidRPr="00584A8F">
        <w:rPr>
          <w:rFonts w:ascii="Arial" w:hAnsi="Arial" w:cs="Arial"/>
          <w:w w:val="105"/>
        </w:rPr>
        <w:t>Shock</w:t>
      </w:r>
      <w:r w:rsidRPr="00584A8F">
        <w:rPr>
          <w:rFonts w:ascii="Arial" w:hAnsi="Arial" w:cs="Arial"/>
          <w:spacing w:val="36"/>
          <w:w w:val="105"/>
        </w:rPr>
        <w:t xml:space="preserve"> </w:t>
      </w:r>
      <w:r w:rsidRPr="00584A8F">
        <w:rPr>
          <w:rFonts w:ascii="Arial" w:hAnsi="Arial" w:cs="Arial"/>
          <w:w w:val="105"/>
        </w:rPr>
        <w:t>→</w:t>
      </w:r>
      <w:r w:rsidRPr="00584A8F">
        <w:rPr>
          <w:rFonts w:ascii="Arial" w:hAnsi="Arial" w:cs="Arial"/>
          <w:spacing w:val="15"/>
          <w:w w:val="105"/>
        </w:rPr>
        <w:t xml:space="preserve"> </w:t>
      </w:r>
      <w:r w:rsidRPr="00584A8F">
        <w:rPr>
          <w:rFonts w:ascii="Arial" w:hAnsi="Arial" w:cs="Arial"/>
          <w:w w:val="105"/>
        </w:rPr>
        <w:t>BOB/USDT</w:t>
      </w:r>
      <w:r w:rsidRPr="00584A8F">
        <w:rPr>
          <w:rFonts w:ascii="Arial" w:hAnsi="Arial" w:cs="Arial"/>
          <w:spacing w:val="36"/>
          <w:w w:val="105"/>
        </w:rPr>
        <w:t xml:space="preserve"> </w:t>
      </w:r>
      <w:r w:rsidRPr="00584A8F">
        <w:rPr>
          <w:rFonts w:ascii="Arial" w:hAnsi="Arial" w:cs="Arial"/>
          <w:w w:val="105"/>
        </w:rPr>
        <w:t>y-o-y</w:t>
      </w:r>
      <w:r w:rsidRPr="00584A8F">
        <w:rPr>
          <w:rFonts w:ascii="Arial" w:hAnsi="Arial" w:cs="Arial"/>
          <w:spacing w:val="37"/>
          <w:w w:val="105"/>
        </w:rPr>
        <w:t xml:space="preserve"> </w:t>
      </w:r>
      <w:r w:rsidRPr="00584A8F">
        <w:rPr>
          <w:rFonts w:ascii="Arial" w:hAnsi="Arial" w:cs="Arial"/>
          <w:spacing w:val="-2"/>
          <w:w w:val="105"/>
        </w:rPr>
        <w:t>Depreciation</w:t>
      </w:r>
    </w:p>
    <w:p w14:paraId="62FC6CAE" w14:textId="77777777" w:rsidR="00584A8F" w:rsidRPr="00584A8F" w:rsidRDefault="00584A8F" w:rsidP="00584A8F">
      <w:pPr>
        <w:pStyle w:val="Textoindependiente"/>
        <w:rPr>
          <w:rFonts w:ascii="Arial" w:hAnsi="Arial" w:cs="Arial"/>
        </w:rPr>
      </w:pPr>
    </w:p>
    <w:p w14:paraId="34D1B977" w14:textId="77777777" w:rsidR="00584A8F" w:rsidRPr="00584A8F" w:rsidRDefault="00584A8F" w:rsidP="00584A8F">
      <w:pPr>
        <w:pStyle w:val="Textoindependiente"/>
        <w:spacing w:before="8"/>
        <w:rPr>
          <w:rFonts w:ascii="Arial" w:hAnsi="Arial" w:cs="Arial"/>
        </w:rPr>
      </w:pPr>
      <w:r w:rsidRPr="00584A8F">
        <w:rPr>
          <w:rFonts w:ascii="Arial" w:hAnsi="Arial" w:cs="Arial"/>
          <w:noProof/>
        </w:rPr>
        <w:drawing>
          <wp:anchor distT="0" distB="0" distL="0" distR="0" simplePos="0" relativeHeight="251671552" behindDoc="1" locked="0" layoutInCell="1" allowOverlap="1" wp14:anchorId="0AF8F4A8" wp14:editId="0BCE8124">
            <wp:simplePos x="0" y="0"/>
            <wp:positionH relativeFrom="page">
              <wp:posOffset>1200099</wp:posOffset>
            </wp:positionH>
            <wp:positionV relativeFrom="paragraph">
              <wp:posOffset>175876</wp:posOffset>
            </wp:positionV>
            <wp:extent cx="2668523" cy="1965960"/>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41" cstate="print"/>
                    <a:stretch>
                      <a:fillRect/>
                    </a:stretch>
                  </pic:blipFill>
                  <pic:spPr>
                    <a:xfrm>
                      <a:off x="0" y="0"/>
                      <a:ext cx="2668523" cy="1965960"/>
                    </a:xfrm>
                    <a:prstGeom prst="rect">
                      <a:avLst/>
                    </a:prstGeom>
                  </pic:spPr>
                </pic:pic>
              </a:graphicData>
            </a:graphic>
          </wp:anchor>
        </w:drawing>
      </w:r>
      <w:r w:rsidRPr="00584A8F">
        <w:rPr>
          <w:rFonts w:ascii="Arial" w:hAnsi="Arial" w:cs="Arial"/>
          <w:noProof/>
        </w:rPr>
        <w:drawing>
          <wp:anchor distT="0" distB="0" distL="0" distR="0" simplePos="0" relativeHeight="251672576" behindDoc="1" locked="0" layoutInCell="1" allowOverlap="1" wp14:anchorId="0C3CE6B9" wp14:editId="176BF3DE">
            <wp:simplePos x="0" y="0"/>
            <wp:positionH relativeFrom="page">
              <wp:posOffset>4065921</wp:posOffset>
            </wp:positionH>
            <wp:positionV relativeFrom="paragraph">
              <wp:posOffset>190919</wp:posOffset>
            </wp:positionV>
            <wp:extent cx="2616707" cy="1950720"/>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42" cstate="print"/>
                    <a:stretch>
                      <a:fillRect/>
                    </a:stretch>
                  </pic:blipFill>
                  <pic:spPr>
                    <a:xfrm>
                      <a:off x="0" y="0"/>
                      <a:ext cx="2616707" cy="1950720"/>
                    </a:xfrm>
                    <a:prstGeom prst="rect">
                      <a:avLst/>
                    </a:prstGeom>
                  </pic:spPr>
                </pic:pic>
              </a:graphicData>
            </a:graphic>
          </wp:anchor>
        </w:drawing>
      </w:r>
    </w:p>
    <w:p w14:paraId="6CC4DCA6" w14:textId="77777777" w:rsidR="00584A8F" w:rsidRPr="00584A8F" w:rsidRDefault="00584A8F" w:rsidP="00584A8F">
      <w:pPr>
        <w:tabs>
          <w:tab w:val="left" w:pos="4441"/>
        </w:tabs>
        <w:spacing w:before="189"/>
        <w:ind w:right="367"/>
        <w:jc w:val="center"/>
        <w:rPr>
          <w:rFonts w:cs="Arial"/>
          <w:sz w:val="24"/>
          <w:szCs w:val="24"/>
          <w:lang w:val="en-US"/>
        </w:rPr>
      </w:pPr>
      <w:r w:rsidRPr="00584A8F">
        <w:rPr>
          <w:rFonts w:cs="Arial"/>
          <w:w w:val="110"/>
          <w:sz w:val="24"/>
          <w:szCs w:val="24"/>
          <w:lang w:val="en-US"/>
        </w:rPr>
        <w:t>(a)</w:t>
      </w:r>
      <w:r w:rsidRPr="00584A8F">
        <w:rPr>
          <w:rFonts w:cs="Arial"/>
          <w:spacing w:val="-8"/>
          <w:w w:val="110"/>
          <w:sz w:val="24"/>
          <w:szCs w:val="24"/>
          <w:lang w:val="en-US"/>
        </w:rPr>
        <w:t xml:space="preserve"> </w:t>
      </w:r>
      <w:r w:rsidRPr="00584A8F">
        <w:rPr>
          <w:rFonts w:cs="Arial"/>
          <w:w w:val="110"/>
          <w:sz w:val="24"/>
          <w:szCs w:val="24"/>
          <w:lang w:val="en-US"/>
        </w:rPr>
        <w:t>Sentiment</w:t>
      </w:r>
      <w:r w:rsidRPr="00584A8F">
        <w:rPr>
          <w:rFonts w:cs="Arial"/>
          <w:spacing w:val="-7"/>
          <w:w w:val="110"/>
          <w:sz w:val="24"/>
          <w:szCs w:val="24"/>
          <w:lang w:val="en-US"/>
        </w:rPr>
        <w:t xml:space="preserve"> </w:t>
      </w:r>
      <w:r w:rsidRPr="00584A8F">
        <w:rPr>
          <w:rFonts w:cs="Arial"/>
          <w:w w:val="110"/>
          <w:sz w:val="24"/>
          <w:szCs w:val="24"/>
          <w:lang w:val="en-US"/>
        </w:rPr>
        <w:t>(↑</w:t>
      </w:r>
      <w:r w:rsidRPr="00584A8F">
        <w:rPr>
          <w:rFonts w:cs="Arial"/>
          <w:spacing w:val="-19"/>
          <w:w w:val="110"/>
          <w:sz w:val="24"/>
          <w:szCs w:val="24"/>
          <w:lang w:val="en-US"/>
        </w:rPr>
        <w:t xml:space="preserve"> </w:t>
      </w:r>
      <w:r w:rsidRPr="00584A8F">
        <w:rPr>
          <w:rFonts w:cs="Arial"/>
          <w:w w:val="110"/>
          <w:sz w:val="24"/>
          <w:szCs w:val="24"/>
          <w:lang w:val="en-US"/>
        </w:rPr>
        <w:t>Uncertainty)</w:t>
      </w:r>
      <w:r w:rsidRPr="00584A8F">
        <w:rPr>
          <w:rFonts w:cs="Arial"/>
          <w:spacing w:val="-6"/>
          <w:w w:val="110"/>
          <w:sz w:val="24"/>
          <w:szCs w:val="24"/>
          <w:lang w:val="en-US"/>
        </w:rPr>
        <w:t xml:space="preserve"> </w:t>
      </w:r>
      <w:r w:rsidRPr="00584A8F">
        <w:rPr>
          <w:rFonts w:cs="Arial"/>
          <w:spacing w:val="-2"/>
          <w:w w:val="110"/>
          <w:sz w:val="24"/>
          <w:szCs w:val="24"/>
          <w:lang w:val="en-US"/>
        </w:rPr>
        <w:t>Shock</w:t>
      </w:r>
      <w:r w:rsidRPr="00584A8F">
        <w:rPr>
          <w:rFonts w:cs="Arial"/>
          <w:sz w:val="24"/>
          <w:szCs w:val="24"/>
          <w:lang w:val="en-US"/>
        </w:rPr>
        <w:tab/>
      </w:r>
      <w:r w:rsidRPr="00584A8F">
        <w:rPr>
          <w:rFonts w:cs="Arial"/>
          <w:w w:val="110"/>
          <w:sz w:val="24"/>
          <w:szCs w:val="24"/>
          <w:lang w:val="en-US"/>
        </w:rPr>
        <w:t>(b)</w:t>
      </w:r>
      <w:r w:rsidRPr="00584A8F">
        <w:rPr>
          <w:rFonts w:cs="Arial"/>
          <w:spacing w:val="47"/>
          <w:w w:val="110"/>
          <w:sz w:val="24"/>
          <w:szCs w:val="24"/>
          <w:lang w:val="en-US"/>
        </w:rPr>
        <w:t xml:space="preserve"> </w:t>
      </w:r>
      <w:r w:rsidRPr="00584A8F">
        <w:rPr>
          <w:rFonts w:cs="Arial"/>
          <w:w w:val="110"/>
          <w:sz w:val="24"/>
          <w:szCs w:val="24"/>
          <w:lang w:val="en-US"/>
        </w:rPr>
        <w:t>BOB/USDT</w:t>
      </w:r>
      <w:r w:rsidRPr="00584A8F">
        <w:rPr>
          <w:rFonts w:cs="Arial"/>
          <w:spacing w:val="48"/>
          <w:w w:val="110"/>
          <w:sz w:val="24"/>
          <w:szCs w:val="24"/>
          <w:lang w:val="en-US"/>
        </w:rPr>
        <w:t xml:space="preserve"> </w:t>
      </w:r>
      <w:r w:rsidRPr="00584A8F">
        <w:rPr>
          <w:rFonts w:cs="Arial"/>
          <w:w w:val="110"/>
          <w:sz w:val="24"/>
          <w:szCs w:val="24"/>
          <w:lang w:val="en-US"/>
        </w:rPr>
        <w:t>Depreciation</w:t>
      </w:r>
      <w:r w:rsidRPr="00584A8F">
        <w:rPr>
          <w:rFonts w:cs="Arial"/>
          <w:spacing w:val="48"/>
          <w:w w:val="110"/>
          <w:sz w:val="24"/>
          <w:szCs w:val="24"/>
          <w:lang w:val="en-US"/>
        </w:rPr>
        <w:t xml:space="preserve"> </w:t>
      </w:r>
      <w:r w:rsidRPr="00584A8F">
        <w:rPr>
          <w:rFonts w:cs="Arial"/>
          <w:spacing w:val="-4"/>
          <w:w w:val="110"/>
          <w:sz w:val="24"/>
          <w:szCs w:val="24"/>
          <w:lang w:val="en-US"/>
        </w:rPr>
        <w:t>Shock</w:t>
      </w:r>
    </w:p>
    <w:p w14:paraId="5751C503" w14:textId="048A9F7F" w:rsidR="00584A8F" w:rsidRPr="00CF0423" w:rsidRDefault="00584A8F" w:rsidP="00584A8F">
      <w:pPr>
        <w:jc w:val="center"/>
        <w:rPr>
          <w:sz w:val="24"/>
          <w:szCs w:val="24"/>
          <w:lang w:val="en-US"/>
        </w:rPr>
      </w:pPr>
      <w:r w:rsidRPr="00CF0423">
        <w:rPr>
          <w:w w:val="105"/>
          <w:sz w:val="24"/>
          <w:szCs w:val="24"/>
          <w:lang w:val="en-US"/>
        </w:rPr>
        <w:t>Figure</w:t>
      </w:r>
      <w:r w:rsidRPr="00CF0423">
        <w:rPr>
          <w:spacing w:val="18"/>
          <w:w w:val="105"/>
          <w:sz w:val="24"/>
          <w:szCs w:val="24"/>
          <w:lang w:val="en-US"/>
        </w:rPr>
        <w:t xml:space="preserve"> </w:t>
      </w:r>
      <w:r w:rsidRPr="00CF0423">
        <w:rPr>
          <w:w w:val="105"/>
          <w:sz w:val="24"/>
          <w:szCs w:val="24"/>
          <w:lang w:val="en-US"/>
        </w:rPr>
        <w:t>1</w:t>
      </w:r>
      <w:r w:rsidR="00CF0423">
        <w:rPr>
          <w:w w:val="105"/>
          <w:sz w:val="24"/>
          <w:szCs w:val="24"/>
          <w:lang w:val="en-US"/>
        </w:rPr>
        <w:t>7</w:t>
      </w:r>
      <w:r w:rsidRPr="00CF0423">
        <w:rPr>
          <w:w w:val="105"/>
          <w:sz w:val="24"/>
          <w:szCs w:val="24"/>
          <w:lang w:val="en-US"/>
        </w:rPr>
        <w:t>:</w:t>
      </w:r>
      <w:r w:rsidRPr="00CF0423">
        <w:rPr>
          <w:spacing w:val="43"/>
          <w:w w:val="105"/>
          <w:sz w:val="24"/>
          <w:szCs w:val="24"/>
          <w:lang w:val="en-US"/>
        </w:rPr>
        <w:t xml:space="preserve"> </w:t>
      </w:r>
      <w:r w:rsidRPr="00CF0423">
        <w:rPr>
          <w:w w:val="105"/>
          <w:sz w:val="24"/>
          <w:szCs w:val="24"/>
          <w:lang w:val="en-US"/>
        </w:rPr>
        <w:t>Shocks</w:t>
      </w:r>
      <w:r w:rsidRPr="00CF0423">
        <w:rPr>
          <w:spacing w:val="19"/>
          <w:w w:val="105"/>
          <w:sz w:val="24"/>
          <w:szCs w:val="24"/>
          <w:lang w:val="en-US"/>
        </w:rPr>
        <w:t xml:space="preserve"> </w:t>
      </w:r>
      <w:r w:rsidRPr="00CF0423">
        <w:rPr>
          <w:w w:val="105"/>
          <w:sz w:val="24"/>
          <w:szCs w:val="24"/>
          <w:lang w:val="en-US"/>
        </w:rPr>
        <w:t>→</w:t>
      </w:r>
      <w:r w:rsidRPr="00CF0423">
        <w:rPr>
          <w:spacing w:val="-4"/>
          <w:w w:val="105"/>
          <w:sz w:val="24"/>
          <w:szCs w:val="24"/>
          <w:lang w:val="en-US"/>
        </w:rPr>
        <w:t xml:space="preserve"> </w:t>
      </w:r>
      <w:r w:rsidRPr="00CF0423">
        <w:rPr>
          <w:w w:val="105"/>
          <w:sz w:val="24"/>
          <w:szCs w:val="24"/>
          <w:lang w:val="en-US"/>
        </w:rPr>
        <w:t>y-o-y</w:t>
      </w:r>
      <w:r w:rsidRPr="00CF0423">
        <w:rPr>
          <w:spacing w:val="18"/>
          <w:w w:val="105"/>
          <w:sz w:val="24"/>
          <w:szCs w:val="24"/>
          <w:lang w:val="en-US"/>
        </w:rPr>
        <w:t xml:space="preserve"> </w:t>
      </w:r>
      <w:r w:rsidRPr="00CF0423">
        <w:rPr>
          <w:w w:val="105"/>
          <w:sz w:val="24"/>
          <w:szCs w:val="24"/>
          <w:lang w:val="en-US"/>
        </w:rPr>
        <w:t>Inflation</w:t>
      </w:r>
      <w:r w:rsidRPr="00CF0423">
        <w:rPr>
          <w:spacing w:val="19"/>
          <w:w w:val="105"/>
          <w:sz w:val="24"/>
          <w:szCs w:val="24"/>
          <w:lang w:val="en-US"/>
        </w:rPr>
        <w:t xml:space="preserve"> </w:t>
      </w:r>
      <w:r w:rsidRPr="00CF0423">
        <w:rPr>
          <w:spacing w:val="-2"/>
          <w:w w:val="105"/>
          <w:sz w:val="24"/>
          <w:szCs w:val="24"/>
          <w:lang w:val="en-US"/>
        </w:rPr>
        <w:t>Forecast</w:t>
      </w:r>
    </w:p>
    <w:p w14:paraId="76FFF5E7" w14:textId="77777777" w:rsidR="00584A8F" w:rsidRDefault="00584A8F" w:rsidP="00584A8F">
      <w:pPr>
        <w:pStyle w:val="Textoindependiente"/>
        <w:jc w:val="center"/>
        <w:sectPr w:rsidR="00584A8F" w:rsidSect="00584A8F">
          <w:pgSz w:w="12240" w:h="15840"/>
          <w:pgMar w:top="1480" w:right="1080" w:bottom="1300" w:left="1440" w:header="0" w:footer="1110" w:gutter="0"/>
          <w:cols w:space="720"/>
        </w:sectPr>
      </w:pPr>
    </w:p>
    <w:p w14:paraId="54899BBF" w14:textId="77777777" w:rsidR="00584A8F" w:rsidRDefault="00584A8F" w:rsidP="00584A8F">
      <w:pPr>
        <w:pStyle w:val="Textoindependiente"/>
        <w:ind w:left="277"/>
        <w:rPr>
          <w:sz w:val="20"/>
        </w:rPr>
      </w:pPr>
      <w:r>
        <w:rPr>
          <w:noProof/>
          <w:sz w:val="20"/>
        </w:rPr>
        <w:lastRenderedPageBreak/>
        <w:drawing>
          <wp:inline distT="0" distB="0" distL="0" distR="0" wp14:anchorId="23774904" wp14:editId="3238EF3A">
            <wp:extent cx="5566973" cy="2858071"/>
            <wp:effectExtent l="0" t="0" r="0" b="0"/>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43" cstate="print"/>
                    <a:stretch>
                      <a:fillRect/>
                    </a:stretch>
                  </pic:blipFill>
                  <pic:spPr>
                    <a:xfrm>
                      <a:off x="0" y="0"/>
                      <a:ext cx="5566973" cy="2858071"/>
                    </a:xfrm>
                    <a:prstGeom prst="rect">
                      <a:avLst/>
                    </a:prstGeom>
                  </pic:spPr>
                </pic:pic>
              </a:graphicData>
            </a:graphic>
          </wp:inline>
        </w:drawing>
      </w:r>
    </w:p>
    <w:p w14:paraId="3E28DFE7" w14:textId="77777777" w:rsidR="00584A8F" w:rsidRDefault="00584A8F" w:rsidP="00584A8F">
      <w:pPr>
        <w:pStyle w:val="Textoindependiente"/>
        <w:spacing w:before="121"/>
      </w:pPr>
    </w:p>
    <w:p w14:paraId="28893211" w14:textId="32E6B2E2" w:rsidR="00584A8F" w:rsidRPr="00584A8F" w:rsidRDefault="00584A8F" w:rsidP="00584A8F">
      <w:pPr>
        <w:jc w:val="center"/>
        <w:rPr>
          <w:sz w:val="24"/>
          <w:szCs w:val="24"/>
          <w:lang w:val="en-US"/>
        </w:rPr>
      </w:pPr>
      <w:r w:rsidRPr="00584A8F">
        <w:rPr>
          <w:w w:val="105"/>
          <w:sz w:val="24"/>
          <w:szCs w:val="24"/>
          <w:lang w:val="en-US"/>
        </w:rPr>
        <w:t>Figure</w:t>
      </w:r>
      <w:r w:rsidRPr="00584A8F">
        <w:rPr>
          <w:spacing w:val="11"/>
          <w:w w:val="105"/>
          <w:sz w:val="24"/>
          <w:szCs w:val="24"/>
          <w:lang w:val="en-US"/>
        </w:rPr>
        <w:t xml:space="preserve"> </w:t>
      </w:r>
      <w:r w:rsidRPr="00584A8F">
        <w:rPr>
          <w:w w:val="105"/>
          <w:sz w:val="24"/>
          <w:szCs w:val="24"/>
          <w:lang w:val="en-US"/>
        </w:rPr>
        <w:t>1</w:t>
      </w:r>
      <w:r w:rsidR="00CF0423">
        <w:rPr>
          <w:w w:val="105"/>
          <w:sz w:val="24"/>
          <w:szCs w:val="24"/>
          <w:lang w:val="en-US"/>
        </w:rPr>
        <w:t>8</w:t>
      </w:r>
      <w:r w:rsidRPr="00584A8F">
        <w:rPr>
          <w:w w:val="105"/>
          <w:sz w:val="24"/>
          <w:szCs w:val="24"/>
          <w:lang w:val="en-US"/>
        </w:rPr>
        <w:t>:</w:t>
      </w:r>
      <w:r w:rsidRPr="00584A8F">
        <w:rPr>
          <w:spacing w:val="35"/>
          <w:w w:val="105"/>
          <w:sz w:val="24"/>
          <w:szCs w:val="24"/>
          <w:lang w:val="en-US"/>
        </w:rPr>
        <w:t xml:space="preserve"> </w:t>
      </w:r>
      <w:r w:rsidRPr="00584A8F">
        <w:rPr>
          <w:w w:val="105"/>
          <w:sz w:val="24"/>
          <w:szCs w:val="24"/>
          <w:lang w:val="en-US"/>
        </w:rPr>
        <w:t>Daily-Frequency</w:t>
      </w:r>
      <w:r w:rsidRPr="00584A8F">
        <w:rPr>
          <w:spacing w:val="12"/>
          <w:w w:val="105"/>
          <w:sz w:val="24"/>
          <w:szCs w:val="24"/>
          <w:lang w:val="en-US"/>
        </w:rPr>
        <w:t xml:space="preserve"> </w:t>
      </w:r>
      <w:r w:rsidRPr="00584A8F">
        <w:rPr>
          <w:w w:val="105"/>
          <w:sz w:val="24"/>
          <w:szCs w:val="24"/>
          <w:lang w:val="en-US"/>
        </w:rPr>
        <w:t>Endogenous</w:t>
      </w:r>
      <w:r w:rsidRPr="00584A8F">
        <w:rPr>
          <w:spacing w:val="11"/>
          <w:w w:val="105"/>
          <w:sz w:val="24"/>
          <w:szCs w:val="24"/>
          <w:lang w:val="en-US"/>
        </w:rPr>
        <w:t xml:space="preserve"> </w:t>
      </w:r>
      <w:r w:rsidRPr="00584A8F">
        <w:rPr>
          <w:spacing w:val="-2"/>
          <w:w w:val="105"/>
          <w:sz w:val="24"/>
          <w:szCs w:val="24"/>
          <w:lang w:val="en-US"/>
        </w:rPr>
        <w:t>Variables</w:t>
      </w:r>
      <w:r>
        <w:rPr>
          <w:sz w:val="24"/>
          <w:szCs w:val="24"/>
          <w:lang w:val="en-US"/>
        </w:rPr>
        <w:t xml:space="preserve"> </w:t>
      </w:r>
      <w:r w:rsidRPr="00584A8F">
        <w:rPr>
          <w:sz w:val="24"/>
          <w:szCs w:val="24"/>
          <w:lang w:val="en-US"/>
        </w:rPr>
        <w:t>Transmission Chanel IRFs: BSVAR Model With 30 Lags</w:t>
      </w:r>
    </w:p>
    <w:p w14:paraId="3BBD288B" w14:textId="77777777" w:rsidR="00F750ED" w:rsidRPr="0094715A" w:rsidRDefault="00F750ED" w:rsidP="0094715A">
      <w:pPr>
        <w:spacing w:before="120" w:after="120" w:line="360" w:lineRule="auto"/>
        <w:jc w:val="both"/>
        <w:rPr>
          <w:rFonts w:cs="Arial"/>
          <w:sz w:val="24"/>
          <w:szCs w:val="24"/>
          <w:lang w:val="en-US"/>
        </w:rPr>
      </w:pPr>
    </w:p>
    <w:sectPr w:rsidR="00F750ED" w:rsidRPr="0094715A" w:rsidSect="00495AEE">
      <w:pgSz w:w="12240" w:h="15840"/>
      <w:pgMar w:top="1820" w:right="1080" w:bottom="1300" w:left="1440" w:header="0" w:footer="11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67408B" w14:textId="77777777" w:rsidR="002F68F9" w:rsidRDefault="002F68F9" w:rsidP="00A02F2A">
      <w:pPr>
        <w:spacing w:after="0" w:line="240" w:lineRule="auto"/>
      </w:pPr>
      <w:r>
        <w:separator/>
      </w:r>
    </w:p>
  </w:endnote>
  <w:endnote w:type="continuationSeparator" w:id="0">
    <w:p w14:paraId="7D18C158" w14:textId="77777777" w:rsidR="002F68F9" w:rsidRDefault="002F68F9" w:rsidP="00A02F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2E6B3D" w14:textId="77777777" w:rsidR="002F68F9" w:rsidRDefault="002F68F9" w:rsidP="00A02F2A">
      <w:pPr>
        <w:spacing w:after="0" w:line="240" w:lineRule="auto"/>
      </w:pPr>
      <w:r>
        <w:separator/>
      </w:r>
    </w:p>
  </w:footnote>
  <w:footnote w:type="continuationSeparator" w:id="0">
    <w:p w14:paraId="32D52522" w14:textId="77777777" w:rsidR="002F68F9" w:rsidRDefault="002F68F9" w:rsidP="00A02F2A">
      <w:pPr>
        <w:spacing w:after="0" w:line="240" w:lineRule="auto"/>
      </w:pPr>
      <w:r>
        <w:continuationSeparator/>
      </w:r>
    </w:p>
  </w:footnote>
  <w:footnote w:id="1">
    <w:p w14:paraId="2748505E" w14:textId="77777777" w:rsidR="00E27CA1" w:rsidRPr="00E27CA1" w:rsidRDefault="00E27CA1" w:rsidP="00E27CA1">
      <w:pPr>
        <w:pStyle w:val="Textonotapie"/>
        <w:rPr>
          <w:lang w:val="en-US"/>
        </w:rPr>
      </w:pPr>
      <w:r w:rsidRPr="00E27CA1">
        <w:rPr>
          <w:rStyle w:val="Refdenotaalpie"/>
          <w:lang w:val="en-US"/>
        </w:rPr>
        <w:t>*</w:t>
      </w:r>
      <w:r w:rsidRPr="00E27CA1">
        <w:rPr>
          <w:lang w:val="en-US"/>
        </w:rPr>
        <w:t xml:space="preserve"> The opinions expressed in this paper are those of the authors and do not necessarily reflect the views</w:t>
      </w:r>
    </w:p>
    <w:p w14:paraId="6C24B8D1" w14:textId="1C3FFFFD" w:rsidR="00E27CA1" w:rsidRPr="00E27CA1" w:rsidRDefault="00E27CA1" w:rsidP="00E27CA1">
      <w:pPr>
        <w:pStyle w:val="Textonotapie"/>
        <w:rPr>
          <w:lang w:val="en-US"/>
        </w:rPr>
      </w:pPr>
      <w:r w:rsidRPr="00E27CA1">
        <w:rPr>
          <w:lang w:val="en-US"/>
        </w:rPr>
        <w:t>of their affiliated institutions. All remaining errors are our own.</w:t>
      </w:r>
    </w:p>
  </w:footnote>
  <w:footnote w:id="2">
    <w:p w14:paraId="7E703E8C" w14:textId="0BD14B9B" w:rsidR="00E27CA1" w:rsidRPr="00E27CA1" w:rsidRDefault="00E27CA1">
      <w:pPr>
        <w:pStyle w:val="Textonotapie"/>
      </w:pPr>
      <w:r w:rsidRPr="00E27CA1">
        <w:rPr>
          <w:rStyle w:val="Refdenotaalpie"/>
          <w:lang w:val="en-US"/>
        </w:rPr>
        <w:t>╪</w:t>
      </w:r>
      <w:r w:rsidRPr="00E27CA1">
        <w:rPr>
          <w:lang w:val="en-US"/>
        </w:rPr>
        <w:t xml:space="preserve"> Analytics, Values and Intelligence Laboratory (AVI-Lab). </w:t>
      </w:r>
      <w:r w:rsidRPr="00E27CA1">
        <w:t>Email: osmar.economics@gmail.com</w:t>
      </w:r>
    </w:p>
  </w:footnote>
  <w:footnote w:id="3">
    <w:p w14:paraId="2214E379" w14:textId="34BB149B" w:rsidR="00E27CA1" w:rsidRDefault="00E27CA1">
      <w:pPr>
        <w:pStyle w:val="Textonotapie"/>
      </w:pPr>
      <w:r>
        <w:rPr>
          <w:rStyle w:val="Refdenotaalpie"/>
        </w:rPr>
        <w:t>♠</w:t>
      </w:r>
      <w:r>
        <w:t xml:space="preserve"> </w:t>
      </w:r>
      <w:r w:rsidRPr="00E27CA1">
        <w:t>Ministerio de Economía y Finanzas Públicas. Email: cmhuanto@gmail.com</w:t>
      </w:r>
    </w:p>
  </w:footnote>
  <w:footnote w:id="4">
    <w:p w14:paraId="788FE969" w14:textId="08364AED" w:rsidR="00A02F2A" w:rsidRPr="00E27CA1" w:rsidRDefault="00A02F2A">
      <w:pPr>
        <w:pStyle w:val="Textonotapie"/>
      </w:pPr>
      <w:r>
        <w:rPr>
          <w:rStyle w:val="Refdenotaalpie"/>
        </w:rPr>
        <w:footnoteRef/>
      </w:r>
      <w:r w:rsidRPr="00E27CA1">
        <w:t xml:space="preserve"> See </w:t>
      </w:r>
      <w:hyperlink r:id="rId1" w:history="1">
        <w:r w:rsidRPr="00E27CA1">
          <w:rPr>
            <w:rStyle w:val="Hipervnculo"/>
          </w:rPr>
          <w:t>La Prensa 2025-04-07</w:t>
        </w:r>
      </w:hyperlink>
      <w:r w:rsidRPr="00E27CA1">
        <w:t>.</w:t>
      </w:r>
    </w:p>
  </w:footnote>
  <w:footnote w:id="5">
    <w:p w14:paraId="5D93F931" w14:textId="70ADB9BD" w:rsidR="007035C8" w:rsidRPr="00CF0423" w:rsidRDefault="007035C8">
      <w:pPr>
        <w:pStyle w:val="Textonotapie"/>
        <w:rPr>
          <w:lang w:val="en-US"/>
        </w:rPr>
      </w:pPr>
      <w:r>
        <w:rPr>
          <w:rStyle w:val="Refdenotaalpie"/>
        </w:rPr>
        <w:footnoteRef/>
      </w:r>
      <w:r w:rsidRPr="00CF0423">
        <w:rPr>
          <w:lang w:val="en-US"/>
        </w:rPr>
        <w:t xml:space="preserve"> See </w:t>
      </w:r>
      <w:hyperlink r:id="rId2" w:history="1">
        <w:r w:rsidRPr="00CF0423">
          <w:rPr>
            <w:rStyle w:val="Hipervnculo"/>
            <w:lang w:val="en-US"/>
          </w:rPr>
          <w:t>La Razón 2025-01-11</w:t>
        </w:r>
      </w:hyperlink>
    </w:p>
  </w:footnote>
  <w:footnote w:id="6">
    <w:p w14:paraId="3D58F395" w14:textId="353AA6DB" w:rsidR="007035C8" w:rsidRPr="007035C8" w:rsidRDefault="007035C8">
      <w:pPr>
        <w:pStyle w:val="Textonotapie"/>
        <w:rPr>
          <w:lang w:val="en-US"/>
        </w:rPr>
      </w:pPr>
      <w:r>
        <w:rPr>
          <w:rStyle w:val="Refdenotaalpie"/>
        </w:rPr>
        <w:footnoteRef/>
      </w:r>
      <w:r w:rsidRPr="007035C8">
        <w:rPr>
          <w:lang w:val="en-US"/>
        </w:rPr>
        <w:t xml:space="preserve"> Data from Bolivia's National Institute of Statistics.</w:t>
      </w:r>
    </w:p>
  </w:footnote>
  <w:footnote w:id="7">
    <w:p w14:paraId="6B2FED68" w14:textId="221F57B7" w:rsidR="007035C8" w:rsidRPr="0018115D" w:rsidRDefault="007035C8">
      <w:pPr>
        <w:pStyle w:val="Textonotapie"/>
        <w:rPr>
          <w:lang w:val="en-US"/>
        </w:rPr>
      </w:pPr>
      <w:r>
        <w:rPr>
          <w:rStyle w:val="Refdenotaalpie"/>
        </w:rPr>
        <w:footnoteRef/>
      </w:r>
      <w:r w:rsidRPr="0018115D">
        <w:rPr>
          <w:lang w:val="en-US"/>
        </w:rPr>
        <w:t xml:space="preserve"> See </w:t>
      </w:r>
      <w:hyperlink r:id="rId3" w:history="1">
        <w:r w:rsidRPr="0018115D">
          <w:rPr>
            <w:rStyle w:val="Hipervnculo"/>
            <w:lang w:val="en-US"/>
          </w:rPr>
          <w:t>El Deber 2025-04-24</w:t>
        </w:r>
      </w:hyperlink>
    </w:p>
  </w:footnote>
  <w:footnote w:id="8">
    <w:p w14:paraId="1895A865" w14:textId="474C399D" w:rsidR="00495AEE" w:rsidRPr="00495AEE" w:rsidRDefault="00495AEE">
      <w:pPr>
        <w:pStyle w:val="Textonotapie"/>
        <w:rPr>
          <w:sz w:val="16"/>
          <w:szCs w:val="16"/>
          <w:lang w:val="en-US"/>
        </w:rPr>
      </w:pPr>
      <w:r w:rsidRPr="00495AEE">
        <w:rPr>
          <w:rStyle w:val="Refdenotaalpie"/>
        </w:rPr>
        <w:footnoteRef/>
      </w:r>
      <w:r w:rsidRPr="00495AEE">
        <w:rPr>
          <w:lang w:val="en-US"/>
        </w:rPr>
        <w:t xml:space="preserve"> </w:t>
      </w:r>
      <w:r w:rsidRPr="00495AEE">
        <w:rPr>
          <w:rFonts w:cs="Arial"/>
          <w:lang w:val="en-US"/>
        </w:rPr>
        <w:t>Specifically, we use the “</w:t>
      </w:r>
      <w:r w:rsidRPr="00495AEE">
        <w:rPr>
          <w:rFonts w:cs="Arial"/>
          <w:i/>
          <w:iCs/>
          <w:lang w:val="en-US"/>
        </w:rPr>
        <w:t>interpolate(method='time')</w:t>
      </w:r>
      <w:r w:rsidRPr="00495AEE">
        <w:rPr>
          <w:rFonts w:cs="Arial"/>
          <w:lang w:val="en-US"/>
        </w:rPr>
        <w:t>” function from the pandas package.</w:t>
      </w:r>
    </w:p>
  </w:footnote>
  <w:footnote w:id="9">
    <w:p w14:paraId="7714A636" w14:textId="19C56E96" w:rsidR="00310F09" w:rsidRPr="00310F09" w:rsidRDefault="00310F09">
      <w:pPr>
        <w:pStyle w:val="Textonotapie"/>
        <w:rPr>
          <w:lang w:val="en-US"/>
        </w:rPr>
      </w:pPr>
      <w:r>
        <w:rPr>
          <w:rStyle w:val="Refdenotaalpie"/>
        </w:rPr>
        <w:footnoteRef/>
      </w:r>
      <w:r w:rsidRPr="00310F09">
        <w:rPr>
          <w:lang w:val="en-US"/>
        </w:rPr>
        <w:t xml:space="preserve"> A working paper is in preparation detailing the full estimation procedure and methodological adaptations for Bolivia.</w:t>
      </w:r>
    </w:p>
  </w:footnote>
  <w:footnote w:id="10">
    <w:p w14:paraId="700DAA9D" w14:textId="00B28E4D" w:rsidR="00A86D28" w:rsidRPr="00A86D28" w:rsidRDefault="00A86D28">
      <w:pPr>
        <w:pStyle w:val="Textonotapie"/>
        <w:rPr>
          <w:lang w:val="en-US"/>
        </w:rPr>
      </w:pPr>
      <w:r>
        <w:rPr>
          <w:rStyle w:val="Refdenotaalpie"/>
        </w:rPr>
        <w:footnoteRef/>
      </w:r>
      <w:r w:rsidRPr="00A86D28">
        <w:rPr>
          <w:lang w:val="en-US"/>
        </w:rPr>
        <w:t xml:space="preserve"> Results of the distributional tests are available upon request.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67D99"/>
    <w:multiLevelType w:val="hybridMultilevel"/>
    <w:tmpl w:val="1CCE824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1940718"/>
    <w:multiLevelType w:val="hybridMultilevel"/>
    <w:tmpl w:val="8626CA2C"/>
    <w:lvl w:ilvl="0" w:tplc="0409000F">
      <w:start w:val="1"/>
      <w:numFmt w:val="decimal"/>
      <w:lvlText w:val="%1."/>
      <w:lvlJc w:val="left"/>
      <w:pPr>
        <w:ind w:left="1080" w:hanging="360"/>
      </w:p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2" w15:restartNumberingAfterBreak="0">
    <w:nsid w:val="11EB21AE"/>
    <w:multiLevelType w:val="hybridMultilevel"/>
    <w:tmpl w:val="79C4CAD4"/>
    <w:lvl w:ilvl="0" w:tplc="0409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 w15:restartNumberingAfterBreak="0">
    <w:nsid w:val="1CAC397E"/>
    <w:multiLevelType w:val="hybridMultilevel"/>
    <w:tmpl w:val="1CCE824A"/>
    <w:lvl w:ilvl="0" w:tplc="E5D0EC20">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 w15:restartNumberingAfterBreak="0">
    <w:nsid w:val="22BE1A14"/>
    <w:multiLevelType w:val="hybridMultilevel"/>
    <w:tmpl w:val="2DB6F5EC"/>
    <w:lvl w:ilvl="0" w:tplc="04090011">
      <w:start w:val="1"/>
      <w:numFmt w:val="decimal"/>
      <w:lvlText w:val="%1)"/>
      <w:lvlJc w:val="left"/>
      <w:pPr>
        <w:ind w:left="720" w:hanging="360"/>
      </w:p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 w15:restartNumberingAfterBreak="0">
    <w:nsid w:val="2A3D3049"/>
    <w:multiLevelType w:val="hybridMultilevel"/>
    <w:tmpl w:val="42C4D792"/>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 w15:restartNumberingAfterBreak="0">
    <w:nsid w:val="33700C7A"/>
    <w:multiLevelType w:val="multilevel"/>
    <w:tmpl w:val="B5D677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84E5332"/>
    <w:multiLevelType w:val="hybridMultilevel"/>
    <w:tmpl w:val="D56C129C"/>
    <w:lvl w:ilvl="0" w:tplc="0409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 w15:restartNumberingAfterBreak="0">
    <w:nsid w:val="3CD9144A"/>
    <w:multiLevelType w:val="hybridMultilevel"/>
    <w:tmpl w:val="33104D02"/>
    <w:lvl w:ilvl="0" w:tplc="FFFFFFFF">
      <w:start w:val="1"/>
      <w:numFmt w:val="upperLetter"/>
      <w:lvlText w:val="%1"/>
      <w:lvlJc w:val="left"/>
      <w:pPr>
        <w:ind w:left="823" w:hanging="680"/>
        <w:jc w:val="left"/>
      </w:pPr>
      <w:rPr>
        <w:rFonts w:ascii="Calibri" w:eastAsia="Calibri" w:hAnsi="Calibri" w:cs="Calibri" w:hint="default"/>
        <w:b/>
        <w:bCs/>
        <w:i w:val="0"/>
        <w:iCs w:val="0"/>
        <w:spacing w:val="0"/>
        <w:w w:val="141"/>
        <w:sz w:val="34"/>
        <w:szCs w:val="34"/>
        <w:lang w:val="en-US" w:eastAsia="en-US" w:bidi="ar-SA"/>
      </w:rPr>
    </w:lvl>
    <w:lvl w:ilvl="1" w:tplc="FFFFFFFF">
      <w:start w:val="1"/>
      <w:numFmt w:val="decimal"/>
      <w:lvlText w:val="%2."/>
      <w:lvlJc w:val="left"/>
      <w:pPr>
        <w:ind w:left="729" w:hanging="300"/>
        <w:jc w:val="left"/>
      </w:pPr>
      <w:rPr>
        <w:rFonts w:ascii="Calibri" w:eastAsia="Calibri" w:hAnsi="Calibri" w:cs="Calibri" w:hint="default"/>
        <w:b w:val="0"/>
        <w:bCs w:val="0"/>
        <w:i w:val="0"/>
        <w:iCs w:val="0"/>
        <w:spacing w:val="0"/>
        <w:w w:val="99"/>
        <w:sz w:val="24"/>
        <w:szCs w:val="24"/>
        <w:lang w:val="en-US" w:eastAsia="en-US" w:bidi="ar-SA"/>
      </w:rPr>
    </w:lvl>
    <w:lvl w:ilvl="2" w:tplc="FFFFFFFF">
      <w:numFmt w:val="bullet"/>
      <w:lvlText w:val="•"/>
      <w:lvlJc w:val="left"/>
      <w:pPr>
        <w:ind w:left="1244" w:hanging="235"/>
      </w:pPr>
      <w:rPr>
        <w:rFonts w:ascii="Arial MT" w:eastAsia="Arial MT" w:hAnsi="Arial MT" w:cs="Arial MT" w:hint="default"/>
        <w:b w:val="0"/>
        <w:bCs w:val="0"/>
        <w:i w:val="0"/>
        <w:iCs w:val="0"/>
        <w:spacing w:val="0"/>
        <w:w w:val="139"/>
        <w:sz w:val="24"/>
        <w:szCs w:val="24"/>
        <w:lang w:val="en-US" w:eastAsia="en-US" w:bidi="ar-SA"/>
      </w:rPr>
    </w:lvl>
    <w:lvl w:ilvl="3" w:tplc="FFFFFFFF">
      <w:start w:val="1"/>
      <w:numFmt w:val="lowerLetter"/>
      <w:lvlText w:val="(%4)"/>
      <w:lvlJc w:val="left"/>
      <w:pPr>
        <w:ind w:left="2232" w:hanging="352"/>
        <w:jc w:val="left"/>
      </w:pPr>
      <w:rPr>
        <w:rFonts w:ascii="Calibri" w:eastAsia="Calibri" w:hAnsi="Calibri" w:cs="Calibri" w:hint="default"/>
        <w:b w:val="0"/>
        <w:bCs w:val="0"/>
        <w:i w:val="0"/>
        <w:iCs w:val="0"/>
        <w:spacing w:val="0"/>
        <w:w w:val="116"/>
        <w:sz w:val="22"/>
        <w:szCs w:val="22"/>
        <w:lang w:val="en-US" w:eastAsia="en-US" w:bidi="ar-SA"/>
      </w:rPr>
    </w:lvl>
    <w:lvl w:ilvl="4" w:tplc="FFFFFFFF">
      <w:numFmt w:val="bullet"/>
      <w:lvlText w:val="•"/>
      <w:lvlJc w:val="left"/>
      <w:pPr>
        <w:ind w:left="3308" w:hanging="352"/>
      </w:pPr>
      <w:rPr>
        <w:rFonts w:hint="default"/>
        <w:lang w:val="en-US" w:eastAsia="en-US" w:bidi="ar-SA"/>
      </w:rPr>
    </w:lvl>
    <w:lvl w:ilvl="5" w:tplc="FFFFFFFF">
      <w:numFmt w:val="bullet"/>
      <w:lvlText w:val="•"/>
      <w:lvlJc w:val="left"/>
      <w:pPr>
        <w:ind w:left="4377" w:hanging="352"/>
      </w:pPr>
      <w:rPr>
        <w:rFonts w:hint="default"/>
        <w:lang w:val="en-US" w:eastAsia="en-US" w:bidi="ar-SA"/>
      </w:rPr>
    </w:lvl>
    <w:lvl w:ilvl="6" w:tplc="FFFFFFFF">
      <w:numFmt w:val="bullet"/>
      <w:lvlText w:val="•"/>
      <w:lvlJc w:val="left"/>
      <w:pPr>
        <w:ind w:left="5445" w:hanging="352"/>
      </w:pPr>
      <w:rPr>
        <w:rFonts w:hint="default"/>
        <w:lang w:val="en-US" w:eastAsia="en-US" w:bidi="ar-SA"/>
      </w:rPr>
    </w:lvl>
    <w:lvl w:ilvl="7" w:tplc="FFFFFFFF">
      <w:numFmt w:val="bullet"/>
      <w:lvlText w:val="•"/>
      <w:lvlJc w:val="left"/>
      <w:pPr>
        <w:ind w:left="6514" w:hanging="352"/>
      </w:pPr>
      <w:rPr>
        <w:rFonts w:hint="default"/>
        <w:lang w:val="en-US" w:eastAsia="en-US" w:bidi="ar-SA"/>
      </w:rPr>
    </w:lvl>
    <w:lvl w:ilvl="8" w:tplc="FFFFFFFF">
      <w:numFmt w:val="bullet"/>
      <w:lvlText w:val="•"/>
      <w:lvlJc w:val="left"/>
      <w:pPr>
        <w:ind w:left="7582" w:hanging="352"/>
      </w:pPr>
      <w:rPr>
        <w:rFonts w:hint="default"/>
        <w:lang w:val="en-US" w:eastAsia="en-US" w:bidi="ar-SA"/>
      </w:rPr>
    </w:lvl>
  </w:abstractNum>
  <w:abstractNum w:abstractNumId="9" w15:restartNumberingAfterBreak="0">
    <w:nsid w:val="4E0D128D"/>
    <w:multiLevelType w:val="hybridMultilevel"/>
    <w:tmpl w:val="EF8EA202"/>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3146A0A"/>
    <w:multiLevelType w:val="hybridMultilevel"/>
    <w:tmpl w:val="1CCE824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3B87F86"/>
    <w:multiLevelType w:val="hybridMultilevel"/>
    <w:tmpl w:val="33104D02"/>
    <w:lvl w:ilvl="0" w:tplc="FFFFFFFF">
      <w:start w:val="1"/>
      <w:numFmt w:val="upperLetter"/>
      <w:lvlText w:val="%1"/>
      <w:lvlJc w:val="left"/>
      <w:pPr>
        <w:ind w:left="823" w:hanging="680"/>
        <w:jc w:val="left"/>
      </w:pPr>
      <w:rPr>
        <w:rFonts w:ascii="Calibri" w:eastAsia="Calibri" w:hAnsi="Calibri" w:cs="Calibri" w:hint="default"/>
        <w:b/>
        <w:bCs/>
        <w:i w:val="0"/>
        <w:iCs w:val="0"/>
        <w:spacing w:val="0"/>
        <w:w w:val="141"/>
        <w:sz w:val="34"/>
        <w:szCs w:val="34"/>
        <w:lang w:val="en-US" w:eastAsia="en-US" w:bidi="ar-SA"/>
      </w:rPr>
    </w:lvl>
    <w:lvl w:ilvl="1" w:tplc="FFFFFFFF">
      <w:start w:val="1"/>
      <w:numFmt w:val="decimal"/>
      <w:lvlText w:val="%2."/>
      <w:lvlJc w:val="left"/>
      <w:pPr>
        <w:ind w:left="729" w:hanging="300"/>
        <w:jc w:val="left"/>
      </w:pPr>
      <w:rPr>
        <w:rFonts w:ascii="Calibri" w:eastAsia="Calibri" w:hAnsi="Calibri" w:cs="Calibri" w:hint="default"/>
        <w:b w:val="0"/>
        <w:bCs w:val="0"/>
        <w:i w:val="0"/>
        <w:iCs w:val="0"/>
        <w:spacing w:val="0"/>
        <w:w w:val="99"/>
        <w:sz w:val="24"/>
        <w:szCs w:val="24"/>
        <w:lang w:val="en-US" w:eastAsia="en-US" w:bidi="ar-SA"/>
      </w:rPr>
    </w:lvl>
    <w:lvl w:ilvl="2" w:tplc="FFFFFFFF">
      <w:numFmt w:val="bullet"/>
      <w:lvlText w:val="•"/>
      <w:lvlJc w:val="left"/>
      <w:pPr>
        <w:ind w:left="1244" w:hanging="235"/>
      </w:pPr>
      <w:rPr>
        <w:rFonts w:ascii="Arial MT" w:eastAsia="Arial MT" w:hAnsi="Arial MT" w:cs="Arial MT" w:hint="default"/>
        <w:b w:val="0"/>
        <w:bCs w:val="0"/>
        <w:i w:val="0"/>
        <w:iCs w:val="0"/>
        <w:spacing w:val="0"/>
        <w:w w:val="139"/>
        <w:sz w:val="24"/>
        <w:szCs w:val="24"/>
        <w:lang w:val="en-US" w:eastAsia="en-US" w:bidi="ar-SA"/>
      </w:rPr>
    </w:lvl>
    <w:lvl w:ilvl="3" w:tplc="FFFFFFFF">
      <w:start w:val="1"/>
      <w:numFmt w:val="lowerLetter"/>
      <w:lvlText w:val="(%4)"/>
      <w:lvlJc w:val="left"/>
      <w:pPr>
        <w:ind w:left="2232" w:hanging="352"/>
        <w:jc w:val="left"/>
      </w:pPr>
      <w:rPr>
        <w:rFonts w:ascii="Calibri" w:eastAsia="Calibri" w:hAnsi="Calibri" w:cs="Calibri" w:hint="default"/>
        <w:b w:val="0"/>
        <w:bCs w:val="0"/>
        <w:i w:val="0"/>
        <w:iCs w:val="0"/>
        <w:spacing w:val="0"/>
        <w:w w:val="116"/>
        <w:sz w:val="22"/>
        <w:szCs w:val="22"/>
        <w:lang w:val="en-US" w:eastAsia="en-US" w:bidi="ar-SA"/>
      </w:rPr>
    </w:lvl>
    <w:lvl w:ilvl="4" w:tplc="FFFFFFFF">
      <w:numFmt w:val="bullet"/>
      <w:lvlText w:val="•"/>
      <w:lvlJc w:val="left"/>
      <w:pPr>
        <w:ind w:left="3308" w:hanging="352"/>
      </w:pPr>
      <w:rPr>
        <w:rFonts w:hint="default"/>
        <w:lang w:val="en-US" w:eastAsia="en-US" w:bidi="ar-SA"/>
      </w:rPr>
    </w:lvl>
    <w:lvl w:ilvl="5" w:tplc="FFFFFFFF">
      <w:numFmt w:val="bullet"/>
      <w:lvlText w:val="•"/>
      <w:lvlJc w:val="left"/>
      <w:pPr>
        <w:ind w:left="4377" w:hanging="352"/>
      </w:pPr>
      <w:rPr>
        <w:rFonts w:hint="default"/>
        <w:lang w:val="en-US" w:eastAsia="en-US" w:bidi="ar-SA"/>
      </w:rPr>
    </w:lvl>
    <w:lvl w:ilvl="6" w:tplc="FFFFFFFF">
      <w:numFmt w:val="bullet"/>
      <w:lvlText w:val="•"/>
      <w:lvlJc w:val="left"/>
      <w:pPr>
        <w:ind w:left="5445" w:hanging="352"/>
      </w:pPr>
      <w:rPr>
        <w:rFonts w:hint="default"/>
        <w:lang w:val="en-US" w:eastAsia="en-US" w:bidi="ar-SA"/>
      </w:rPr>
    </w:lvl>
    <w:lvl w:ilvl="7" w:tplc="FFFFFFFF">
      <w:numFmt w:val="bullet"/>
      <w:lvlText w:val="•"/>
      <w:lvlJc w:val="left"/>
      <w:pPr>
        <w:ind w:left="6514" w:hanging="352"/>
      </w:pPr>
      <w:rPr>
        <w:rFonts w:hint="default"/>
        <w:lang w:val="en-US" w:eastAsia="en-US" w:bidi="ar-SA"/>
      </w:rPr>
    </w:lvl>
    <w:lvl w:ilvl="8" w:tplc="FFFFFFFF">
      <w:numFmt w:val="bullet"/>
      <w:lvlText w:val="•"/>
      <w:lvlJc w:val="left"/>
      <w:pPr>
        <w:ind w:left="7582" w:hanging="352"/>
      </w:pPr>
      <w:rPr>
        <w:rFonts w:hint="default"/>
        <w:lang w:val="en-US" w:eastAsia="en-US" w:bidi="ar-SA"/>
      </w:rPr>
    </w:lvl>
  </w:abstractNum>
  <w:abstractNum w:abstractNumId="12" w15:restartNumberingAfterBreak="0">
    <w:nsid w:val="76EB76C0"/>
    <w:multiLevelType w:val="hybridMultilevel"/>
    <w:tmpl w:val="D80611A4"/>
    <w:lvl w:ilvl="0" w:tplc="0024C7A0">
      <w:start w:val="1"/>
      <w:numFmt w:val="decimal"/>
      <w:lvlText w:val="%1."/>
      <w:lvlJc w:val="left"/>
      <w:pPr>
        <w:ind w:left="729" w:hanging="300"/>
      </w:pPr>
      <w:rPr>
        <w:rFonts w:ascii="Calibri" w:eastAsia="Calibri" w:hAnsi="Calibri" w:cs="Calibri" w:hint="default"/>
        <w:b w:val="0"/>
        <w:bCs w:val="0"/>
        <w:i w:val="0"/>
        <w:iCs w:val="0"/>
        <w:spacing w:val="0"/>
        <w:w w:val="99"/>
        <w:sz w:val="24"/>
        <w:szCs w:val="24"/>
        <w:lang w:val="en-US" w:eastAsia="en-US" w:bidi="ar-SA"/>
      </w:rPr>
    </w:lvl>
    <w:lvl w:ilvl="1" w:tplc="E9201FCC">
      <w:numFmt w:val="bullet"/>
      <w:lvlText w:val="•"/>
      <w:lvlJc w:val="left"/>
      <w:pPr>
        <w:ind w:left="1620" w:hanging="300"/>
      </w:pPr>
      <w:rPr>
        <w:rFonts w:hint="default"/>
        <w:lang w:val="en-US" w:eastAsia="en-US" w:bidi="ar-SA"/>
      </w:rPr>
    </w:lvl>
    <w:lvl w:ilvl="2" w:tplc="60DC3928">
      <w:numFmt w:val="bullet"/>
      <w:lvlText w:val="•"/>
      <w:lvlJc w:val="left"/>
      <w:pPr>
        <w:ind w:left="2520" w:hanging="300"/>
      </w:pPr>
      <w:rPr>
        <w:rFonts w:hint="default"/>
        <w:lang w:val="en-US" w:eastAsia="en-US" w:bidi="ar-SA"/>
      </w:rPr>
    </w:lvl>
    <w:lvl w:ilvl="3" w:tplc="3AA2C44E">
      <w:numFmt w:val="bullet"/>
      <w:lvlText w:val="•"/>
      <w:lvlJc w:val="left"/>
      <w:pPr>
        <w:ind w:left="3420" w:hanging="300"/>
      </w:pPr>
      <w:rPr>
        <w:rFonts w:hint="default"/>
        <w:lang w:val="en-US" w:eastAsia="en-US" w:bidi="ar-SA"/>
      </w:rPr>
    </w:lvl>
    <w:lvl w:ilvl="4" w:tplc="90D24B50">
      <w:numFmt w:val="bullet"/>
      <w:lvlText w:val="•"/>
      <w:lvlJc w:val="left"/>
      <w:pPr>
        <w:ind w:left="4320" w:hanging="300"/>
      </w:pPr>
      <w:rPr>
        <w:rFonts w:hint="default"/>
        <w:lang w:val="en-US" w:eastAsia="en-US" w:bidi="ar-SA"/>
      </w:rPr>
    </w:lvl>
    <w:lvl w:ilvl="5" w:tplc="B5506D2C">
      <w:numFmt w:val="bullet"/>
      <w:lvlText w:val="•"/>
      <w:lvlJc w:val="left"/>
      <w:pPr>
        <w:ind w:left="5220" w:hanging="300"/>
      </w:pPr>
      <w:rPr>
        <w:rFonts w:hint="default"/>
        <w:lang w:val="en-US" w:eastAsia="en-US" w:bidi="ar-SA"/>
      </w:rPr>
    </w:lvl>
    <w:lvl w:ilvl="6" w:tplc="9DA07818">
      <w:numFmt w:val="bullet"/>
      <w:lvlText w:val="•"/>
      <w:lvlJc w:val="left"/>
      <w:pPr>
        <w:ind w:left="6120" w:hanging="300"/>
      </w:pPr>
      <w:rPr>
        <w:rFonts w:hint="default"/>
        <w:lang w:val="en-US" w:eastAsia="en-US" w:bidi="ar-SA"/>
      </w:rPr>
    </w:lvl>
    <w:lvl w:ilvl="7" w:tplc="8F1EE14E">
      <w:numFmt w:val="bullet"/>
      <w:lvlText w:val="•"/>
      <w:lvlJc w:val="left"/>
      <w:pPr>
        <w:ind w:left="7020" w:hanging="300"/>
      </w:pPr>
      <w:rPr>
        <w:rFonts w:hint="default"/>
        <w:lang w:val="en-US" w:eastAsia="en-US" w:bidi="ar-SA"/>
      </w:rPr>
    </w:lvl>
    <w:lvl w:ilvl="8" w:tplc="E7B25610">
      <w:numFmt w:val="bullet"/>
      <w:lvlText w:val="•"/>
      <w:lvlJc w:val="left"/>
      <w:pPr>
        <w:ind w:left="7920" w:hanging="300"/>
      </w:pPr>
      <w:rPr>
        <w:rFonts w:hint="default"/>
        <w:lang w:val="en-US" w:eastAsia="en-US" w:bidi="ar-SA"/>
      </w:rPr>
    </w:lvl>
  </w:abstractNum>
  <w:abstractNum w:abstractNumId="13" w15:restartNumberingAfterBreak="0">
    <w:nsid w:val="7E55689D"/>
    <w:multiLevelType w:val="hybridMultilevel"/>
    <w:tmpl w:val="33104D02"/>
    <w:lvl w:ilvl="0" w:tplc="D9F04BC8">
      <w:start w:val="1"/>
      <w:numFmt w:val="upperLetter"/>
      <w:lvlText w:val="%1"/>
      <w:lvlJc w:val="left"/>
      <w:pPr>
        <w:ind w:left="823" w:hanging="680"/>
        <w:jc w:val="left"/>
      </w:pPr>
      <w:rPr>
        <w:rFonts w:ascii="Calibri" w:eastAsia="Calibri" w:hAnsi="Calibri" w:cs="Calibri" w:hint="default"/>
        <w:b/>
        <w:bCs/>
        <w:i w:val="0"/>
        <w:iCs w:val="0"/>
        <w:spacing w:val="0"/>
        <w:w w:val="141"/>
        <w:sz w:val="34"/>
        <w:szCs w:val="34"/>
        <w:lang w:val="en-US" w:eastAsia="en-US" w:bidi="ar-SA"/>
      </w:rPr>
    </w:lvl>
    <w:lvl w:ilvl="1" w:tplc="B07E7EAC">
      <w:start w:val="1"/>
      <w:numFmt w:val="decimal"/>
      <w:lvlText w:val="%2."/>
      <w:lvlJc w:val="left"/>
      <w:pPr>
        <w:ind w:left="729" w:hanging="300"/>
        <w:jc w:val="left"/>
      </w:pPr>
      <w:rPr>
        <w:rFonts w:ascii="Calibri" w:eastAsia="Calibri" w:hAnsi="Calibri" w:cs="Calibri" w:hint="default"/>
        <w:b w:val="0"/>
        <w:bCs w:val="0"/>
        <w:i w:val="0"/>
        <w:iCs w:val="0"/>
        <w:spacing w:val="0"/>
        <w:w w:val="99"/>
        <w:sz w:val="24"/>
        <w:szCs w:val="24"/>
        <w:lang w:val="en-US" w:eastAsia="en-US" w:bidi="ar-SA"/>
      </w:rPr>
    </w:lvl>
    <w:lvl w:ilvl="2" w:tplc="34C4D42C">
      <w:numFmt w:val="bullet"/>
      <w:lvlText w:val="•"/>
      <w:lvlJc w:val="left"/>
      <w:pPr>
        <w:ind w:left="1244" w:hanging="235"/>
      </w:pPr>
      <w:rPr>
        <w:rFonts w:ascii="Arial MT" w:eastAsia="Arial MT" w:hAnsi="Arial MT" w:cs="Arial MT" w:hint="default"/>
        <w:b w:val="0"/>
        <w:bCs w:val="0"/>
        <w:i w:val="0"/>
        <w:iCs w:val="0"/>
        <w:spacing w:val="0"/>
        <w:w w:val="139"/>
        <w:sz w:val="24"/>
        <w:szCs w:val="24"/>
        <w:lang w:val="en-US" w:eastAsia="en-US" w:bidi="ar-SA"/>
      </w:rPr>
    </w:lvl>
    <w:lvl w:ilvl="3" w:tplc="16EA62E0">
      <w:start w:val="1"/>
      <w:numFmt w:val="lowerLetter"/>
      <w:lvlText w:val="(%4)"/>
      <w:lvlJc w:val="left"/>
      <w:pPr>
        <w:ind w:left="2232" w:hanging="352"/>
        <w:jc w:val="left"/>
      </w:pPr>
      <w:rPr>
        <w:rFonts w:ascii="Calibri" w:eastAsia="Calibri" w:hAnsi="Calibri" w:cs="Calibri" w:hint="default"/>
        <w:b w:val="0"/>
        <w:bCs w:val="0"/>
        <w:i w:val="0"/>
        <w:iCs w:val="0"/>
        <w:spacing w:val="0"/>
        <w:w w:val="116"/>
        <w:sz w:val="22"/>
        <w:szCs w:val="22"/>
        <w:lang w:val="en-US" w:eastAsia="en-US" w:bidi="ar-SA"/>
      </w:rPr>
    </w:lvl>
    <w:lvl w:ilvl="4" w:tplc="820A39A0">
      <w:numFmt w:val="bullet"/>
      <w:lvlText w:val="•"/>
      <w:lvlJc w:val="left"/>
      <w:pPr>
        <w:ind w:left="3308" w:hanging="352"/>
      </w:pPr>
      <w:rPr>
        <w:rFonts w:hint="default"/>
        <w:lang w:val="en-US" w:eastAsia="en-US" w:bidi="ar-SA"/>
      </w:rPr>
    </w:lvl>
    <w:lvl w:ilvl="5" w:tplc="F8905C52">
      <w:numFmt w:val="bullet"/>
      <w:lvlText w:val="•"/>
      <w:lvlJc w:val="left"/>
      <w:pPr>
        <w:ind w:left="4377" w:hanging="352"/>
      </w:pPr>
      <w:rPr>
        <w:rFonts w:hint="default"/>
        <w:lang w:val="en-US" w:eastAsia="en-US" w:bidi="ar-SA"/>
      </w:rPr>
    </w:lvl>
    <w:lvl w:ilvl="6" w:tplc="3B1059A8">
      <w:numFmt w:val="bullet"/>
      <w:lvlText w:val="•"/>
      <w:lvlJc w:val="left"/>
      <w:pPr>
        <w:ind w:left="5445" w:hanging="352"/>
      </w:pPr>
      <w:rPr>
        <w:rFonts w:hint="default"/>
        <w:lang w:val="en-US" w:eastAsia="en-US" w:bidi="ar-SA"/>
      </w:rPr>
    </w:lvl>
    <w:lvl w:ilvl="7" w:tplc="0CE631DE">
      <w:numFmt w:val="bullet"/>
      <w:lvlText w:val="•"/>
      <w:lvlJc w:val="left"/>
      <w:pPr>
        <w:ind w:left="6514" w:hanging="352"/>
      </w:pPr>
      <w:rPr>
        <w:rFonts w:hint="default"/>
        <w:lang w:val="en-US" w:eastAsia="en-US" w:bidi="ar-SA"/>
      </w:rPr>
    </w:lvl>
    <w:lvl w:ilvl="8" w:tplc="8D7C61D4">
      <w:numFmt w:val="bullet"/>
      <w:lvlText w:val="•"/>
      <w:lvlJc w:val="left"/>
      <w:pPr>
        <w:ind w:left="7582" w:hanging="352"/>
      </w:pPr>
      <w:rPr>
        <w:rFonts w:hint="default"/>
        <w:lang w:val="en-US" w:eastAsia="en-US" w:bidi="ar-SA"/>
      </w:rPr>
    </w:lvl>
  </w:abstractNum>
  <w:num w:numId="1" w16cid:durableId="2094037596">
    <w:abstractNumId w:val="6"/>
  </w:num>
  <w:num w:numId="2" w16cid:durableId="2054765752">
    <w:abstractNumId w:val="1"/>
  </w:num>
  <w:num w:numId="3" w16cid:durableId="1624920954">
    <w:abstractNumId w:val="7"/>
  </w:num>
  <w:num w:numId="4" w16cid:durableId="1485048407">
    <w:abstractNumId w:val="12"/>
  </w:num>
  <w:num w:numId="5" w16cid:durableId="1006402822">
    <w:abstractNumId w:val="2"/>
  </w:num>
  <w:num w:numId="6" w16cid:durableId="1770542472">
    <w:abstractNumId w:val="9"/>
  </w:num>
  <w:num w:numId="7" w16cid:durableId="77333701">
    <w:abstractNumId w:val="5"/>
  </w:num>
  <w:num w:numId="8" w16cid:durableId="1129398532">
    <w:abstractNumId w:val="3"/>
  </w:num>
  <w:num w:numId="9" w16cid:durableId="440497373">
    <w:abstractNumId w:val="0"/>
  </w:num>
  <w:num w:numId="10" w16cid:durableId="1062942277">
    <w:abstractNumId w:val="10"/>
  </w:num>
  <w:num w:numId="11" w16cid:durableId="1732533334">
    <w:abstractNumId w:val="4"/>
  </w:num>
  <w:num w:numId="12" w16cid:durableId="2054889105">
    <w:abstractNumId w:val="13"/>
  </w:num>
  <w:num w:numId="13" w16cid:durableId="2100561208">
    <w:abstractNumId w:val="11"/>
  </w:num>
  <w:num w:numId="14" w16cid:durableId="4651238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F2A"/>
    <w:rsid w:val="000E374A"/>
    <w:rsid w:val="001668D9"/>
    <w:rsid w:val="0018115D"/>
    <w:rsid w:val="001B7004"/>
    <w:rsid w:val="0022142B"/>
    <w:rsid w:val="002B7067"/>
    <w:rsid w:val="002F68F9"/>
    <w:rsid w:val="00310F09"/>
    <w:rsid w:val="00326EA1"/>
    <w:rsid w:val="00395DC8"/>
    <w:rsid w:val="003B5F9C"/>
    <w:rsid w:val="00483C48"/>
    <w:rsid w:val="00495AEE"/>
    <w:rsid w:val="004F3F66"/>
    <w:rsid w:val="0057453A"/>
    <w:rsid w:val="00584A8F"/>
    <w:rsid w:val="005D2436"/>
    <w:rsid w:val="005F2877"/>
    <w:rsid w:val="006465DE"/>
    <w:rsid w:val="007035C8"/>
    <w:rsid w:val="00742AB5"/>
    <w:rsid w:val="00784AE9"/>
    <w:rsid w:val="007B3C7D"/>
    <w:rsid w:val="007C1C7E"/>
    <w:rsid w:val="0094715A"/>
    <w:rsid w:val="009A6DEA"/>
    <w:rsid w:val="00A02F2A"/>
    <w:rsid w:val="00A86D28"/>
    <w:rsid w:val="00B51617"/>
    <w:rsid w:val="00B9563D"/>
    <w:rsid w:val="00CB41A3"/>
    <w:rsid w:val="00CC71C5"/>
    <w:rsid w:val="00CF0423"/>
    <w:rsid w:val="00DD2AD0"/>
    <w:rsid w:val="00E27CA1"/>
    <w:rsid w:val="00E635D3"/>
    <w:rsid w:val="00E70CDD"/>
    <w:rsid w:val="00F21BAA"/>
    <w:rsid w:val="00F750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1707B"/>
  <w15:chartTrackingRefBased/>
  <w15:docId w15:val="{A333CBA5-E958-40BD-8FDC-80D05A855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2"/>
        <w:szCs w:val="22"/>
        <w:lang w:val="es-B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A8F"/>
  </w:style>
  <w:style w:type="paragraph" w:styleId="Ttulo1">
    <w:name w:val="heading 1"/>
    <w:basedOn w:val="Normal"/>
    <w:next w:val="Normal"/>
    <w:link w:val="Ttulo1Car"/>
    <w:uiPriority w:val="9"/>
    <w:qFormat/>
    <w:rsid w:val="00A02F2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A02F2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02F2A"/>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A02F2A"/>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Ttulo5">
    <w:name w:val="heading 5"/>
    <w:basedOn w:val="Normal"/>
    <w:next w:val="Normal"/>
    <w:link w:val="Ttulo5Car"/>
    <w:uiPriority w:val="9"/>
    <w:semiHidden/>
    <w:unhideWhenUsed/>
    <w:qFormat/>
    <w:rsid w:val="00A02F2A"/>
    <w:pPr>
      <w:keepNext/>
      <w:keepLines/>
      <w:spacing w:before="80" w:after="40"/>
      <w:outlineLvl w:val="4"/>
    </w:pPr>
    <w:rPr>
      <w:rFonts w:asciiTheme="minorHAnsi" w:eastAsiaTheme="majorEastAsia" w:hAnsiTheme="minorHAnsi" w:cstheme="majorBidi"/>
      <w:color w:val="2F5496" w:themeColor="accent1" w:themeShade="BF"/>
    </w:rPr>
  </w:style>
  <w:style w:type="paragraph" w:styleId="Ttulo6">
    <w:name w:val="heading 6"/>
    <w:basedOn w:val="Normal"/>
    <w:next w:val="Normal"/>
    <w:link w:val="Ttulo6Car"/>
    <w:uiPriority w:val="9"/>
    <w:semiHidden/>
    <w:unhideWhenUsed/>
    <w:qFormat/>
    <w:rsid w:val="00A02F2A"/>
    <w:pPr>
      <w:keepNext/>
      <w:keepLines/>
      <w:spacing w:before="40" w:after="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A02F2A"/>
    <w:pPr>
      <w:keepNext/>
      <w:keepLines/>
      <w:spacing w:before="40" w:after="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A02F2A"/>
    <w:pPr>
      <w:keepNext/>
      <w:keepLines/>
      <w:spacing w:after="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A02F2A"/>
    <w:pPr>
      <w:keepNext/>
      <w:keepLines/>
      <w:spacing w:after="0"/>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02F2A"/>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A02F2A"/>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A02F2A"/>
    <w:rPr>
      <w:rFonts w:asciiTheme="minorHAnsi" w:eastAsiaTheme="majorEastAsia" w:hAnsiTheme="minorHAnsi" w:cstheme="majorBidi"/>
      <w:color w:val="2F5496" w:themeColor="accent1" w:themeShade="BF"/>
      <w:sz w:val="28"/>
      <w:szCs w:val="28"/>
    </w:rPr>
  </w:style>
  <w:style w:type="character" w:customStyle="1" w:styleId="Ttulo4Car">
    <w:name w:val="Título 4 Car"/>
    <w:basedOn w:val="Fuentedeprrafopredeter"/>
    <w:link w:val="Ttulo4"/>
    <w:uiPriority w:val="9"/>
    <w:semiHidden/>
    <w:rsid w:val="00A02F2A"/>
    <w:rPr>
      <w:rFonts w:asciiTheme="minorHAnsi" w:eastAsiaTheme="majorEastAsia" w:hAnsiTheme="minorHAnsi" w:cstheme="majorBidi"/>
      <w:i/>
      <w:iCs/>
      <w:color w:val="2F5496" w:themeColor="accent1" w:themeShade="BF"/>
    </w:rPr>
  </w:style>
  <w:style w:type="character" w:customStyle="1" w:styleId="Ttulo5Car">
    <w:name w:val="Título 5 Car"/>
    <w:basedOn w:val="Fuentedeprrafopredeter"/>
    <w:link w:val="Ttulo5"/>
    <w:uiPriority w:val="9"/>
    <w:semiHidden/>
    <w:rsid w:val="00A02F2A"/>
    <w:rPr>
      <w:rFonts w:asciiTheme="minorHAnsi" w:eastAsiaTheme="majorEastAsia" w:hAnsiTheme="minorHAnsi" w:cstheme="majorBidi"/>
      <w:color w:val="2F5496" w:themeColor="accent1" w:themeShade="BF"/>
    </w:rPr>
  </w:style>
  <w:style w:type="character" w:customStyle="1" w:styleId="Ttulo6Car">
    <w:name w:val="Título 6 Car"/>
    <w:basedOn w:val="Fuentedeprrafopredeter"/>
    <w:link w:val="Ttulo6"/>
    <w:uiPriority w:val="9"/>
    <w:semiHidden/>
    <w:rsid w:val="00A02F2A"/>
    <w:rPr>
      <w:rFonts w:asciiTheme="minorHAnsi" w:eastAsiaTheme="majorEastAsia" w:hAnsiTheme="minorHAnsi" w:cstheme="majorBidi"/>
      <w:i/>
      <w:iCs/>
      <w:color w:val="595959" w:themeColor="text1" w:themeTint="A6"/>
    </w:rPr>
  </w:style>
  <w:style w:type="character" w:customStyle="1" w:styleId="Ttulo7Car">
    <w:name w:val="Título 7 Car"/>
    <w:basedOn w:val="Fuentedeprrafopredeter"/>
    <w:link w:val="Ttulo7"/>
    <w:uiPriority w:val="9"/>
    <w:semiHidden/>
    <w:rsid w:val="00A02F2A"/>
    <w:rPr>
      <w:rFonts w:asciiTheme="minorHAnsi" w:eastAsiaTheme="majorEastAsia" w:hAnsiTheme="minorHAnsi" w:cstheme="majorBidi"/>
      <w:color w:val="595959" w:themeColor="text1" w:themeTint="A6"/>
    </w:rPr>
  </w:style>
  <w:style w:type="character" w:customStyle="1" w:styleId="Ttulo8Car">
    <w:name w:val="Título 8 Car"/>
    <w:basedOn w:val="Fuentedeprrafopredeter"/>
    <w:link w:val="Ttulo8"/>
    <w:uiPriority w:val="9"/>
    <w:semiHidden/>
    <w:rsid w:val="00A02F2A"/>
    <w:rPr>
      <w:rFonts w:asciiTheme="minorHAnsi" w:eastAsiaTheme="majorEastAsia" w:hAnsiTheme="minorHAnsi" w:cstheme="majorBidi"/>
      <w:i/>
      <w:iCs/>
      <w:color w:val="272727" w:themeColor="text1" w:themeTint="D8"/>
    </w:rPr>
  </w:style>
  <w:style w:type="character" w:customStyle="1" w:styleId="Ttulo9Car">
    <w:name w:val="Título 9 Car"/>
    <w:basedOn w:val="Fuentedeprrafopredeter"/>
    <w:link w:val="Ttulo9"/>
    <w:uiPriority w:val="9"/>
    <w:semiHidden/>
    <w:rsid w:val="00A02F2A"/>
    <w:rPr>
      <w:rFonts w:asciiTheme="minorHAnsi" w:eastAsiaTheme="majorEastAsia" w:hAnsiTheme="minorHAnsi" w:cstheme="majorBidi"/>
      <w:color w:val="272727" w:themeColor="text1" w:themeTint="D8"/>
    </w:rPr>
  </w:style>
  <w:style w:type="paragraph" w:styleId="Ttulo">
    <w:name w:val="Title"/>
    <w:basedOn w:val="Normal"/>
    <w:next w:val="Normal"/>
    <w:link w:val="TtuloCar"/>
    <w:uiPriority w:val="10"/>
    <w:qFormat/>
    <w:rsid w:val="00A02F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02F2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02F2A"/>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02F2A"/>
    <w:rPr>
      <w:rFonts w:asciiTheme="minorHAnsi" w:eastAsiaTheme="majorEastAsia" w:hAnsiTheme="minorHAnsi" w:cstheme="majorBidi"/>
      <w:color w:val="595959" w:themeColor="text1" w:themeTint="A6"/>
      <w:spacing w:val="15"/>
      <w:sz w:val="28"/>
      <w:szCs w:val="28"/>
    </w:rPr>
  </w:style>
  <w:style w:type="paragraph" w:styleId="Cita">
    <w:name w:val="Quote"/>
    <w:basedOn w:val="Normal"/>
    <w:next w:val="Normal"/>
    <w:link w:val="CitaCar"/>
    <w:uiPriority w:val="29"/>
    <w:qFormat/>
    <w:rsid w:val="00A02F2A"/>
    <w:pPr>
      <w:spacing w:before="160"/>
      <w:jc w:val="center"/>
    </w:pPr>
    <w:rPr>
      <w:i/>
      <w:iCs/>
      <w:color w:val="404040" w:themeColor="text1" w:themeTint="BF"/>
    </w:rPr>
  </w:style>
  <w:style w:type="character" w:customStyle="1" w:styleId="CitaCar">
    <w:name w:val="Cita Car"/>
    <w:basedOn w:val="Fuentedeprrafopredeter"/>
    <w:link w:val="Cita"/>
    <w:uiPriority w:val="29"/>
    <w:rsid w:val="00A02F2A"/>
    <w:rPr>
      <w:i/>
      <w:iCs/>
      <w:color w:val="404040" w:themeColor="text1" w:themeTint="BF"/>
    </w:rPr>
  </w:style>
  <w:style w:type="paragraph" w:styleId="Prrafodelista">
    <w:name w:val="List Paragraph"/>
    <w:basedOn w:val="Normal"/>
    <w:uiPriority w:val="1"/>
    <w:qFormat/>
    <w:rsid w:val="00A02F2A"/>
    <w:pPr>
      <w:ind w:left="720"/>
      <w:contextualSpacing/>
    </w:pPr>
  </w:style>
  <w:style w:type="character" w:styleId="nfasisintenso">
    <w:name w:val="Intense Emphasis"/>
    <w:basedOn w:val="Fuentedeprrafopredeter"/>
    <w:uiPriority w:val="21"/>
    <w:qFormat/>
    <w:rsid w:val="00A02F2A"/>
    <w:rPr>
      <w:i/>
      <w:iCs/>
      <w:color w:val="2F5496" w:themeColor="accent1" w:themeShade="BF"/>
    </w:rPr>
  </w:style>
  <w:style w:type="paragraph" w:styleId="Citadestacada">
    <w:name w:val="Intense Quote"/>
    <w:basedOn w:val="Normal"/>
    <w:next w:val="Normal"/>
    <w:link w:val="CitadestacadaCar"/>
    <w:uiPriority w:val="30"/>
    <w:qFormat/>
    <w:rsid w:val="00A02F2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A02F2A"/>
    <w:rPr>
      <w:i/>
      <w:iCs/>
      <w:color w:val="2F5496" w:themeColor="accent1" w:themeShade="BF"/>
    </w:rPr>
  </w:style>
  <w:style w:type="character" w:styleId="Referenciaintensa">
    <w:name w:val="Intense Reference"/>
    <w:basedOn w:val="Fuentedeprrafopredeter"/>
    <w:uiPriority w:val="32"/>
    <w:qFormat/>
    <w:rsid w:val="00A02F2A"/>
    <w:rPr>
      <w:b/>
      <w:bCs/>
      <w:smallCaps/>
      <w:color w:val="2F5496" w:themeColor="accent1" w:themeShade="BF"/>
      <w:spacing w:val="5"/>
    </w:rPr>
  </w:style>
  <w:style w:type="paragraph" w:styleId="Textonotapie">
    <w:name w:val="footnote text"/>
    <w:basedOn w:val="Normal"/>
    <w:link w:val="TextonotapieCar"/>
    <w:uiPriority w:val="99"/>
    <w:semiHidden/>
    <w:unhideWhenUsed/>
    <w:rsid w:val="00A02F2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02F2A"/>
    <w:rPr>
      <w:sz w:val="20"/>
      <w:szCs w:val="20"/>
    </w:rPr>
  </w:style>
  <w:style w:type="character" w:styleId="Refdenotaalpie">
    <w:name w:val="footnote reference"/>
    <w:basedOn w:val="Fuentedeprrafopredeter"/>
    <w:uiPriority w:val="99"/>
    <w:semiHidden/>
    <w:unhideWhenUsed/>
    <w:rsid w:val="00A02F2A"/>
    <w:rPr>
      <w:vertAlign w:val="superscript"/>
    </w:rPr>
  </w:style>
  <w:style w:type="character" w:styleId="Hipervnculo">
    <w:name w:val="Hyperlink"/>
    <w:basedOn w:val="Fuentedeprrafopredeter"/>
    <w:uiPriority w:val="99"/>
    <w:unhideWhenUsed/>
    <w:rsid w:val="00A02F2A"/>
    <w:rPr>
      <w:color w:val="0563C1" w:themeColor="hyperlink"/>
      <w:u w:val="single"/>
    </w:rPr>
  </w:style>
  <w:style w:type="character" w:styleId="Mencinsinresolver">
    <w:name w:val="Unresolved Mention"/>
    <w:basedOn w:val="Fuentedeprrafopredeter"/>
    <w:uiPriority w:val="99"/>
    <w:semiHidden/>
    <w:unhideWhenUsed/>
    <w:rsid w:val="00A02F2A"/>
    <w:rPr>
      <w:color w:val="605E5C"/>
      <w:shd w:val="clear" w:color="auto" w:fill="E1DFDD"/>
    </w:rPr>
  </w:style>
  <w:style w:type="character" w:styleId="Textodelmarcadordeposicin">
    <w:name w:val="Placeholder Text"/>
    <w:basedOn w:val="Fuentedeprrafopredeter"/>
    <w:uiPriority w:val="99"/>
    <w:semiHidden/>
    <w:rsid w:val="007035C8"/>
    <w:rPr>
      <w:color w:val="666666"/>
    </w:rPr>
  </w:style>
  <w:style w:type="paragraph" w:styleId="Textoindependiente">
    <w:name w:val="Body Text"/>
    <w:basedOn w:val="Normal"/>
    <w:link w:val="TextoindependienteCar"/>
    <w:uiPriority w:val="1"/>
    <w:qFormat/>
    <w:rsid w:val="00B9563D"/>
    <w:pPr>
      <w:widowControl w:val="0"/>
      <w:autoSpaceDE w:val="0"/>
      <w:autoSpaceDN w:val="0"/>
      <w:spacing w:after="0" w:line="240" w:lineRule="auto"/>
    </w:pPr>
    <w:rPr>
      <w:rFonts w:ascii="Calibri" w:eastAsia="Calibri" w:hAnsi="Calibri" w:cs="Calibri"/>
      <w:sz w:val="24"/>
      <w:szCs w:val="24"/>
      <w:lang w:val="en-US"/>
    </w:rPr>
  </w:style>
  <w:style w:type="character" w:customStyle="1" w:styleId="TextoindependienteCar">
    <w:name w:val="Texto independiente Car"/>
    <w:basedOn w:val="Fuentedeprrafopredeter"/>
    <w:link w:val="Textoindependiente"/>
    <w:uiPriority w:val="1"/>
    <w:rsid w:val="00B9563D"/>
    <w:rPr>
      <w:rFonts w:ascii="Calibri" w:eastAsia="Calibri" w:hAnsi="Calibri" w:cs="Calibri"/>
      <w:sz w:val="24"/>
      <w:szCs w:val="24"/>
      <w:lang w:val="en-US"/>
    </w:rPr>
  </w:style>
  <w:style w:type="table" w:styleId="Tablaconcuadrcula">
    <w:name w:val="Table Grid"/>
    <w:basedOn w:val="Tablanormal"/>
    <w:uiPriority w:val="39"/>
    <w:rsid w:val="00495A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B51617"/>
    <w:pPr>
      <w:spacing w:after="0" w:line="240" w:lineRule="auto"/>
    </w:pPr>
  </w:style>
  <w:style w:type="table" w:customStyle="1" w:styleId="TableNormal">
    <w:name w:val="Table Normal"/>
    <w:uiPriority w:val="2"/>
    <w:semiHidden/>
    <w:unhideWhenUsed/>
    <w:qFormat/>
    <w:rsid w:val="00CB41A3"/>
    <w:pPr>
      <w:widowControl w:val="0"/>
      <w:autoSpaceDE w:val="0"/>
      <w:autoSpaceDN w:val="0"/>
      <w:spacing w:after="0" w:line="240" w:lineRule="auto"/>
    </w:pPr>
    <w:rPr>
      <w:rFonts w:asciiTheme="minorHAnsi" w:hAnsiTheme="minorHAnsi"/>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B41A3"/>
    <w:pPr>
      <w:widowControl w:val="0"/>
      <w:autoSpaceDE w:val="0"/>
      <w:autoSpaceDN w:val="0"/>
      <w:spacing w:after="0" w:line="240" w:lineRule="auto"/>
      <w:ind w:left="119"/>
    </w:pPr>
    <w:rPr>
      <w:rFonts w:ascii="Calibri" w:eastAsia="Calibri" w:hAnsi="Calibri" w:cs="Calibri"/>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20" Type="http://schemas.openxmlformats.org/officeDocument/2006/relationships/image" Target="media/image13.png"/><Relationship Id="rId41" Type="http://schemas.openxmlformats.org/officeDocument/2006/relationships/image" Target="media/image34.jpeg"/></Relationships>
</file>

<file path=word/_rels/footnotes.xml.rels><?xml version="1.0" encoding="UTF-8" standalone="yes"?>
<Relationships xmlns="http://schemas.openxmlformats.org/package/2006/relationships"><Relationship Id="rId3" Type="http://schemas.openxmlformats.org/officeDocument/2006/relationships/hyperlink" Target="https://eldeber.com.bo/economia/se-duplico-la-cotizacion-del-dolar-en-el-mercado-paralelo_511924/" TargetMode="External"/><Relationship Id="rId2" Type="http://schemas.openxmlformats.org/officeDocument/2006/relationships/hyperlink" Target="https://www.la-razon.com/energias-negocios/2025/01/11/criptomonedas-bolivia-da-el-salto-digital-y-va-por-mas-en-2025/" TargetMode="External"/><Relationship Id="rId1" Type="http://schemas.openxmlformats.org/officeDocument/2006/relationships/hyperlink" Target="https://laprensa.bo/en-2024-el-dolar-paralelo-fluctuo-entre-bs10-y-bs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F5B8F-F00C-40B7-9A1A-92044B8EC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40</Pages>
  <Words>10258</Words>
  <Characters>56423</Characters>
  <Application>Microsoft Office Word</Application>
  <DocSecurity>0</DocSecurity>
  <Lines>470</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Huanto Quispe</dc:creator>
  <cp:keywords/>
  <dc:description/>
  <cp:lastModifiedBy>Christian Huanto Quispe</cp:lastModifiedBy>
  <cp:revision>13</cp:revision>
  <cp:lastPrinted>2025-04-28T01:41:00Z</cp:lastPrinted>
  <dcterms:created xsi:type="dcterms:W3CDTF">2025-04-27T21:41:00Z</dcterms:created>
  <dcterms:modified xsi:type="dcterms:W3CDTF">2025-04-28T02:09:00Z</dcterms:modified>
</cp:coreProperties>
</file>