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DAXDA.IA 90-Day Execution Plan</w:t>
      </w:r>
    </w:p>
    <w:p>
      <w:pPr>
        <w:jc w:val="center"/>
      </w:pPr>
      <w:r>
        <w:rPr>
          <w:i/>
          <w:color w:val="475569"/>
          <w:sz w:val="20"/>
        </w:rPr>
        <w:t>Repository packet for JumpStart initial intake and regional startup support conversation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0F2FE"/>
          </w:tcPr>
          <w:p>
            <w:pPr>
              <w:spacing w:after="60"/>
            </w:pPr>
            <w:r>
              <w:rPr>
                <w:rFonts w:ascii="Aptos" w:hAnsi="Aptos"/>
                <w:b/>
                <w:color w:val="0C4A6E"/>
              </w:rPr>
              <w:t>Operating logic</w:t>
            </w:r>
          </w:p>
          <w:p>
            <w:pPr>
              <w:spacing w:after="60"/>
            </w:pPr>
            <w:r>
              <w:t>The next 90 days should convert an impressive framework into evidence: interviews, pilots, reviewer feedback, workflow artifacts, and capital-ready proof.</w:t>
            </w:r>
          </w:p>
        </w:tc>
      </w:tr>
    </w:tbl>
    <w:p/>
    <w:p>
      <w:pPr>
        <w:pStyle w:val="Heading1"/>
      </w:pPr>
      <w:r>
        <w:t>90-day milestone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0F172A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</w:rPr>
              <w:t>Window</w:t>
            </w:r>
          </w:p>
        </w:tc>
        <w:tc>
          <w:tcPr>
            <w:tcW w:type="dxa" w:w="2520"/>
            <w:vAlign w:val="center"/>
            <w:shd w:fill="0F172A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</w:rPr>
              <w:t>Theme</w:t>
            </w:r>
          </w:p>
        </w:tc>
        <w:tc>
          <w:tcPr>
            <w:tcW w:type="dxa" w:w="2520"/>
            <w:vAlign w:val="center"/>
            <w:shd w:fill="0F172A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</w:rPr>
              <w:t>Work</w:t>
            </w:r>
          </w:p>
        </w:tc>
        <w:tc>
          <w:tcPr>
            <w:tcW w:type="dxa" w:w="2520"/>
            <w:vAlign w:val="center"/>
            <w:shd w:fill="0F172A"/>
          </w:tcPr>
          <w:p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</w:rPr>
              <w:t>Evidence produced</w:t>
            </w:r>
          </w:p>
        </w:tc>
      </w:tr>
      <w:tr>
        <w:tc>
          <w:tcPr>
            <w:tcW w:type="dxa" w:w="2520"/>
          </w:tcPr>
          <w:p>
            <w:r>
              <w:t>Days 1-15</w:t>
            </w:r>
          </w:p>
        </w:tc>
        <w:tc>
          <w:tcPr>
            <w:tcW w:type="dxa" w:w="2520"/>
          </w:tcPr>
          <w:p>
            <w:r>
              <w:t>Company readiness</w:t>
            </w:r>
          </w:p>
        </w:tc>
        <w:tc>
          <w:tcPr>
            <w:tcW w:type="dxa" w:w="2520"/>
          </w:tcPr>
          <w:p>
            <w:r>
              <w:t>Finalize naming, one-pager, deck, founder roles, legal formation plan, IP log, and customer-discovery script.</w:t>
            </w:r>
          </w:p>
        </w:tc>
        <w:tc>
          <w:tcPr>
            <w:tcW w:type="dxa" w:w="2520"/>
          </w:tcPr>
          <w:p>
            <w:r>
              <w:t>Clean packet; founder narrative; target list; meeting tracker.</w:t>
            </w:r>
          </w:p>
        </w:tc>
      </w:tr>
      <w:tr>
        <w:tc>
          <w:tcPr>
            <w:tcW w:type="dxa" w:w="2520"/>
          </w:tcPr>
          <w:p>
            <w:r>
              <w:t>Days 16-30</w:t>
            </w:r>
          </w:p>
        </w:tc>
        <w:tc>
          <w:tcPr>
            <w:tcW w:type="dxa" w:w="2520"/>
          </w:tcPr>
          <w:p>
            <w:r>
              <w:t>Customer discovery</w:t>
            </w:r>
          </w:p>
        </w:tc>
        <w:tc>
          <w:tcPr>
            <w:tcW w:type="dxa" w:w="2520"/>
          </w:tcPr>
          <w:p>
            <w:r>
              <w:t>Run 15-25 interviews with legal, compliance, enterprise software, research, and civic teams.</w:t>
            </w:r>
          </w:p>
        </w:tc>
        <w:tc>
          <w:tcPr>
            <w:tcW w:type="dxa" w:w="2520"/>
          </w:tcPr>
          <w:p>
            <w:r>
              <w:t>Interview notes; pattern map; top 3 pain points; pilot criteria.</w:t>
            </w:r>
          </w:p>
        </w:tc>
      </w:tr>
      <w:tr>
        <w:tc>
          <w:tcPr>
            <w:tcW w:type="dxa" w:w="2520"/>
          </w:tcPr>
          <w:p>
            <w:r>
              <w:t>Days 31-45</w:t>
            </w:r>
          </w:p>
        </w:tc>
        <w:tc>
          <w:tcPr>
            <w:tcW w:type="dxa" w:w="2520"/>
          </w:tcPr>
          <w:p>
            <w:r>
              <w:t>Pilot workflow</w:t>
            </w:r>
          </w:p>
        </w:tc>
        <w:tc>
          <w:tcPr>
            <w:tcW w:type="dxa" w:w="2520"/>
          </w:tcPr>
          <w:p>
            <w:r>
              <w:t>Define a narrow deidentified review workflow and scoring rubric.</w:t>
            </w:r>
          </w:p>
        </w:tc>
        <w:tc>
          <w:tcPr>
            <w:tcW w:type="dxa" w:w="2520"/>
          </w:tcPr>
          <w:p>
            <w:r>
              <w:t>Pilot protocol; audit template; risk scoring rubric; demo examples.</w:t>
            </w:r>
          </w:p>
        </w:tc>
      </w:tr>
      <w:tr>
        <w:tc>
          <w:tcPr>
            <w:tcW w:type="dxa" w:w="2520"/>
          </w:tcPr>
          <w:p>
            <w:r>
              <w:t>Days 46-60</w:t>
            </w:r>
          </w:p>
        </w:tc>
        <w:tc>
          <w:tcPr>
            <w:tcW w:type="dxa" w:w="2520"/>
          </w:tcPr>
          <w:p>
            <w:r>
              <w:t>External validation</w:t>
            </w:r>
          </w:p>
        </w:tc>
        <w:tc>
          <w:tcPr>
            <w:tcW w:type="dxa" w:w="2520"/>
          </w:tcPr>
          <w:p>
            <w:r>
              <w:t>Recruit 2-4 outside reviewers/advisors to review process quality and market fit.</w:t>
            </w:r>
          </w:p>
        </w:tc>
        <w:tc>
          <w:tcPr>
            <w:tcW w:type="dxa" w:w="2520"/>
          </w:tcPr>
          <w:p>
            <w:r>
              <w:t>Reviewer memo; objections log; revisions list.</w:t>
            </w:r>
          </w:p>
        </w:tc>
      </w:tr>
      <w:tr>
        <w:tc>
          <w:tcPr>
            <w:tcW w:type="dxa" w:w="2520"/>
          </w:tcPr>
          <w:p>
            <w:r>
              <w:t>Days 61-75</w:t>
            </w:r>
          </w:p>
        </w:tc>
        <w:tc>
          <w:tcPr>
            <w:tcW w:type="dxa" w:w="2520"/>
          </w:tcPr>
          <w:p>
            <w:r>
              <w:t>Design-partner pilots</w:t>
            </w:r>
          </w:p>
        </w:tc>
        <w:tc>
          <w:tcPr>
            <w:tcW w:type="dxa" w:w="2520"/>
          </w:tcPr>
          <w:p>
            <w:r>
              <w:t>Run 1-3 controlled pilot reviews using deidentified sample outputs.</w:t>
            </w:r>
          </w:p>
        </w:tc>
        <w:tc>
          <w:tcPr>
            <w:tcW w:type="dxa" w:w="2520"/>
          </w:tcPr>
          <w:p>
            <w:r>
              <w:t>Before/after audit artifacts; usability feedback; improvement claims limited to observed evidence.</w:t>
            </w:r>
          </w:p>
        </w:tc>
      </w:tr>
      <w:tr>
        <w:tc>
          <w:tcPr>
            <w:tcW w:type="dxa" w:w="2520"/>
          </w:tcPr>
          <w:p>
            <w:r>
              <w:t>Days 76-90</w:t>
            </w:r>
          </w:p>
        </w:tc>
        <w:tc>
          <w:tcPr>
            <w:tcW w:type="dxa" w:w="2520"/>
          </w:tcPr>
          <w:p>
            <w:r>
              <w:t>Capital readiness</w:t>
            </w:r>
          </w:p>
        </w:tc>
        <w:tc>
          <w:tcPr>
            <w:tcW w:type="dxa" w:w="2520"/>
          </w:tcPr>
          <w:p>
            <w:r>
              <w:t>Convert evidence into a fundable narrative and program application package.</w:t>
            </w:r>
          </w:p>
        </w:tc>
        <w:tc>
          <w:tcPr>
            <w:tcW w:type="dxa" w:w="2520"/>
          </w:tcPr>
          <w:p>
            <w:r>
              <w:t>Updated deck; customer evidence; pilot results; ask; budget; roadmap.</w:t>
            </w:r>
          </w:p>
        </w:tc>
      </w:tr>
    </w:tbl>
    <w:p>
      <w:pPr>
        <w:pStyle w:val="Heading1"/>
      </w:pPr>
      <w:r>
        <w:t>Weekly cadence</w:t>
      </w:r>
    </w:p>
    <w:p>
      <w:pPr>
        <w:pStyle w:val="ListBullet"/>
      </w:pPr>
      <w:r>
        <w:t>Monday: planning, outreach queue, and JumpStart/advisor follow-ups.</w:t>
      </w:r>
    </w:p>
    <w:p>
      <w:pPr>
        <w:pStyle w:val="ListBullet"/>
      </w:pPr>
      <w:r>
        <w:t>Tuesday-Wednesday: customer discovery calls and notes.</w:t>
      </w:r>
    </w:p>
    <w:p>
      <w:pPr>
        <w:pStyle w:val="ListBullet"/>
      </w:pPr>
      <w:r>
        <w:t>Thursday: product workflow and audit template refinement.</w:t>
      </w:r>
    </w:p>
    <w:p>
      <w:pPr>
        <w:pStyle w:val="ListBullet"/>
      </w:pPr>
      <w:r>
        <w:t>Friday: evidence review, founder meeting, next-week plan, and follow-up emails.</w:t>
      </w:r>
    </w:p>
    <w:p>
      <w:pPr>
        <w:pStyle w:val="ListBullet"/>
      </w:pPr>
      <w:r>
        <w:t>Weekend: documentation cleanup only; no strategic panic builds.</w:t>
      </w:r>
    </w:p>
    <w:p>
      <w:pPr>
        <w:pStyle w:val="Heading1"/>
      </w:pPr>
      <w:r>
        <w:t>Key performance indicators</w:t>
      </w:r>
    </w:p>
    <w:p>
      <w:pPr>
        <w:pStyle w:val="ListBullet"/>
      </w:pPr>
      <w:r>
        <w:t>20-40 target accounts identified.</w:t>
      </w:r>
    </w:p>
    <w:p>
      <w:pPr>
        <w:pStyle w:val="ListBullet"/>
      </w:pPr>
      <w:r>
        <w:t>15-25 customer discovery conversations completed.</w:t>
      </w:r>
    </w:p>
    <w:p>
      <w:pPr>
        <w:pStyle w:val="ListBullet"/>
      </w:pPr>
      <w:r>
        <w:t>2-4 reviewers/advisors engaged.</w:t>
      </w:r>
    </w:p>
    <w:p>
      <w:pPr>
        <w:pStyle w:val="ListBullet"/>
      </w:pPr>
      <w:r>
        <w:t>1-3 deidentified design-partner pilots scoped or completed.</w:t>
      </w:r>
    </w:p>
    <w:p>
      <w:pPr>
        <w:pStyle w:val="ListBullet"/>
      </w:pPr>
      <w:r>
        <w:t>One repeatable audit template and scoring rubric.</w:t>
      </w:r>
    </w:p>
    <w:p>
      <w:pPr>
        <w:pStyle w:val="ListBullet"/>
      </w:pPr>
      <w:r>
        <w:t>One revised deck with evidence, not just theory.</w:t>
      </w:r>
    </w:p>
    <w:p>
      <w:pPr>
        <w:pStyle w:val="Heading1"/>
      </w:pPr>
      <w:r>
        <w:t>Risks to control</w:t>
      </w:r>
    </w:p>
    <w:p>
      <w:pPr>
        <w:pStyle w:val="ListBullet"/>
      </w:pPr>
      <w:r>
        <w:t>Overclaiming maturity before proof exists.</w:t>
      </w:r>
    </w:p>
    <w:p>
      <w:pPr>
        <w:pStyle w:val="ListBullet"/>
      </w:pPr>
      <w:r>
        <w:t>Explaining recursion mechanics before the buyer understands the business problem.</w:t>
      </w:r>
    </w:p>
    <w:p>
      <w:pPr>
        <w:pStyle w:val="ListBullet"/>
      </w:pPr>
      <w:r>
        <w:t>Pursuing too many verticals at once.</w:t>
      </w:r>
    </w:p>
    <w:p>
      <w:pPr>
        <w:pStyle w:val="ListBullet"/>
      </w:pPr>
      <w:r>
        <w:t>Skipping customer discovery and trying to sell too early.</w:t>
      </w:r>
    </w:p>
    <w:p>
      <w:pPr>
        <w:pStyle w:val="ListBullet"/>
      </w:pPr>
      <w:r>
        <w:t>Using private receipts in external conversations before they are organized and relevant.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E40A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