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DAXDA.IA Project Overview</w:t>
      </w:r>
    </w:p>
    <w:p>
      <w:pPr>
        <w:jc w:val="center"/>
      </w:pPr>
      <w:r>
        <w:rPr>
          <w:i/>
          <w:color w:val="475569"/>
          <w:sz w:val="20"/>
        </w:rPr>
        <w:t>Repository packet for JumpStart initial intake and regional startup support conversation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2FE"/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</w:rPr>
              <w:t>External-use guardrail</w:t>
            </w:r>
          </w:p>
          <w:p>
            <w:pPr>
              <w:spacing w:after="60"/>
            </w:pPr>
            <w:r>
              <w:t>This packet presents DAXDA.IA as an early-stage AI governance and decision-audit venture. It does not claim production deployment, certified compliance status, revenue, or independently validated performance unless those facts are documented separately.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DAXDA.IA is the external-facing venture concept for DAXDA, a structured AI-governance and decision-audit framework designed to make AI-assisted outputs more transparent, challengeable, and reviewable before they influence high-stakes decisions.</w:t>
      </w:r>
    </w:p>
    <w:p>
      <w:r>
        <w:t>The business wedge is not “recursion” as an abstract idea. The customer-facing wedge is risk control: turning AI answers, analyst recommendations, or operational decisions into a documented review record with assumptions, contradictions, missing evidence, uncertainty, escalation triggers, and a final disposition.</w:t>
      </w:r>
    </w:p>
    <w:p>
      <w:r>
        <w:t>The current goal is to convert the framework into a repeatable pilot workflow that can be tested with deidentified examples in legal, compliance, research, professional-service, civic, and enterprise-software environments.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Organizations are adopting generative AI faster than they are creating reliable review processes.</w:t>
      </w:r>
    </w:p>
    <w:p>
      <w:pPr>
        <w:pStyle w:val="ListBullet"/>
      </w:pPr>
      <w:r>
        <w:t>AI outputs often sound complete while hiding assumptions, omitted facts, unsupported citations, or weak reasoning.</w:t>
      </w:r>
    </w:p>
    <w:p>
      <w:pPr>
        <w:pStyle w:val="ListBullet"/>
      </w:pPr>
      <w:r>
        <w:t>Most organizations lack a consistent, auditable way to decide whether an AI-assisted answer is safe to rely on.</w:t>
      </w:r>
    </w:p>
    <w:p>
      <w:pPr>
        <w:pStyle w:val="ListBullet"/>
      </w:pPr>
      <w:r>
        <w:t>Human review remains necessary, but current human review is often inconsistent, undocumented, and hard to reproduce.</w:t>
      </w:r>
    </w:p>
    <w:p>
      <w:pPr>
        <w:pStyle w:val="ListBullet"/>
      </w:pPr>
      <w:r>
        <w:t>Founders, managers, legal teams, research teams, and civic institutions need a simple process for surfacing risk before decisions harden.</w:t>
      </w:r>
    </w:p>
    <w:p>
      <w:pPr>
        <w:pStyle w:val="Heading1"/>
      </w:pPr>
      <w:r>
        <w:t>3. Product thesis</w:t>
      </w:r>
    </w:p>
    <w:p>
      <w:r>
        <w:t>DAXDA.IA is positioned as a governance layer, not a chatbot. It can sit before, beside, or after existing AI tools. The system asks: “What would need to be true for this output to be reliable, and what could break the decision if it is wrong?”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Field</w:t>
            </w:r>
          </w:p>
        </w:tc>
        <w:tc>
          <w:tcPr>
            <w:tcW w:type="dxa" w:w="504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Packet entry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Input</w:t>
            </w:r>
          </w:p>
        </w:tc>
        <w:tc>
          <w:tcPr>
            <w:tcW w:type="dxa" w:w="5040"/>
          </w:tcPr>
          <w:p>
            <w:r>
              <w:t>A claim, AI-generated response, recommendation, policy draft, research summary, or decision memo.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Challenge process</w:t>
            </w:r>
          </w:p>
        </w:tc>
        <w:tc>
          <w:tcPr>
            <w:tcW w:type="dxa" w:w="5040"/>
          </w:tcPr>
          <w:p>
            <w:r>
              <w:t>Structured dialectical review: assumptions, evidence, contradictions, omissions, downstream risk, and confidence boundaries.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Output</w:t>
            </w:r>
          </w:p>
        </w:tc>
        <w:tc>
          <w:tcPr>
            <w:tcW w:type="dxa" w:w="5040"/>
          </w:tcPr>
          <w:p>
            <w:r>
              <w:t>A reviewable audit record with risk flags, missing information, escalation notes, and a disposition.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Primary outcome</w:t>
            </w:r>
          </w:p>
        </w:tc>
        <w:tc>
          <w:tcPr>
            <w:tcW w:type="dxa" w:w="5040"/>
          </w:tcPr>
          <w:p>
            <w:r>
              <w:t>Better decision quality, clearer accountability, and improved review consistency.</w:t>
            </w:r>
          </w:p>
        </w:tc>
      </w:tr>
    </w:tbl>
    <w:p/>
    <w:p>
      <w:pPr>
        <w:pStyle w:val="Heading1"/>
      </w:pPr>
      <w:r>
        <w:t>4. How the workflow works</w:t>
      </w:r>
    </w:p>
    <w:p>
      <w:pPr>
        <w:pStyle w:val="ListNumber"/>
      </w:pPr>
      <w:r>
        <w:t>Capture the original output or decision claim exactly as presented.</w:t>
      </w:r>
    </w:p>
    <w:p>
      <w:pPr>
        <w:pStyle w:val="ListNumber"/>
      </w:pPr>
      <w:r>
        <w:t>Classify the domain, decision stakes, user role, and reliance risk.</w:t>
      </w:r>
    </w:p>
    <w:p>
      <w:pPr>
        <w:pStyle w:val="ListNumber"/>
      </w:pPr>
      <w:r>
        <w:t>Identify the explicit and hidden assumptions required for the claim to hold.</w:t>
      </w:r>
    </w:p>
    <w:p>
      <w:pPr>
        <w:pStyle w:val="ListNumber"/>
      </w:pPr>
      <w:r>
        <w:t>Check for missing evidence, vague terms, unsupported authorities, and unverified facts.</w:t>
      </w:r>
    </w:p>
    <w:p>
      <w:pPr>
        <w:pStyle w:val="ListNumber"/>
      </w:pPr>
      <w:r>
        <w:t>Challenge the claim from opposing angles: contradiction, exception, edge case, incentive conflict, and scope failure.</w:t>
      </w:r>
    </w:p>
    <w:p>
      <w:pPr>
        <w:pStyle w:val="ListNumber"/>
      </w:pPr>
      <w:r>
        <w:t>Produce an audit-style decision record with risk level, uncertainty, escalation needs, and reviewer disposition.</w:t>
      </w:r>
    </w:p>
    <w:p>
      <w:pPr>
        <w:pStyle w:val="ListNumber"/>
      </w:pPr>
      <w:r>
        <w:t>Store the result as a repeatable artifact for later review, training, or governance reporting.</w:t>
      </w:r>
    </w:p>
    <w:p>
      <w:pPr>
        <w:pStyle w:val="Heading1"/>
      </w:pPr>
      <w:r>
        <w:t>5. Target customer wedge</w:t>
      </w:r>
    </w:p>
    <w:p>
      <w:pPr>
        <w:pStyle w:val="ListBullet"/>
      </w:pPr>
      <w:r>
        <w:t>First wedge: organizations using AI in high-consequence workflows but lacking formal AI-output governance.</w:t>
      </w:r>
    </w:p>
    <w:p>
      <w:pPr>
        <w:pStyle w:val="ListBullet"/>
      </w:pPr>
      <w:r>
        <w:t>Best early buyers: legal/compliance teams, professional-service firms, enterprise software companies, regulated operations teams, research and analysis groups, and civic innovation offices.</w:t>
      </w:r>
    </w:p>
    <w:p>
      <w:pPr>
        <w:pStyle w:val="ListBullet"/>
      </w:pPr>
      <w:r>
        <w:t>Best first pilot format: deidentified non-production review of 10-20 sample outputs or decisions, producing a before/after audit-quality comparison.</w:t>
      </w:r>
    </w:p>
    <w:p>
      <w:pPr>
        <w:pStyle w:val="Heading1"/>
      </w:pPr>
      <w:r>
        <w:t>6. Current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Field</w:t>
            </w:r>
          </w:p>
        </w:tc>
        <w:tc>
          <w:tcPr>
            <w:tcW w:type="dxa" w:w="504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Packet entry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Exists today</w:t>
            </w:r>
          </w:p>
        </w:tc>
        <w:tc>
          <w:tcPr>
            <w:tcW w:type="dxa" w:w="5040"/>
          </w:tcPr>
          <w:p>
            <w:r>
              <w:t>Framework logic, use-case definition, early documentation, prospect outreach material, meeting materials, demonstration script, and pilot design.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In progress</w:t>
            </w:r>
          </w:p>
        </w:tc>
        <w:tc>
          <w:tcPr>
            <w:tcW w:type="dxa" w:w="5040"/>
          </w:tcPr>
          <w:p>
            <w:r>
              <w:t>Repeatable evaluation rubric, external review packet, customer discovery, prototype interface/CLI or document workflow, and validation plan.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Not yet claimed</w:t>
            </w:r>
          </w:p>
        </w:tc>
        <w:tc>
          <w:tcPr>
            <w:tcW w:type="dxa" w:w="5040"/>
          </w:tcPr>
          <w:p>
            <w:r>
              <w:t>Certified compliance status, production deployment, revenue, independent benchmark results, or regulatory approval.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</w:rPr>
              <w:t>Near-term milestone</w:t>
            </w:r>
          </w:p>
        </w:tc>
        <w:tc>
          <w:tcPr>
            <w:tcW w:type="dxa" w:w="5040"/>
          </w:tcPr>
          <w:p>
            <w:r>
              <w:t>Turn the framework into a narrow pilot workflow that can be evaluated by advisors and potential design partners.</w:t>
            </w:r>
          </w:p>
        </w:tc>
      </w:tr>
    </w:tbl>
    <w:p/>
    <w:p>
      <w:pPr>
        <w:pStyle w:val="Heading1"/>
      </w:pPr>
      <w:r>
        <w:t>7. Team narrative</w:t>
      </w:r>
    </w:p>
    <w:p>
      <w:r>
        <w:t>Nicole Bess is presented as founder and lead architect of the DAXDA.IA framework, responsible for product vision, governance method, validation direction, and external positioning.</w:t>
      </w:r>
    </w:p>
    <w:p>
      <w:r>
        <w:t>Alexander Tyski is presented as strategic partner/co-founder for external relationships, customer discovery, business development, and partnership development. Confirm legal spelling, title, and equity status before distributing externally.</w:t>
      </w:r>
    </w:p>
    <w:p>
      <w:pPr>
        <w:pStyle w:val="Heading1"/>
      </w:pPr>
      <w:r>
        <w:t>8. Differentiation</w:t>
      </w:r>
    </w:p>
    <w:p>
      <w:pPr>
        <w:pStyle w:val="ListBullet"/>
      </w:pPr>
      <w:r>
        <w:t>DAXDA.IA is framed around documented challenge and review, not simply better prompting.</w:t>
      </w:r>
    </w:p>
    <w:p>
      <w:pPr>
        <w:pStyle w:val="ListBullet"/>
      </w:pPr>
      <w:r>
        <w:t>It treats AI outputs as decision objects requiring assumptions, evidence, uncertainty, and escalation notes.</w:t>
      </w:r>
    </w:p>
    <w:p>
      <w:pPr>
        <w:pStyle w:val="ListBullet"/>
      </w:pPr>
      <w:r>
        <w:t>It can produce a durable audit record instead of a one-off answer.</w:t>
      </w:r>
    </w:p>
    <w:p>
      <w:pPr>
        <w:pStyle w:val="ListBullet"/>
      </w:pPr>
      <w:r>
        <w:t>It is intended to be usable by non-technical reviewers while still supporting deeper technical validation over time.</w:t>
      </w:r>
    </w:p>
    <w:p>
      <w:pPr>
        <w:pStyle w:val="ListBullet"/>
      </w:pPr>
      <w:r>
        <w:t>It is designed to complement, not replace, legal, compliance, security, research, or domain-expert judgment.</w:t>
      </w:r>
    </w:p>
    <w:p>
      <w:pPr>
        <w:pStyle w:val="Heading1"/>
      </w:pPr>
      <w:r>
        <w:t>9. JumpStart meeting objective</w:t>
      </w:r>
    </w:p>
    <w:p>
      <w:pPr>
        <w:pStyle w:val="ListBullet"/>
      </w:pPr>
      <w:r>
        <w:t>Clarify whether DAXDA.IA fits JumpStart tech startup services, software accelerator pathways, small business support, or a referral route.</w:t>
      </w:r>
    </w:p>
    <w:p>
      <w:pPr>
        <w:pStyle w:val="ListBullet"/>
      </w:pPr>
      <w:r>
        <w:t>Identify the strongest near-term milestone to become customer-, pilot-, or funding-ready.</w:t>
      </w:r>
    </w:p>
    <w:p>
      <w:pPr>
        <w:pStyle w:val="ListBullet"/>
      </w:pPr>
      <w:r>
        <w:t>Request introductions to advisors, pilot customers, AI governance experts, enterprise software operators, or regional founder resources.</w:t>
      </w:r>
    </w:p>
    <w:p>
      <w:pPr>
        <w:pStyle w:val="ListBullet"/>
      </w:pPr>
      <w:r>
        <w:t>Ask what evidence JumpStart would need to see before recommending accelerator participation or capital-readiness support.</w:t>
      </w:r>
    </w:p>
    <w:p>
      <w:pPr>
        <w:pStyle w:val="Heading1"/>
      </w:pPr>
      <w:r>
        <w:t>Source notes</w:t>
      </w:r>
    </w:p>
    <w:p>
      <w:r>
        <w:t>Used to align this packet to JumpStart's public language. Verify program fit with Evan during the meeting because program availability and eligibility can change.</w:t>
      </w:r>
    </w:p>
    <w:p>
      <w:pPr>
        <w:pStyle w:val="ListBullet"/>
      </w:pPr>
      <w:r>
        <w:rPr>
          <w:b/>
        </w:rPr>
        <w:t xml:space="preserve">JumpStart homepage: </w:t>
      </w:r>
      <w:r>
        <w:t>https://jumpstartinc.org/</w:t>
      </w:r>
    </w:p>
    <w:p>
      <w:pPr>
        <w:pStyle w:val="ListBullet"/>
      </w:pPr>
      <w:r>
        <w:rPr>
          <w:b/>
        </w:rPr>
        <w:t xml:space="preserve">JumpStart tech startups page: </w:t>
      </w:r>
      <w:r>
        <w:t>https://jumpstartinc.org/startups</w:t>
      </w:r>
    </w:p>
    <w:p>
      <w:pPr>
        <w:pStyle w:val="ListBullet"/>
      </w:pPr>
      <w:r>
        <w:rPr>
          <w:b/>
        </w:rPr>
        <w:t xml:space="preserve">JumpStart Trailblazer Software Accelerator: </w:t>
      </w:r>
      <w:r>
        <w:t>https://jumpstartinc.org/startups/software</w:t>
      </w:r>
    </w:p>
    <w:p>
      <w:pPr>
        <w:pStyle w:val="ListBullet"/>
      </w:pPr>
      <w:r>
        <w:rPr>
          <w:b/>
        </w:rPr>
        <w:t xml:space="preserve">JumpStart small business resources: </w:t>
      </w:r>
      <w:r>
        <w:t>https://jumpstartinc.org/smallbiz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