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DAXDA.IA – Co-Founder Position Charter</w:t>
      </w:r>
    </w:p>
    <w:p>
      <w:r>
        <w:t>Co-Founder: Alexander Tsutskiridze</w:t>
      </w:r>
    </w:p>
    <w:p>
      <w:pPr>
        <w:pStyle w:val="Heading1"/>
      </w:pPr>
      <w:r>
        <w:t>Official Title</w:t>
      </w:r>
    </w:p>
    <w:p>
      <w:r>
        <w:t>Co-Founder &amp; Chief Operating Officer (COO)</w:t>
      </w:r>
    </w:p>
    <w:p>
      <w:pPr>
        <w:pStyle w:val="Heading1"/>
      </w:pPr>
      <w:r>
        <w:t>Mission</w:t>
      </w:r>
    </w:p>
    <w:p>
      <w:r>
        <w:t>Lead operational execution, partnerships, deployment strategy, and organizational scaling for DAXDA.IA.</w:t>
      </w:r>
    </w:p>
    <w:p>
      <w:pPr>
        <w:pStyle w:val="Heading1"/>
      </w:pPr>
      <w:r>
        <w:t>Core Responsibilities</w:t>
      </w:r>
    </w:p>
    <w:p>
      <w:pPr>
        <w:pStyle w:val="ListBullet"/>
      </w:pPr>
      <w:r>
        <w:t>Operational leadership and company execution</w:t>
      </w:r>
    </w:p>
    <w:p>
      <w:pPr>
        <w:pStyle w:val="ListBullet"/>
      </w:pPr>
      <w:r>
        <w:t>Strategic partnerships and business development</w:t>
      </w:r>
    </w:p>
    <w:p>
      <w:pPr>
        <w:pStyle w:val="ListBullet"/>
      </w:pPr>
      <w:r>
        <w:t>Pilot customer acquisition and relationship management</w:t>
      </w:r>
    </w:p>
    <w:p>
      <w:pPr>
        <w:pStyle w:val="ListBullet"/>
      </w:pPr>
      <w:r>
        <w:t>Infrastructure deployment coordination</w:t>
      </w:r>
    </w:p>
    <w:p>
      <w:pPr>
        <w:pStyle w:val="ListBullet"/>
      </w:pPr>
      <w:r>
        <w:t>International outreach and vendor relations</w:t>
      </w:r>
    </w:p>
    <w:p>
      <w:pPr>
        <w:pStyle w:val="ListBullet"/>
      </w:pPr>
      <w:r>
        <w:t>Hiring and organizational development</w:t>
      </w:r>
    </w:p>
    <w:p>
      <w:pPr>
        <w:pStyle w:val="ListBullet"/>
      </w:pPr>
      <w:r>
        <w:t>Budget planning and operational reporting</w:t>
      </w:r>
    </w:p>
    <w:p>
      <w:pPr>
        <w:pStyle w:val="ListBullet"/>
      </w:pPr>
      <w:r>
        <w:t>Support of governance and validation initiatives</w:t>
      </w:r>
    </w:p>
    <w:p>
      <w:pPr>
        <w:pStyle w:val="Heading1"/>
      </w:pPr>
      <w:r>
        <w:t>Authority</w:t>
      </w:r>
    </w:p>
    <w:p>
      <w:r>
        <w:t>The COO is empowered to execute operational decisions consistent with the strategic direction established by the founders.</w:t>
      </w:r>
    </w:p>
    <w:p>
      <w:pPr>
        <w:pStyle w:val="Heading1"/>
      </w:pPr>
      <w:r>
        <w:t>Proposed Equity Structure</w:t>
      </w:r>
    </w:p>
    <w:p>
      <w:r>
        <w:t>Nicole Bess: 40%</w:t>
        <w:br/>
        <w:t>Alexander Tsutskiridze: 33%</w:t>
        <w:br/>
        <w:t>Community/Outreach Fund: 7%</w:t>
        <w:br/>
        <w:t>Reserve/Future Allocation Pool: 20%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