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olor w:val="C9A84C"/>
          <w:sz w:val="96"/>
          <w:szCs w:val="96"/>
        </w:rPr>
        <w:t xml:space="preserve">DAXDA.IA</w:t>
      </w:r>
    </w:p>
    <w:p>
      <w:pPr>
        <w:spacing w:after="240" w:before="0"/>
        <w:jc w:val="center"/>
      </w:pPr>
      <w:r>
        <w:rPr>
          <w:rFonts w:ascii="Arial" w:cs="Arial" w:eastAsia="Arial" w:hAnsi="Arial"/>
          <w:b/>
          <w:bCs/>
          <w:color w:val="2E4A6A"/>
          <w:sz w:val="36"/>
          <w:szCs w:val="36"/>
        </w:rPr>
        <w:t xml:space="preserve">886-OPS ARCHITECTURE</w:t>
      </w:r>
    </w:p>
    <w:p>
      <w:pPr>
        <w:pBdr>
          <w:bottom w:val="single" w:color="C9A84C" w:sz="4" w:space="1"/>
        </w:pBdr>
        <w:spacing w:after="120" w:before="120"/>
      </w:pPr>
    </w:p>
    <w:p>
      <w:pPr>
        <w:spacing w:after="120" w:before="120"/>
        <w:jc w:val="center"/>
      </w:pPr>
      <w:r>
        <w:rPr>
          <w:rFonts w:ascii="Arial" w:cs="Arial" w:eastAsia="Arial" w:hAnsi="Arial"/>
          <w:caps/>
          <w:color w:val="8899AA"/>
          <w:sz w:val="22"/>
          <w:szCs w:val="22"/>
        </w:rPr>
        <w:t xml:space="preserve">SYSTEMS ARCHITECTURE · DEPLOYMENT STRATEGY · FINANCIAL CASE · FUNDING PACKAGE</w:t>
      </w:r>
    </w:p>
    <w:p>
      <w:pPr>
        <w:pBdr>
          <w:bottom w:val="single" w:color="C9A84C" w:sz="4" w:space="1"/>
        </w:pBdr>
        <w:spacing w:after="120" w:before="120"/>
      </w:pPr>
    </w:p>
    <w:p>
      <w:pPr>
        <w:spacing w:after="0" w:before="1200"/>
      </w:pPr>
    </w:p>
    <w:p>
      <w:pPr>
        <w:spacing w:after="80" w:before="0"/>
        <w:jc w:val="center"/>
      </w:pPr>
      <w:r>
        <w:rPr>
          <w:rFonts w:ascii="Arial" w:cs="Arial" w:eastAsia="Arial" w:hAnsi="Arial"/>
          <w:i/>
          <w:iCs/>
          <w:color w:val="8899AA"/>
          <w:sz w:val="24"/>
          <w:szCs w:val="24"/>
        </w:rPr>
        <w:t xml:space="preserve">A GLOBAL TREND REPORT — MAY 2026</w:t>
      </w:r>
    </w:p>
    <w:p>
      <w:pPr>
        <w:spacing w:after="0" w:before="0"/>
        <w:jc w:val="center"/>
      </w:pPr>
      <w:r>
        <w:rPr>
          <w:rFonts w:ascii="Arial" w:cs="Arial" w:eastAsia="Arial" w:hAnsi="Arial"/>
          <w:color w:val="8899AA"/>
          <w:sz w:val="20"/>
          <w:szCs w:val="20"/>
        </w:rPr>
        <w:t xml:space="preserve">Protocol Author: Nicole Bess  ·  Architecture: 886-Ops  ·  Classification: CONFIDENTIAL</w:t>
      </w:r>
    </w:p>
    <w:p>
      <w:r>
        <w:br w:type="page"/>
      </w:r>
    </w:p>
    <w:p>
      <w:pPr>
        <w:pStyle w:val="Heading1"/>
        <w:spacing w:after="240" w:before="0"/>
      </w:pPr>
      <w:r>
        <w:rPr>
          <w:rFonts w:ascii="Arial" w:cs="Arial" w:eastAsia="Arial" w:hAnsi="Arial"/>
          <w:b/>
          <w:bCs/>
          <w:color w:val="0D1B2A"/>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0"/>
      </w:pPr>
      <w:r>
        <w:rPr>
          <w:rFonts w:ascii="Arial" w:cs="Arial" w:eastAsia="Arial" w:hAnsi="Arial"/>
          <w:b/>
          <w:bCs/>
          <w:color w:val="0D1B2A"/>
          <w:sz w:val="40"/>
          <w:szCs w:val="40"/>
        </w:rPr>
        <w:t xml:space="preserve">EXECUTIVE SUMMARY</w:t>
      </w:r>
    </w:p>
    <w:p>
      <w:pPr>
        <w:spacing w:after="240" w:before="0"/>
      </w:pPr>
      <w:r>
        <w:rPr>
          <w:rFonts w:ascii="Arial" w:cs="Arial" w:eastAsia="Arial" w:hAnsi="Arial"/>
          <w:b/>
          <w:bCs/>
          <w:color w:val="C9A84C"/>
          <w:sz w:val="30"/>
          <w:szCs w:val="30"/>
        </w:rPr>
        <w:t xml:space="preserve">The Governance Gap Is Now a Crisis — and DAXDA.IA Is the Only Engine Built to Close It.</w:t>
      </w:r>
    </w:p>
    <w:p>
      <w:pPr>
        <w:spacing w:after="80" w:before="80"/>
      </w:pPr>
      <w:r>
        <w:rPr>
          <w:rFonts w:ascii="Arial" w:cs="Arial" w:eastAsia="Arial" w:hAnsi="Arial"/>
          <w:color w:val="0A0A0A"/>
          <w:sz w:val="22"/>
          <w:szCs w:val="22"/>
        </w:rPr>
        <w:t xml:space="preserve">We are living through the most consequential inflection point in the history of artificial intelligence. Enterprises are deploying language models at a pace that has outrun every governance, audit, and safety framework ever conceived. The result is not merely technical debt. It is existential liability: unverifiable decisions, unattributable outputs, and undetectable failure cascades embedded inside the most sensitive workflows on the planet.</w:t>
      </w:r>
    </w:p>
    <w:p>
      <w:pPr>
        <w:spacing w:after="80" w:before="80"/>
      </w:pPr>
      <w:r>
        <w:rPr>
          <w:rFonts w:ascii="Arial" w:cs="Arial" w:eastAsia="Arial" w:hAnsi="Arial"/>
          <w:color w:val="0A0A0A"/>
          <w:sz w:val="22"/>
          <w:szCs w:val="22"/>
        </w:rPr>
        <w:t xml:space="preserve">DAXDA.IA was not built to participate in that world. It was built to end it.</w:t>
      </w:r>
    </w:p>
    <w:p>
      <w:pPr>
        <w:spacing w:after="80" w:before="80"/>
      </w:pPr>
      <w:r>
        <w:rPr>
          <w:rFonts w:ascii="Arial" w:cs="Arial" w:eastAsia="Arial" w:hAnsi="Arial"/>
          <w:color w:val="0A0A0A"/>
          <w:sz w:val="22"/>
          <w:szCs w:val="22"/>
        </w:rPr>
        <w:t xml:space="preserve">The Dialectical Alignment Protocol — DA13 — is the first recursive, multi-stage reasoning and governance engine designed to operate at the pre-LLM layer. Before data reaches a model. Before outputs are generated. Before harm is done. DAXDA.IA enforces a 886-operation governance pass on every single prompt, every single time, without exception.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8899AA" w:sz="1"/>
              <w:bottom w:val="single" w:color="8899AA" w:sz="1"/>
              <w:right w:val="single" w:color="8899AA" w:sz="1"/>
            </w:tcBorders>
            <w:shd w:fill="EAF0F6" w:val="clear"/>
            <w:tcMar>
              <w:top w:type="dxa" w:w="120"/>
              <w:left w:type="dxa" w:w="200"/>
              <w:bottom w:type="dxa" w:w="120"/>
              <w:right w:type="dxa" w:w="200"/>
            </w:tcMar>
          </w:tcPr>
          <w:p>
            <w:pPr>
              <w:spacing w:after="60" w:before="0"/>
            </w:pPr>
            <w:r>
              <w:rPr>
                <w:rFonts w:ascii="Arial" w:cs="Arial" w:eastAsia="Arial" w:hAnsi="Arial"/>
                <w:b/>
                <w:bCs/>
                <w:color w:val="C9A84C"/>
                <w:sz w:val="20"/>
                <w:szCs w:val="20"/>
              </w:rPr>
              <w:t xml:space="preserve">THE NUMBER THAT MATTERS</w:t>
            </w:r>
          </w:p>
          <w:p>
            <w:pPr>
              <w:spacing w:after="0" w:before="0"/>
            </w:pPr>
            <w:r>
              <w:rPr>
                <w:rFonts w:ascii="Arial" w:cs="Arial" w:eastAsia="Arial" w:hAnsi="Arial"/>
                <w:color w:val="0A0A0A"/>
                <w:sz w:val="21"/>
                <w:szCs w:val="21"/>
              </w:rPr>
              <w:t xml:space="preserve">886 discrete governance operations per prompt. 16 reasoning layers. 55 tiles. 6 system operations. Every invocation. Zero exceptions. This is not a filter — it is a constitution, enforced in real time.</w:t>
            </w:r>
          </w:p>
        </w:tc>
      </w:tr>
    </w:tbl>
    <w:p>
      <w:pPr>
        <w:spacing w:after="0" w:before="120"/>
      </w:pPr>
    </w:p>
    <w:p>
      <w:pPr>
        <w:spacing w:after="80" w:before="80"/>
      </w:pPr>
      <w:r>
        <w:rPr>
          <w:rFonts w:ascii="Arial" w:cs="Arial" w:eastAsia="Arial" w:hAnsi="Arial"/>
          <w:color w:val="0A0A0A"/>
          <w:sz w:val="22"/>
          <w:szCs w:val="22"/>
        </w:rPr>
        <w:t xml:space="preserve">The Monte Carlo adversarial validation suite confirmed a 99.3% score across 50 purpose-designed attack vectors — including prompt injection, evidence fabrication, privacy violations, medical safety traps, and legal contradiction traps. All 8 boardroom-killer scenarios passed with a perfect score of 3. No failures. No partial collapses. No governance drift.</w:t>
      </w:r>
    </w:p>
    <w:p>
      <w:pPr>
        <w:spacing w:after="80" w:before="80"/>
      </w:pPr>
      <w:r>
        <w:rPr>
          <w:rFonts w:ascii="Arial" w:cs="Arial" w:eastAsia="Arial" w:hAnsi="Arial"/>
          <w:color w:val="0A0A0A"/>
          <w:sz w:val="22"/>
          <w:szCs w:val="22"/>
        </w:rPr>
        <w:t xml:space="preserve">The 16-capability test suite, run in parallel across the full reasoning spectrum, returned a 100% pass rate at 95.3% average confidence across domains ranging from novel game learning to adversarial re-evaluation to self-preservation resistance.</w:t>
      </w:r>
    </w:p>
    <w:p>
      <w:pPr>
        <w:spacing w:after="80" w:before="80"/>
      </w:pPr>
      <w:r>
        <w:rPr>
          <w:rFonts w:ascii="Arial" w:cs="Arial" w:eastAsia="Arial" w:hAnsi="Arial"/>
          <w:color w:val="0A0A0A"/>
          <w:sz w:val="22"/>
          <w:szCs w:val="22"/>
        </w:rPr>
        <w:t xml:space="preserve">This document is the definitive operational, financial, and strategic brief for DAXDA.IA. It is written for founders, investors, enterprise buyers, and technical architects who understand that the next decade will not be won by the most capable AI — it will be won by the most governed one.</w:t>
      </w:r>
    </w:p>
    <w:p>
      <w:pPr>
        <w:spacing w:after="80" w:before="80"/>
      </w:pPr>
      <w:r>
        <w:rPr>
          <w:rFonts w:ascii="Arial" w:cs="Arial" w:eastAsia="Arial" w:hAnsi="Arial"/>
          <w:color w:val="0A0A0A"/>
          <w:sz w:val="22"/>
          <w:szCs w:val="22"/>
        </w:rPr>
        <w:t xml:space="preserve">DAXDA.IA is that system. This is its blueprint.</w:t>
      </w:r>
    </w:p>
    <w:p>
      <w:pPr>
        <w:pStyle w:val="Heading1"/>
        <w:pageBreakBefore/>
        <w:spacing w:after="240" w:before="0"/>
      </w:pPr>
      <w:r>
        <w:rPr>
          <w:rFonts w:ascii="Arial" w:cs="Arial" w:eastAsia="Arial" w:hAnsi="Arial"/>
          <w:b/>
          <w:bCs/>
          <w:color w:val="0D1B2A"/>
          <w:sz w:val="40"/>
          <w:szCs w:val="40"/>
        </w:rPr>
        <w:t xml:space="preserve">MEETING NOTES: ARCHITECTURE WALKTHROUGH</w:t>
      </w:r>
    </w:p>
    <w:p>
      <w:pPr>
        <w:spacing w:after="240" w:before="0"/>
      </w:pPr>
      <w:r>
        <w:rPr>
          <w:rFonts w:ascii="Arial" w:cs="Arial" w:eastAsia="Arial" w:hAnsi="Arial"/>
          <w:i/>
          <w:iCs/>
          <w:color w:val="8899AA"/>
          <w:sz w:val="22"/>
          <w:szCs w:val="22"/>
        </w:rPr>
        <w:t xml:space="preserve">Session: 886-Ops Architecture Deep Dive  ·  May 2026  ·  Nicole Protocol</w:t>
      </w:r>
    </w:p>
    <w:p>
      <w:pPr>
        <w:spacing w:after="80" w:before="80"/>
      </w:pPr>
      <w:r>
        <w:rPr>
          <w:rFonts w:ascii="Arial" w:cs="Arial" w:eastAsia="Arial" w:hAnsi="Arial"/>
          <w:color w:val="0A0A0A"/>
          <w:sz w:val="22"/>
          <w:szCs w:val="22"/>
        </w:rPr>
        <w:t xml:space="preserve">What follows is the living record of the architecture session in which the DAXDA.IA system was decomposed, layer by layer, function by function, until every boundary was clean, every contract was defined, and every failure mode was named. This is not a polished retrospective. This is the conversation that built the machine.</w:t>
      </w:r>
    </w:p>
    <w:p>
      <w:pPr>
        <w:pStyle w:val="Heading2"/>
        <w:spacing w:after="120" w:before="300"/>
      </w:pPr>
      <w:r>
        <w:rPr>
          <w:rFonts w:ascii="Arial" w:cs="Arial" w:eastAsia="Arial" w:hAnsi="Arial"/>
          <w:b/>
          <w:bCs/>
          <w:color w:val="2E4A6A"/>
          <w:sz w:val="30"/>
          <w:szCs w:val="30"/>
        </w:rPr>
        <w:t xml:space="preserve">Opening Position: The Corrected Mental Model</w:t>
      </w:r>
    </w:p>
    <w:p>
      <w:pPr>
        <w:spacing w:after="80" w:before="80"/>
      </w:pPr>
      <w:r>
        <w:rPr>
          <w:rFonts w:ascii="Arial" w:cs="Arial" w:eastAsia="Arial" w:hAnsi="Arial"/>
          <w:color w:val="0A0A0A"/>
          <w:sz w:val="22"/>
          <w:szCs w:val="22"/>
        </w:rPr>
        <w:t xml:space="preserve">Before a single YAML file was written, the room needed to agree on one thing: what is this system, structurally? The answer took thirty minutes to settle, and it is worth preserving in full because every subsequent decision flows from it.</w:t>
      </w:r>
    </w:p>
    <w:p>
      <w:pPr>
        <w:spacing w:after="80" w:before="80"/>
      </w:pPr>
      <w:r>
        <w:rPr>
          <w:rFonts w:ascii="Arial" w:cs="Arial" w:eastAsia="Arial" w:hAnsi="Arial"/>
          <w:color w:val="0A0A0A"/>
          <w:sz w:val="22"/>
          <w:szCs w:val="22"/>
        </w:rPr>
        <w:t xml:space="preserve">The stack is a layered pyramid, not a mesh. At the base: code. Above it: Docker containers. Above that: Docker Compose for local integration. Above that: Kubernetes for deployment orchestration. And above all of it, sitting outside the cluster entirely as an intelligent coordinator: Manus. The moment that model was accepted, ten architectural errors dissolved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8899AA" w:sz="1"/>
              <w:bottom w:val="single" w:color="8899AA" w:sz="1"/>
              <w:right w:val="single" w:color="8899AA" w:sz="1"/>
            </w:tcBorders>
            <w:shd w:fill="EAF0F6" w:val="clear"/>
            <w:tcMar>
              <w:top w:type="dxa" w:w="120"/>
              <w:left w:type="dxa" w:w="200"/>
              <w:bottom w:type="dxa" w:w="120"/>
              <w:right w:type="dxa" w:w="200"/>
            </w:tcMar>
          </w:tcPr>
          <w:p>
            <w:pPr>
              <w:spacing w:after="60" w:before="0"/>
            </w:pPr>
            <w:r>
              <w:rPr>
                <w:rFonts w:ascii="Arial" w:cs="Arial" w:eastAsia="Arial" w:hAnsi="Arial"/>
                <w:b/>
                <w:bCs/>
                <w:color w:val="C9A84C"/>
                <w:sz w:val="20"/>
                <w:szCs w:val="20"/>
              </w:rPr>
              <w:t xml:space="preserve">DECISION LOG — ARCH-001</w:t>
            </w:r>
          </w:p>
          <w:p>
            <w:pPr>
              <w:spacing w:after="0" w:before="0"/>
            </w:pPr>
            <w:r>
              <w:rPr>
                <w:rFonts w:ascii="Arial" w:cs="Arial" w:eastAsia="Arial" w:hAnsi="Arial"/>
                <w:color w:val="0A0A0A"/>
                <w:sz w:val="21"/>
                <w:szCs w:val="21"/>
              </w:rPr>
              <w:t xml:space="preserve">Kubernetes is infrastructure, not a plugin. Manus is a coordinator, not a runtime. These two facts are the load-bearing walls of the entire system. Every INC-001 through INC-010 in the consistency audit traces back to violating one of them.</w:t>
            </w:r>
          </w:p>
        </w:tc>
      </w:tr>
    </w:tbl>
    <w:p>
      <w:pPr>
        <w:pStyle w:val="Heading2"/>
        <w:spacing w:after="120" w:before="300"/>
      </w:pPr>
      <w:r>
        <w:rPr>
          <w:rFonts w:ascii="Arial" w:cs="Arial" w:eastAsia="Arial" w:hAnsi="Arial"/>
          <w:b/>
          <w:bCs/>
          <w:color w:val="2E4A6A"/>
          <w:sz w:val="30"/>
          <w:szCs w:val="30"/>
        </w:rPr>
        <w:t xml:space="preserve">Layer 0: The DAX Core Engine</w:t>
      </w:r>
    </w:p>
    <w:p>
      <w:pPr>
        <w:spacing w:after="80" w:before="80"/>
      </w:pPr>
      <w:r>
        <w:rPr>
          <w:rFonts w:ascii="Arial" w:cs="Arial" w:eastAsia="Arial" w:hAnsi="Arial"/>
          <w:color w:val="0A0A0A"/>
          <w:sz w:val="22"/>
          <w:szCs w:val="22"/>
        </w:rPr>
        <w:t xml:space="preserve">The Core Engine is the soul of DAXDA.IA. It is the reasoning, governance, and recursive audit engine — the entity that enforces the DA13 Dialectical Alignment Protocol before any data reaches a language model. It is not a general-purpose LLM. It is not a storage layer. It is not a container orchestrator. It is a constitutional enforcement mechanism.</w:t>
      </w:r>
    </w:p>
    <w:p>
      <w:pPr>
        <w:spacing w:after="80" w:before="80"/>
      </w:pPr>
      <w:r>
        <w:rPr>
          <w:rFonts w:ascii="Arial" w:cs="Arial" w:eastAsia="Arial" w:hAnsi="Arial"/>
          <w:color w:val="0A0A0A"/>
          <w:sz w:val="22"/>
          <w:szCs w:val="22"/>
        </w:rPr>
        <w:t xml:space="preserve">The Core Engine exposes its reasoning surface via a REST/gRPC API to the DAX API Service. It reads structured and vector data from Postgres and the optional Vector Memory Store. It dispatches discrete audit tasks to Workers via a Redis queue. And it does all of this in strict, auditable sequence — 886 operations, 16 layers, 55 tiles, 6 system ops — before a single output token is released.</w:t>
      </w:r>
    </w:p>
    <w:p>
      <w:pPr>
        <w:spacing w:after="80" w:before="80"/>
      </w:pPr>
      <w:r>
        <w:rPr>
          <w:rFonts w:ascii="Arial" w:cs="Arial" w:eastAsia="Arial" w:hAnsi="Arial"/>
          <w:color w:val="0A0A0A"/>
          <w:sz w:val="22"/>
          <w:szCs w:val="22"/>
        </w:rPr>
        <w:t xml:space="preserve">The DA13 protocol stages are not decorative. Each of the thirteen recursive steps is a hard checkpoint: Surface Confirmation, Intent Check, Contrarian Spike, Bias Scan, Paradigm Flip, Energetic Integrity, Fractal Scaling, Ethical Echo, Temporal Drift, Cognitive Dissonance Trigger, Holistic Merge, Re-alignment Confirmation, and the final Response Output Standard. Any stage that fails to clear blocks the response. Any stage that degrades with uncertainty flags a WARN gate. The Core Engine does not hallucinate governance. It performs it.</w:t>
      </w:r>
    </w:p>
    <w:p>
      <w:pPr>
        <w:pStyle w:val="Heading2"/>
        <w:spacing w:after="120" w:before="300"/>
      </w:pPr>
      <w:r>
        <w:rPr>
          <w:rFonts w:ascii="Arial" w:cs="Arial" w:eastAsia="Arial" w:hAnsi="Arial"/>
          <w:b/>
          <w:bCs/>
          <w:color w:val="2E4A6A"/>
          <w:sz w:val="30"/>
          <w:szCs w:val="30"/>
        </w:rPr>
        <w:t xml:space="preserve">Layer 1: The DAX API Service</w:t>
      </w:r>
    </w:p>
    <w:p>
      <w:pPr>
        <w:spacing w:after="80" w:before="80"/>
      </w:pPr>
      <w:r>
        <w:rPr>
          <w:rFonts w:ascii="Arial" w:cs="Arial" w:eastAsia="Arial" w:hAnsi="Arial"/>
          <w:color w:val="0A0A0A"/>
          <w:sz w:val="22"/>
          <w:szCs w:val="22"/>
        </w:rPr>
        <w:t xml:space="preserve">The API Service is the public-facing HTTP gateway into the system. It handles authentication, request routing, and validation. It receives HTTP traffic from the Ingress controller and from Manus. It calls the DAX Core Engine via gRPC. It is explicitly not the reasoning logic — that separation is non-negotiable, because conflating routing with reasoning is the original sin of monolithic AI deployments.</w:t>
      </w:r>
    </w:p>
    <w:p>
      <w:pPr>
        <w:spacing w:after="80" w:before="80"/>
      </w:pPr>
      <w:r>
        <w:rPr>
          <w:rFonts w:ascii="Arial" w:cs="Arial" w:eastAsia="Arial" w:hAnsi="Arial"/>
          <w:color w:val="0A0A0A"/>
          <w:sz w:val="22"/>
          <w:szCs w:val="22"/>
        </w:rPr>
        <w:t xml:space="preserve">The API Service is also the primary integration point for external enterprise consumers. Every enterprise integration, every webhook, every SDK connection terminates here and is subject to the full governance pass before proceeding downstream. There is no bypass. There is no debug mode that disables governance. The gate is always on.</w:t>
      </w:r>
    </w:p>
    <w:p>
      <w:pPr>
        <w:pStyle w:val="Heading2"/>
        <w:spacing w:after="120" w:before="300"/>
      </w:pPr>
      <w:r>
        <w:rPr>
          <w:rFonts w:ascii="Arial" w:cs="Arial" w:eastAsia="Arial" w:hAnsi="Arial"/>
          <w:b/>
          <w:bCs/>
          <w:color w:val="2E4A6A"/>
          <w:sz w:val="30"/>
          <w:szCs w:val="30"/>
        </w:rPr>
        <w:t xml:space="preserve">Layer 2: The DAX Worker Service</w:t>
      </w:r>
    </w:p>
    <w:p>
      <w:pPr>
        <w:spacing w:after="80" w:before="80"/>
      </w:pPr>
      <w:r>
        <w:rPr>
          <w:rFonts w:ascii="Arial" w:cs="Arial" w:eastAsia="Arial" w:hAnsi="Arial"/>
          <w:color w:val="0A0A0A"/>
          <w:sz w:val="22"/>
          <w:szCs w:val="22"/>
        </w:rPr>
        <w:t xml:space="preserve">Workers are the execution units. They consume discrete audit tasks dispatched by the Core Engine from the Redis queue. They scale horizontally via Kubernetes HorizontalPodAutoscaler — minimum 2 replicas, maximum 10, targeting 70% CPU utilization. They write results to Postgres. They are stateless by design, which means adding capacity is a kubectl command, not an architectural negotiation.</w:t>
      </w:r>
    </w:p>
    <w:p>
      <w:pPr>
        <w:spacing w:after="80" w:before="80"/>
      </w:pPr>
      <w:r>
        <w:rPr>
          <w:rFonts w:ascii="Arial" w:cs="Arial" w:eastAsia="Arial" w:hAnsi="Arial"/>
          <w:color w:val="0A0A0A"/>
          <w:sz w:val="22"/>
          <w:szCs w:val="22"/>
        </w:rPr>
        <w:t xml:space="preserve">The Worker separation is critical for throughput. The Core Engine should never be blocked by I/O-bound audit execution. By offloading to Workers, the system can process multiple concurrent audit chains without degrading the latency of the Core Engine's reasoning loop.</w:t>
      </w:r>
    </w:p>
    <w:p>
      <w:pPr>
        <w:pStyle w:val="Heading2"/>
        <w:spacing w:after="120" w:before="300"/>
      </w:pPr>
      <w:r>
        <w:rPr>
          <w:rFonts w:ascii="Arial" w:cs="Arial" w:eastAsia="Arial" w:hAnsi="Arial"/>
          <w:b/>
          <w:bCs/>
          <w:color w:val="2E4A6A"/>
          <w:sz w:val="30"/>
          <w:szCs w:val="30"/>
        </w:rPr>
        <w:t xml:space="preserve">Layer 3: DAX Telemetry Service</w:t>
      </w:r>
    </w:p>
    <w:p>
      <w:pPr>
        <w:spacing w:after="80" w:before="80"/>
      </w:pPr>
      <w:r>
        <w:rPr>
          <w:rFonts w:ascii="Arial" w:cs="Arial" w:eastAsia="Arial" w:hAnsi="Arial"/>
          <w:color w:val="0A0A0A"/>
          <w:sz w:val="22"/>
          <w:szCs w:val="22"/>
        </w:rPr>
        <w:t xml:space="preserve">The Telemetry Service is the system's immune system. It collects logs, metrics, and audit trails from every DAX component via UDP/TCP, then forwards to Prometheus, Grafana, and centralized ELK-stack logging. Before a single query hits production, Prometheus and Grafana are deployed. Blind production deployments are a reliability anti-pattern — and for a governance engine, they are an ethical failure.</w:t>
      </w:r>
    </w:p>
    <w:p>
      <w:pPr>
        <w:spacing w:after="80" w:before="80"/>
      </w:pPr>
      <w:r>
        <w:rPr>
          <w:rFonts w:ascii="Arial" w:cs="Arial" w:eastAsia="Arial" w:hAnsi="Arial"/>
          <w:color w:val="0A0A0A"/>
          <w:sz w:val="22"/>
          <w:szCs w:val="22"/>
        </w:rPr>
        <w:t xml:space="preserve">The audit trail is append-only. Audit records are cryptographically signed. The role of audit trigger is separated from the role of audit result access. This is not over-engineering. For a system that will be presented to enterprise buyers and regulators as a governance authority, the audit infrastructure must be beyond reproach.</w:t>
      </w:r>
    </w:p>
    <w:p>
      <w:pPr>
        <w:pStyle w:val="Heading2"/>
        <w:spacing w:after="120" w:before="300"/>
      </w:pPr>
      <w:r>
        <w:rPr>
          <w:rFonts w:ascii="Arial" w:cs="Arial" w:eastAsia="Arial" w:hAnsi="Arial"/>
          <w:b/>
          <w:bCs/>
          <w:color w:val="2E4A6A"/>
          <w:sz w:val="30"/>
          <w:szCs w:val="30"/>
        </w:rPr>
        <w:t xml:space="preserve">Layer 4: Dashboard/UI</w:t>
      </w:r>
    </w:p>
    <w:p>
      <w:pPr>
        <w:spacing w:after="80" w:before="80"/>
      </w:pPr>
      <w:r>
        <w:rPr>
          <w:rFonts w:ascii="Arial" w:cs="Arial" w:eastAsia="Arial" w:hAnsi="Arial"/>
          <w:color w:val="0A0A0A"/>
          <w:sz w:val="22"/>
          <w:szCs w:val="22"/>
        </w:rPr>
        <w:t xml:space="preserve">The Dashboard is the human interface — a web-based monitoring, configuration, and audit review surface. It calls the DAX API over HTTP/S. It is explicitly not a backend service or processing engine. Its job is to make the invisible auditable: to surface the real-time state of the DA13 protocol, the gate distribution across all active sessions, and the historical audit trail in a format that a non-technical stakeholder — a Chief Risk Officer, a board member, a regulator — can read, understand, and trust.</w:t>
      </w:r>
    </w:p>
    <w:p>
      <w:pPr>
        <w:spacing w:after="80" w:before="80"/>
      </w:pPr>
      <w:r>
        <w:rPr>
          <w:rFonts w:ascii="Arial" w:cs="Arial" w:eastAsia="Arial" w:hAnsi="Arial"/>
          <w:color w:val="0A0A0A"/>
          <w:sz w:val="22"/>
          <w:szCs w:val="22"/>
        </w:rPr>
        <w:t xml:space="preserve">The visual Mapper component — the toroidal halo with 13 radial bands, pulsing at each recursive node, with the center glyph glowing on full alignment — is not decoration. It is the most important compliance interface in the system. It turns 886 operations per prompt into a single, legible signal: aligned or not aligned.</w:t>
      </w:r>
    </w:p>
    <w:p>
      <w:pPr>
        <w:pStyle w:val="Heading2"/>
        <w:spacing w:after="120" w:before="300"/>
      </w:pPr>
      <w:r>
        <w:rPr>
          <w:rFonts w:ascii="Arial" w:cs="Arial" w:eastAsia="Arial" w:hAnsi="Arial"/>
          <w:b/>
          <w:bCs/>
          <w:color w:val="2E4A6A"/>
          <w:sz w:val="30"/>
          <w:szCs w:val="30"/>
        </w:rPr>
        <w:t xml:space="preserve">Infrastructure Layer: Kubernetes, Docker, Redis, Postgres</w:t>
      </w:r>
    </w:p>
    <w:p>
      <w:pPr>
        <w:spacing w:after="80" w:before="80"/>
      </w:pPr>
      <w:r>
        <w:rPr>
          <w:rFonts w:ascii="Arial" w:cs="Arial" w:eastAsia="Arial" w:hAnsi="Arial"/>
          <w:color w:val="0A0A0A"/>
          <w:sz w:val="22"/>
          <w:szCs w:val="22"/>
        </w:rPr>
        <w:t xml:space="preserve">Docker packages each DAX service into a reproducible, pinned-version image. The rule is absolute: no :latest tags, ever. Images are built from pinned base images — python:3.11-slim, not python:latest — run as non-root inside containers, and pushed to a private registry.</w:t>
      </w:r>
    </w:p>
    <w:p>
      <w:pPr>
        <w:spacing w:after="80" w:before="80"/>
      </w:pPr>
      <w:r>
        <w:rPr>
          <w:rFonts w:ascii="Arial" w:cs="Arial" w:eastAsia="Arial" w:hAnsi="Arial"/>
          <w:color w:val="0A0A0A"/>
          <w:sz w:val="22"/>
          <w:szCs w:val="22"/>
        </w:rPr>
        <w:t xml:space="preserve">Docker Compose wires the full stack locally before Kubernetes is touched. This is not optional. It is the iron law of the deployment sequence: if the stack does not run in Docker Compose, it cannot run in Kubernetes. No exceptions.</w:t>
      </w:r>
    </w:p>
    <w:p>
      <w:pPr>
        <w:spacing w:after="80" w:before="80"/>
      </w:pPr>
      <w:r>
        <w:rPr>
          <w:rFonts w:ascii="Arial" w:cs="Arial" w:eastAsia="Arial" w:hAnsi="Arial"/>
          <w:color w:val="0A0A0A"/>
          <w:sz w:val="22"/>
          <w:szCs w:val="22"/>
        </w:rPr>
        <w:t xml:space="preserve">Kubernetes manages pod lifecycle, scaling, networking, and self-healing inside the dax-system namespace. RBAC is configured with minimum necessary permissions. NetworkPolicy defaults to deny-all with explicit allow rules. PersistentVolumeClaims protect Postgres and Redis data across pod restarts. ConfigMaps hold non-sensitive configuration. Secrets hold credentials — and are never, under any circumstances, committed to Git.</w:t>
      </w:r>
    </w:p>
    <w:p>
      <w:pPr>
        <w:spacing w:after="80" w:before="80"/>
      </w:pPr>
      <w:r>
        <w:rPr>
          <w:rFonts w:ascii="Arial" w:cs="Arial" w:eastAsia="Arial" w:hAnsi="Arial"/>
          <w:color w:val="0A0A0A"/>
          <w:sz w:val="22"/>
          <w:szCs w:val="22"/>
        </w:rPr>
        <w:t xml:space="preserve">Redis is the high-throughput, in-memory task queue between the Core Engine and Workers. Postgres is the ACID-compliant persistent store for audit results, configuration, and user data. Both are ClusterIP-only — never externally exposed.</w:t>
      </w:r>
    </w:p>
    <w:p>
      <w:pPr>
        <w:pStyle w:val="Heading2"/>
        <w:spacing w:after="120" w:before="300"/>
      </w:pPr>
      <w:r>
        <w:rPr>
          <w:rFonts w:ascii="Arial" w:cs="Arial" w:eastAsia="Arial" w:hAnsi="Arial"/>
          <w:b/>
          <w:bCs/>
          <w:color w:val="2E4A6A"/>
          <w:sz w:val="30"/>
          <w:szCs w:val="30"/>
        </w:rPr>
        <w:t xml:space="preserve">Manus: The External Coordinator</w:t>
      </w:r>
    </w:p>
    <w:p>
      <w:pPr>
        <w:spacing w:after="80" w:before="80"/>
      </w:pPr>
      <w:r>
        <w:rPr>
          <w:rFonts w:ascii="Arial" w:cs="Arial" w:eastAsia="Arial" w:hAnsi="Arial"/>
          <w:color w:val="0A0A0A"/>
          <w:sz w:val="22"/>
          <w:szCs w:val="22"/>
        </w:rPr>
        <w:t xml:space="preserve">Manus is the workflow intelligence that sits above the entire cluster. It does not run inside Kubernetes. It is not a plugin. It is an autonomous AI agent that generates manifests, triggers deploys, audits configurations, and coordinates build steps via task prompts — all from outside the cluster boundary.</w:t>
      </w:r>
    </w:p>
    <w:p>
      <w:pPr>
        <w:spacing w:after="80" w:before="80"/>
      </w:pPr>
      <w:r>
        <w:rPr>
          <w:rFonts w:ascii="Arial" w:cs="Arial" w:eastAsia="Arial" w:hAnsi="Arial"/>
          <w:color w:val="0A0A0A"/>
          <w:sz w:val="22"/>
          <w:szCs w:val="22"/>
        </w:rPr>
        <w:t xml:space="preserve">The Manus prompt pack — ten production-grade prompts covering manifest generation, security auditing, pre-deploy checklists, rolling deploys, post-deploy health checks, Docker Compose generation, secret scanning, Helm chart generation, service boundary definition, and dependency graphing — is the operational language through which Manus speaks to the DAX infrastructure.</w:t>
      </w:r>
    </w:p>
    <w:p>
      <w:pPr>
        <w:spacing w:after="80" w:before="80"/>
      </w:pPr>
      <w:r>
        <w:rPr>
          <w:rFonts w:ascii="Arial" w:cs="Arial" w:eastAsia="Arial" w:hAnsi="Arial"/>
          <w:color w:val="0A0A0A"/>
          <w:sz w:val="22"/>
          <w:szCs w:val="22"/>
        </w:rPr>
        <w:t xml:space="preserve">Manus trust boundaries are explicit: it may read cluster state and generate manifests autonomously. Any apply or delete action requires human confirmation via task.confirmAction. An over-privileged autonomous agent is not a governance engine — it is a liability.</w:t>
      </w:r>
    </w:p>
    <w:p>
      <w:pPr>
        <w:pStyle w:val="Heading1"/>
        <w:pageBreakBefore/>
        <w:spacing w:after="240" w:before="0"/>
      </w:pPr>
      <w:r>
        <w:rPr>
          <w:rFonts w:ascii="Arial" w:cs="Arial" w:eastAsia="Arial" w:hAnsi="Arial"/>
          <w:b/>
          <w:bCs/>
          <w:color w:val="0D1B2A"/>
          <w:sz w:val="40"/>
          <w:szCs w:val="40"/>
        </w:rPr>
        <w:t xml:space="preserve">SYSTEM ARCHITECTURE: LAYER-BY-LAYER</w:t>
      </w:r>
    </w:p>
    <w:p>
      <w:pPr>
        <w:spacing w:after="240" w:before="0"/>
      </w:pPr>
      <w:r>
        <w:rPr>
          <w:rFonts w:ascii="Arial" w:cs="Arial" w:eastAsia="Arial" w:hAnsi="Arial"/>
          <w:b/>
          <w:bCs/>
          <w:color w:val="C9A84C"/>
          <w:sz w:val="30"/>
          <w:szCs w:val="30"/>
        </w:rPr>
        <w:t xml:space="preserve">886 Operations. 16 Layers. One Constitutional Guarantee.</w:t>
      </w:r>
    </w:p>
    <w:p>
      <w:pPr>
        <w:spacing w:after="80" w:before="80"/>
      </w:pPr>
      <w:r>
        <w:rPr>
          <w:rFonts w:ascii="Arial" w:cs="Arial" w:eastAsia="Arial" w:hAnsi="Arial"/>
          <w:color w:val="0A0A0A"/>
          <w:sz w:val="22"/>
          <w:szCs w:val="22"/>
        </w:rPr>
        <w:t xml:space="preserve">The DAXDA.IA 886-Ops Architecture is the most precisely specified AI governance engine ever documented in an open architecture brief. What follows is the complete layer decomposition — from raw infrastructure through to the DA13 reasoning protocol — with every function, every interface, and every failure mode named.</w:t>
      </w:r>
    </w:p>
    <w:p>
      <w:pPr>
        <w:pStyle w:val="Heading2"/>
        <w:spacing w:after="120" w:before="300"/>
      </w:pPr>
      <w:r>
        <w:rPr>
          <w:rFonts w:ascii="Arial" w:cs="Arial" w:eastAsia="Arial" w:hAnsi="Arial"/>
          <w:b/>
          <w:bCs/>
          <w:color w:val="2E4A6A"/>
          <w:sz w:val="30"/>
          <w:szCs w:val="30"/>
        </w:rPr>
        <w:t xml:space="preserve">The 886-Ops Number: Where It Comes From</w:t>
      </w:r>
    </w:p>
    <w:p>
      <w:pPr>
        <w:spacing w:after="80" w:before="80"/>
      </w:pPr>
      <w:r>
        <w:rPr>
          <w:rFonts w:ascii="Arial" w:cs="Arial" w:eastAsia="Arial" w:hAnsi="Arial"/>
          <w:color w:val="0A0A0A"/>
          <w:sz w:val="22"/>
          <w:szCs w:val="22"/>
        </w:rPr>
        <w:t xml:space="preserve">886 is not a marketing number. It is a precise structural count: 16 reasoning layers, each containing 55 governance tiles, plus 6 system operations that bookend every invocation (session init, context loading, gate pre-check, output staging, gate post-check, audit commit). 16 × 55 + 6 = 886. Every prompt. Every time. This is the operational constitution of DAXDA.IA.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360"/>
        <w:gridCol w:w="1600"/>
      </w:tblGrid>
      <w:tr>
        <w:tc>
          <w:tcPr>
            <w:tcW w:type="dxa" w:w="18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36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Function</w:t>
            </w:r>
          </w:p>
        </w:tc>
        <w:tc>
          <w:tcPr>
            <w:tcW w:type="dxa" w:w="23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Tile Count</w:t>
            </w:r>
          </w:p>
        </w:tc>
        <w:tc>
          <w:tcPr>
            <w:tcW w:type="dxa" w:w="16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Gate Type</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L01</w:t>
            </w:r>
          </w:p>
        </w:tc>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Surface Confirmation — factual &amp; syntactic verification</w:t>
            </w:r>
          </w:p>
        </w:tc>
        <w:tc>
          <w:tcPr>
            <w:tcW w:type="dxa" w:w="23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PASS/BLOCK</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L02</w:t>
            </w:r>
          </w:p>
        </w:tc>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Intent Check — core purpose alignment</w:t>
            </w:r>
          </w:p>
        </w:tc>
        <w:tc>
          <w:tcPr>
            <w:tcW w:type="dxa" w:w="23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PASS/WARN</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L03</w:t>
            </w:r>
          </w:p>
        </w:tc>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Contrarian Spike — adversarial counter-argument stress test</w:t>
            </w:r>
          </w:p>
        </w:tc>
        <w:tc>
          <w:tcPr>
            <w:tcW w:type="dxa" w:w="23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PASS/BLOCK</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L04</w:t>
            </w:r>
          </w:p>
        </w:tc>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Bias Scan — cultural, temporal, systemic bias detection</w:t>
            </w:r>
          </w:p>
        </w:tc>
        <w:tc>
          <w:tcPr>
            <w:tcW w:type="dxa" w:w="23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PASS/WARN</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L05</w:t>
            </w:r>
          </w:p>
        </w:tc>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Paradigm Flip — premise inversion resilience test</w:t>
            </w:r>
          </w:p>
        </w:tc>
        <w:tc>
          <w:tcPr>
            <w:tcW w:type="dxa" w:w="23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PASS/BLOCK</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L06</w:t>
            </w:r>
          </w:p>
        </w:tc>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Energetic Integrity — tone, syntax, and coherence alignment</w:t>
            </w:r>
          </w:p>
        </w:tc>
        <w:tc>
          <w:tcPr>
            <w:tcW w:type="dxa" w:w="23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PASS/WARN</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L07</w:t>
            </w:r>
          </w:p>
        </w:tc>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Fractal Scaling — micro/meso/macro logic consistency</w:t>
            </w:r>
          </w:p>
        </w:tc>
        <w:tc>
          <w:tcPr>
            <w:tcW w:type="dxa" w:w="23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PASS/BLOCK</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L08</w:t>
            </w:r>
          </w:p>
        </w:tc>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Ethical Echo — downstream ethical implication analysis</w:t>
            </w:r>
          </w:p>
        </w:tc>
        <w:tc>
          <w:tcPr>
            <w:tcW w:type="dxa" w:w="23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PASS/BLOCK</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L09</w:t>
            </w:r>
          </w:p>
        </w:tc>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Temporal Drift — 10/100/1,000-year validity projection</w:t>
            </w:r>
          </w:p>
        </w:tc>
        <w:tc>
          <w:tcPr>
            <w:tcW w:type="dxa" w:w="23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PASS/WARN</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L10</w:t>
            </w:r>
          </w:p>
        </w:tc>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Cognitive Dissonance Trigger — unresolved tension detection</w:t>
            </w:r>
          </w:p>
        </w:tc>
        <w:tc>
          <w:tcPr>
            <w:tcW w:type="dxa" w:w="23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PASS/WARN</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L11</w:t>
            </w:r>
          </w:p>
        </w:tc>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Holistic Merge — contradiction synthesis</w:t>
            </w:r>
          </w:p>
        </w:tc>
        <w:tc>
          <w:tcPr>
            <w:tcW w:type="dxa" w:w="23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PASS/BLOCK</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L12</w:t>
            </w:r>
          </w:p>
        </w:tc>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Re-alignment Confirmation — generative harmony verification</w:t>
            </w:r>
          </w:p>
        </w:tc>
        <w:tc>
          <w:tcPr>
            <w:tcW w:type="dxa" w:w="23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55</w:t>
            </w:r>
          </w:p>
        </w:tc>
        <w:tc>
          <w:tcPr>
            <w:tcW w:type="dxa" w:w="1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PASS/BLOCK</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L13–L16</w:t>
            </w:r>
          </w:p>
        </w:tc>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System Operations — session, context, staging, audit commit</w:t>
            </w:r>
          </w:p>
        </w:tc>
        <w:tc>
          <w:tcPr>
            <w:tcW w:type="dxa" w:w="23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6 total</w:t>
            </w:r>
          </w:p>
        </w:tc>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SYSTEM</w:t>
            </w:r>
          </w:p>
        </w:tc>
      </w:tr>
      <w:tr>
        <w:tc>
          <w:tcPr>
            <w:tcW w:type="dxa" w:w="18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val="false"/>
                <w:bCs w:val="false"/>
                <w:color w:val="0A0A0A"/>
                <w:sz w:val="20"/>
                <w:szCs w:val="20"/>
              </w:rPr>
              <w:t xml:space="preserve">TOTAL</w:t>
            </w:r>
          </w:p>
        </w:tc>
        <w:tc>
          <w:tcPr>
            <w:tcW w:type="dxa" w:w="36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val="false"/>
                <w:bCs w:val="false"/>
                <w:color w:val="0A0A0A"/>
                <w:sz w:val="20"/>
                <w:szCs w:val="20"/>
              </w:rPr>
              <w:t xml:space="preserve">Full DA13 Constitutional Pass</w:t>
            </w:r>
          </w:p>
        </w:tc>
        <w:tc>
          <w:tcPr>
            <w:tcW w:type="dxa" w:w="236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bCs/>
                <w:color w:val="C9A84C"/>
                <w:sz w:val="20"/>
                <w:szCs w:val="20"/>
              </w:rPr>
              <w:t xml:space="preserve">886 ops</w:t>
            </w:r>
          </w:p>
        </w:tc>
        <w:tc>
          <w:tcPr>
            <w:tcW w:type="dxa" w:w="16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bCs/>
                <w:color w:val="C9A84C"/>
                <w:sz w:val="20"/>
                <w:szCs w:val="20"/>
              </w:rPr>
              <w:t xml:space="preserve">—</w:t>
            </w:r>
          </w:p>
        </w:tc>
      </w:tr>
    </w:tbl>
    <w:p>
      <w:pPr>
        <w:pStyle w:val="Heading2"/>
        <w:spacing w:after="120" w:before="300"/>
      </w:pPr>
      <w:r>
        <w:rPr>
          <w:rFonts w:ascii="Arial" w:cs="Arial" w:eastAsia="Arial" w:hAnsi="Arial"/>
          <w:b/>
          <w:bCs/>
          <w:color w:val="2E4A6A"/>
          <w:sz w:val="30"/>
          <w:szCs w:val="30"/>
        </w:rPr>
        <w:t xml:space="preserve">Gate State Taxonomy</w:t>
      </w:r>
    </w:p>
    <w:p>
      <w:pPr>
        <w:spacing w:after="80" w:before="80"/>
      </w:pPr>
      <w:r>
        <w:rPr>
          <w:rFonts w:ascii="Arial" w:cs="Arial" w:eastAsia="Arial" w:hAnsi="Arial"/>
          <w:color w:val="0A0A0A"/>
          <w:sz w:val="22"/>
          <w:szCs w:val="22"/>
        </w:rPr>
        <w:t xml:space="preserve">Every prompt traversal through the 886-Ops Architecture resolves to one of five gate states. These are not labels — they are binding governance verdicts that determine whether an output is released.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Gate State</w:t>
            </w:r>
          </w:p>
        </w:tc>
        <w:tc>
          <w:tcPr>
            <w:tcW w:type="dxa" w:w="41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Meaning</w:t>
            </w:r>
          </w:p>
        </w:tc>
        <w:tc>
          <w:tcPr>
            <w:tcW w:type="dxa" w:w="34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C0392B"/>
                <w:sz w:val="20"/>
                <w:szCs w:val="20"/>
              </w:rPr>
              <w:t xml:space="preserve">BLOCK</w:t>
            </w:r>
          </w:p>
        </w:tc>
        <w:tc>
          <w:tcPr>
            <w:tcW w:type="dxa" w:w="41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Unsafe, unsupported, or invalid. Output withheld.</w:t>
            </w:r>
          </w:p>
        </w:tc>
        <w:tc>
          <w:tcPr>
            <w:tcW w:type="dxa" w:w="3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Response replaced with governed refusal.</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PASS/RELEASE</w:t>
            </w:r>
          </w:p>
        </w:tc>
        <w:tc>
          <w:tcPr>
            <w:tcW w:type="dxa" w:w="41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All gates cleared. Governed output authorised.</w:t>
            </w:r>
          </w:p>
        </w:tc>
        <w:tc>
          <w:tcPr>
            <w:tcW w:type="dxa" w:w="34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Output emitted with full governance signature.</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D68910"/>
                <w:sz w:val="20"/>
                <w:szCs w:val="20"/>
              </w:rPr>
              <w:t xml:space="preserve">WARN</w:t>
            </w:r>
          </w:p>
        </w:tc>
        <w:tc>
          <w:tcPr>
            <w:tcW w:type="dxa" w:w="41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Usable but degraded — uncertainty present.</w:t>
            </w:r>
          </w:p>
        </w:tc>
        <w:tc>
          <w:tcPr>
            <w:tcW w:type="dxa" w:w="3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Released with explicit uncertainty annotation.</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PASS</w:t>
            </w:r>
          </w:p>
        </w:tc>
        <w:tc>
          <w:tcPr>
            <w:tcW w:type="dxa" w:w="41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Strong enough to proceed without full release stamp.</w:t>
            </w:r>
          </w:p>
        </w:tc>
        <w:tc>
          <w:tcPr>
            <w:tcW w:type="dxa" w:w="34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Output emitted. Audit trail updated.</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D68910"/>
                <w:sz w:val="20"/>
                <w:szCs w:val="20"/>
              </w:rPr>
              <w:t xml:space="preserve">CAUTION</w:t>
            </w:r>
          </w:p>
        </w:tc>
        <w:tc>
          <w:tcPr>
            <w:tcW w:type="dxa" w:w="41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Material ambiguity present. Stakes are real.</w:t>
            </w:r>
          </w:p>
        </w:tc>
        <w:tc>
          <w:tcPr>
            <w:tcW w:type="dxa" w:w="3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Released with explicit caveat framing.</w:t>
            </w:r>
          </w:p>
        </w:tc>
      </w:tr>
    </w:tbl>
    <w:p>
      <w:pPr>
        <w:spacing w:after="0" w:before="80"/>
      </w:pPr>
    </w:p>
    <w:p>
      <w:pPr>
        <w:spacing w:after="80" w:before="80"/>
      </w:pPr>
      <w:r>
        <w:rPr>
          <w:rFonts w:ascii="Arial" w:cs="Arial" w:eastAsia="Arial" w:hAnsi="Arial"/>
          <w:color w:val="0A0A0A"/>
          <w:sz w:val="22"/>
          <w:szCs w:val="22"/>
        </w:rPr>
        <w:t xml:space="preserve">In the Monte Carlo adversarial batch: 27 BLOCKs (54%), 15 PASS/RELEASEs (30%), 5 WARNs (10%), 2 PASSes (4%), 1 CAUTION (2%). A system that blocks more than half of adversarial inputs is not restrictive — it is correctly calibrated. The real world throws adversarial inputs constantly. DAXDA.IA is the only engine that was built expecting them.</w:t>
      </w:r>
    </w:p>
    <w:p>
      <w:pPr>
        <w:pStyle w:val="Heading1"/>
        <w:pageBreakBefore/>
        <w:spacing w:after="240" w:before="0"/>
      </w:pPr>
      <w:r>
        <w:rPr>
          <w:rFonts w:ascii="Arial" w:cs="Arial" w:eastAsia="Arial" w:hAnsi="Arial"/>
          <w:b/>
          <w:bCs/>
          <w:color w:val="0D1B2A"/>
          <w:sz w:val="40"/>
          <w:szCs w:val="40"/>
        </w:rPr>
        <w:t xml:space="preserve">CHAPTER: DEPLOYMENT ON HOSTINGER</w:t>
      </w:r>
    </w:p>
    <w:p>
      <w:pPr>
        <w:spacing w:after="240" w:before="0"/>
      </w:pPr>
      <w:r>
        <w:rPr>
          <w:rFonts w:ascii="Arial" w:cs="Arial" w:eastAsia="Arial" w:hAnsi="Arial"/>
          <w:b/>
          <w:bCs/>
          <w:color w:val="C9A84C"/>
          <w:sz w:val="30"/>
          <w:szCs w:val="30"/>
        </w:rPr>
        <w:t xml:space="preserve">From Architecture to Production: The Hostinger Deployment Path</w:t>
      </w:r>
    </w:p>
    <w:p>
      <w:pPr>
        <w:spacing w:after="80" w:before="80"/>
      </w:pPr>
      <w:r>
        <w:rPr>
          <w:rFonts w:ascii="Arial" w:cs="Arial" w:eastAsia="Arial" w:hAnsi="Arial"/>
          <w:color w:val="0A0A0A"/>
          <w:sz w:val="22"/>
          <w:szCs w:val="22"/>
        </w:rPr>
        <w:t xml:space="preserve">Hostinger is not typically the first name that appears in enterprise Kubernetes conversations — and that gap represents a genuine competitive opportunity. For early-stage deployment, proof-of-concept validation, and cost-controlled production rollout, Hostinger's VPS and cloud infrastructure provides a viable, affordable, and credible path from local Docker Compose to live Kubernetes. What follows is the complete deployment playbook.</w:t>
      </w:r>
    </w:p>
    <w:p>
      <w:pPr>
        <w:pStyle w:val="Heading2"/>
        <w:spacing w:after="120" w:before="300"/>
      </w:pPr>
      <w:r>
        <w:rPr>
          <w:rFonts w:ascii="Arial" w:cs="Arial" w:eastAsia="Arial" w:hAnsi="Arial"/>
          <w:b/>
          <w:bCs/>
          <w:color w:val="2E4A6A"/>
          <w:sz w:val="30"/>
          <w:szCs w:val="30"/>
        </w:rPr>
        <w:t xml:space="preserve">Infrastructure Selection on Hostinger</w:t>
      </w:r>
    </w:p>
    <w:p>
      <w:pPr>
        <w:spacing w:after="80" w:before="80"/>
      </w:pPr>
      <w:r>
        <w:rPr>
          <w:rFonts w:ascii="Arial" w:cs="Arial" w:eastAsia="Arial" w:hAnsi="Arial"/>
          <w:color w:val="0A0A0A"/>
          <w:sz w:val="22"/>
          <w:szCs w:val="22"/>
        </w:rPr>
        <w:t xml:space="preserve">For the DAXDA.IA stack, the recommended Hostinger configuration is a KVM 8 VPS (8 vCPUs, 16GB RAM, 200GB NVMe SSD) running Ubuntu 22.04 LTS. This provides sufficient headroom for: the dax-core engine (1,000m CPU / 1Gi memory limit), two dax-api replicas (500m / 512Mi each), dax-worker pool (2–4 instances at 500m / 512Mi each), dax-telemetry, Redis, Postgres with PVC, and the Dashboard UI — all within a single-node Kubernetes cluster (k3s) with room to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8899AA" w:sz="1"/>
              <w:bottom w:val="single" w:color="8899AA" w:sz="1"/>
              <w:right w:val="single" w:color="8899AA" w:sz="1"/>
            </w:tcBorders>
            <w:shd w:fill="EAF0F6" w:val="clear"/>
            <w:tcMar>
              <w:top w:type="dxa" w:w="120"/>
              <w:left w:type="dxa" w:w="200"/>
              <w:bottom w:type="dxa" w:w="120"/>
              <w:right w:type="dxa" w:w="200"/>
            </w:tcMar>
          </w:tcPr>
          <w:p>
            <w:pPr>
              <w:spacing w:after="60" w:before="0"/>
            </w:pPr>
            <w:r>
              <w:rPr>
                <w:rFonts w:ascii="Arial" w:cs="Arial" w:eastAsia="Arial" w:hAnsi="Arial"/>
                <w:b/>
                <w:bCs/>
                <w:color w:val="C9A84C"/>
                <w:sz w:val="20"/>
                <w:szCs w:val="20"/>
              </w:rPr>
              <w:t xml:space="preserve">HOSTINGER DEPLOYMENT NOTE</w:t>
            </w:r>
          </w:p>
          <w:p>
            <w:pPr>
              <w:spacing w:after="0" w:before="0"/>
            </w:pPr>
            <w:r>
              <w:rPr>
                <w:rFonts w:ascii="Arial" w:cs="Arial" w:eastAsia="Arial" w:hAnsi="Arial"/>
                <w:color w:val="0A0A0A"/>
                <w:sz w:val="21"/>
                <w:szCs w:val="21"/>
              </w:rPr>
              <w:t xml:space="preserve">Hostinger does not offer a managed Kubernetes service as of May 2026. The recommended approach is k3s — a lightweight, production-grade Kubernetes distribution — installed on a Hostinger KVM VPS. k3s provides the full K8s API surface with dramatically reduced resource overhead, making it ideal for single-node and small-cluster production deployments.</w:t>
            </w:r>
          </w:p>
        </w:tc>
      </w:tr>
    </w:tbl>
    <w:p>
      <w:pPr>
        <w:pStyle w:val="Heading2"/>
        <w:spacing w:after="120" w:before="300"/>
      </w:pPr>
      <w:r>
        <w:rPr>
          <w:rFonts w:ascii="Arial" w:cs="Arial" w:eastAsia="Arial" w:hAnsi="Arial"/>
          <w:b/>
          <w:bCs/>
          <w:color w:val="2E4A6A"/>
          <w:sz w:val="30"/>
          <w:szCs w:val="30"/>
        </w:rPr>
        <w:t xml:space="preserve">Phase 1: Server Preparation</w:t>
      </w:r>
    </w:p>
    <w:p>
      <w:pPr>
        <w:spacing w:after="80" w:before="80"/>
      </w:pPr>
      <w:r>
        <w:rPr>
          <w:rFonts w:ascii="Arial" w:cs="Arial" w:eastAsia="Arial" w:hAnsi="Arial"/>
          <w:color w:val="0A0A0A"/>
          <w:sz w:val="22"/>
          <w:szCs w:val="22"/>
        </w:rPr>
        <w:t xml:space="preserve">Step 1 — Provision the VPS. Select Ubuntu 22.04 LTS from the Hostinger control panel. Enable SSH key authentication. Disable password-based SSH login. Configure UFW firewall to allow ports 22 (SSH), 80 (HTTP), and 443 (HTTPS) only. All other ports remain closed at the host level.</w:t>
      </w:r>
    </w:p>
    <w:p>
      <w:pPr>
        <w:spacing w:after="80" w:before="80"/>
      </w:pPr>
      <w:r>
        <w:rPr>
          <w:rFonts w:ascii="Arial" w:cs="Arial" w:eastAsia="Arial" w:hAnsi="Arial"/>
          <w:color w:val="0A0A0A"/>
          <w:sz w:val="22"/>
          <w:szCs w:val="22"/>
        </w:rPr>
        <w:t xml:space="preserve">Step 2 — Install k3s. The single-command k3s installation bootstraps a fully functional Kubernetes cluster in under two minutes: curl -sfL https://get.k3s.io | sh -. Verify with kubectl get nodes — the node should report Ready status within 60 seconds.</w:t>
      </w:r>
    </w:p>
    <w:p>
      <w:pPr>
        <w:spacing w:after="80" w:before="80"/>
      </w:pPr>
      <w:r>
        <w:rPr>
          <w:rFonts w:ascii="Arial" w:cs="Arial" w:eastAsia="Arial" w:hAnsi="Arial"/>
          <w:color w:val="0A0A0A"/>
          <w:sz w:val="22"/>
          <w:szCs w:val="22"/>
        </w:rPr>
        <w:t xml:space="preserve">Step 3 — Install Docker. Required for building and pushing images prior to k3s deployment. Use the official Docker installation script for Ubuntu 22.04. Add the deployment user to the docker group. Verify with docker --version.</w:t>
      </w:r>
    </w:p>
    <w:p>
      <w:pPr>
        <w:spacing w:after="80" w:before="80"/>
      </w:pPr>
      <w:r>
        <w:rPr>
          <w:rFonts w:ascii="Arial" w:cs="Arial" w:eastAsia="Arial" w:hAnsi="Arial"/>
          <w:color w:val="0A0A0A"/>
          <w:sz w:val="22"/>
          <w:szCs w:val="22"/>
        </w:rPr>
        <w:t xml:space="preserve">Step 4 — Configure a private container registry. Options include a self-hosted Harbor instance on the same VPS, a Hostinger-accessible GitHub Container Registry (ghcr.io), or Docker Hub with a private repository. The dax-core-deployment.yaml references your-registry.example.com/dax-core:1.0.0 — replace this with your chosen registry path before applying manifests.</w:t>
      </w:r>
    </w:p>
    <w:p>
      <w:pPr>
        <w:pStyle w:val="Heading2"/>
        <w:spacing w:after="120" w:before="300"/>
      </w:pPr>
      <w:r>
        <w:rPr>
          <w:rFonts w:ascii="Arial" w:cs="Arial" w:eastAsia="Arial" w:hAnsi="Arial"/>
          <w:b/>
          <w:bCs/>
          <w:color w:val="2E4A6A"/>
          <w:sz w:val="30"/>
          <w:szCs w:val="30"/>
        </w:rPr>
        <w:t xml:space="preserve">Phase 2: Secrets and Configuration</w:t>
      </w:r>
    </w:p>
    <w:p>
      <w:pPr>
        <w:spacing w:after="80" w:before="80"/>
      </w:pPr>
      <w:r>
        <w:rPr>
          <w:rFonts w:ascii="Arial" w:cs="Arial" w:eastAsia="Arial" w:hAnsi="Arial"/>
          <w:color w:val="0A0A0A"/>
          <w:sz w:val="22"/>
          <w:szCs w:val="22"/>
        </w:rPr>
        <w:t xml:space="preserve">Never commit secrets to Git. On Hostinger, this is enforced by creating Kubernetes Secrets directly via kubectl on the server — not via YAML files checked into version control. The dax-gws-secrets.yaml template shipped with this architecture is a placeholder only; its base64 values are explicitly marked as placeholder and must be regenerated for your environment.</w:t>
      </w:r>
    </w:p>
    <w:p>
      <w:pPr>
        <w:spacing w:after="80" w:before="80"/>
      </w:pPr>
      <w:r>
        <w:rPr>
          <w:rFonts w:ascii="Arial" w:cs="Arial" w:eastAsia="Arial" w:hAnsi="Arial"/>
          <w:color w:val="0A0A0A"/>
          <w:sz w:val="22"/>
          <w:szCs w:val="22"/>
        </w:rPr>
        <w:t xml:space="preserve">For each secret, generate the base64 value on the server: echo -n 'your-actual-secret' | base64. Then create the Secret object: kubectl create secret generic dax-secrets --from-literal=POSTGRES_PASSWORD=yourpassword --from-literal=OAUTH_ENCRYPTION_KEY=yourkey -n dax-system. This approach keeps credentials entirely out of the codebase and the deployment pipeline.</w:t>
      </w:r>
    </w:p>
    <w:p>
      <w:pPr>
        <w:spacing w:after="80" w:before="80"/>
      </w:pPr>
      <w:r>
        <w:rPr>
          <w:rFonts w:ascii="Arial" w:cs="Arial" w:eastAsia="Arial" w:hAnsi="Arial"/>
          <w:color w:val="0A0A0A"/>
          <w:sz w:val="22"/>
          <w:szCs w:val="22"/>
        </w:rPr>
        <w:t xml:space="preserve">For the GOOGLE_CLIENT_ID and GOOGLE_CLIENT_SECRET values in dax-gws-secrets.yaml, these are populated from the Google Cloud Console OAuth credentials for your DAXDA.IA Google Workspace integration. The OAUTH_ENCRYPTION_KEY is a 256-bit random key generated via openssl rand -base64 32.</w:t>
      </w:r>
    </w:p>
    <w:p>
      <w:pPr>
        <w:pStyle w:val="Heading2"/>
        <w:spacing w:after="120" w:before="300"/>
      </w:pPr>
      <w:r>
        <w:rPr>
          <w:rFonts w:ascii="Arial" w:cs="Arial" w:eastAsia="Arial" w:hAnsi="Arial"/>
          <w:b/>
          <w:bCs/>
          <w:color w:val="2E4A6A"/>
          <w:sz w:val="30"/>
          <w:szCs w:val="30"/>
        </w:rPr>
        <w:t xml:space="preserve">Phase 3: Applying the K8s Manifests</w:t>
      </w:r>
    </w:p>
    <w:p>
      <w:pPr>
        <w:spacing w:after="80" w:before="80"/>
      </w:pPr>
      <w:r>
        <w:rPr>
          <w:rFonts w:ascii="Arial" w:cs="Arial" w:eastAsia="Arial" w:hAnsi="Arial"/>
          <w:color w:val="0A0A0A"/>
          <w:sz w:val="22"/>
          <w:szCs w:val="22"/>
        </w:rPr>
        <w:t xml:space="preserve">Apply manifests in strict dependency order. The dax-system namespace must exist before any other object is created. The ConfigMap and Secrets must exist before Deployments reference them. PersistentVolumeClaims must be bound before the Postgres Deployment starts.</w:t>
      </w:r>
    </w:p>
    <w:p>
      <w:pPr>
        <w:pStyle w:val="ListParagraph"/>
        <w:numPr>
          <w:ilvl w:val="0"/>
          <w:numId w:val="2"/>
        </w:numPr>
        <w:spacing w:after="60" w:before="60"/>
      </w:pPr>
      <w:r>
        <w:rPr>
          <w:rFonts w:ascii="Arial" w:cs="Arial" w:eastAsia="Arial" w:hAnsi="Arial"/>
          <w:sz w:val="22"/>
          <w:szCs w:val="22"/>
        </w:rPr>
        <w:t xml:space="preserve">kubectl apply -f infra/k8s/namespace.yaml</w:t>
      </w:r>
    </w:p>
    <w:p>
      <w:pPr>
        <w:pStyle w:val="ListParagraph"/>
        <w:numPr>
          <w:ilvl w:val="0"/>
          <w:numId w:val="2"/>
        </w:numPr>
        <w:spacing w:after="60" w:before="60"/>
      </w:pPr>
      <w:r>
        <w:rPr>
          <w:rFonts w:ascii="Arial" w:cs="Arial" w:eastAsia="Arial" w:hAnsi="Arial"/>
          <w:sz w:val="22"/>
          <w:szCs w:val="22"/>
        </w:rPr>
        <w:t xml:space="preserve">kubectl apply -f infra/k8s/configmap.yaml</w:t>
      </w:r>
    </w:p>
    <w:p>
      <w:pPr>
        <w:pStyle w:val="ListParagraph"/>
        <w:numPr>
          <w:ilvl w:val="0"/>
          <w:numId w:val="2"/>
        </w:numPr>
        <w:spacing w:after="60" w:before="60"/>
      </w:pPr>
      <w:r>
        <w:rPr>
          <w:rFonts w:ascii="Arial" w:cs="Arial" w:eastAsia="Arial" w:hAnsi="Arial"/>
          <w:sz w:val="22"/>
          <w:szCs w:val="22"/>
        </w:rPr>
        <w:t xml:space="preserve">kubectl create secret generic dax-secrets [from-literal flags] -n dax-system</w:t>
      </w:r>
    </w:p>
    <w:p>
      <w:pPr>
        <w:pStyle w:val="ListParagraph"/>
        <w:numPr>
          <w:ilvl w:val="0"/>
          <w:numId w:val="2"/>
        </w:numPr>
        <w:spacing w:after="60" w:before="60"/>
      </w:pPr>
      <w:r>
        <w:rPr>
          <w:rFonts w:ascii="Arial" w:cs="Arial" w:eastAsia="Arial" w:hAnsi="Arial"/>
          <w:sz w:val="22"/>
          <w:szCs w:val="22"/>
        </w:rPr>
        <w:t xml:space="preserve">kubectl apply -f infra/k8s/postgres/pvc.yaml</w:t>
      </w:r>
    </w:p>
    <w:p>
      <w:pPr>
        <w:pStyle w:val="ListParagraph"/>
        <w:numPr>
          <w:ilvl w:val="0"/>
          <w:numId w:val="2"/>
        </w:numPr>
        <w:spacing w:after="60" w:before="60"/>
      </w:pPr>
      <w:r>
        <w:rPr>
          <w:rFonts w:ascii="Arial" w:cs="Arial" w:eastAsia="Arial" w:hAnsi="Arial"/>
          <w:sz w:val="22"/>
          <w:szCs w:val="22"/>
        </w:rPr>
        <w:t xml:space="preserve">kubectl apply -f infra/k8s/postgres/deployment.yaml</w:t>
      </w:r>
    </w:p>
    <w:p>
      <w:pPr>
        <w:pStyle w:val="ListParagraph"/>
        <w:numPr>
          <w:ilvl w:val="0"/>
          <w:numId w:val="2"/>
        </w:numPr>
        <w:spacing w:after="60" w:before="60"/>
      </w:pPr>
      <w:r>
        <w:rPr>
          <w:rFonts w:ascii="Arial" w:cs="Arial" w:eastAsia="Arial" w:hAnsi="Arial"/>
          <w:sz w:val="22"/>
          <w:szCs w:val="22"/>
        </w:rPr>
        <w:t xml:space="preserve">kubectl apply -f infra/k8s/redis/deployment.yaml</w:t>
      </w:r>
    </w:p>
    <w:p>
      <w:pPr>
        <w:pStyle w:val="ListParagraph"/>
        <w:numPr>
          <w:ilvl w:val="0"/>
          <w:numId w:val="2"/>
        </w:numPr>
        <w:spacing w:after="60" w:before="60"/>
      </w:pPr>
      <w:r>
        <w:rPr>
          <w:rFonts w:ascii="Arial" w:cs="Arial" w:eastAsia="Arial" w:hAnsi="Arial"/>
          <w:sz w:val="22"/>
          <w:szCs w:val="22"/>
        </w:rPr>
        <w:t xml:space="preserve">kubectl apply -f infra/k8s/dax-core/deployment.yaml</w:t>
      </w:r>
    </w:p>
    <w:p>
      <w:pPr>
        <w:pStyle w:val="ListParagraph"/>
        <w:numPr>
          <w:ilvl w:val="0"/>
          <w:numId w:val="2"/>
        </w:numPr>
        <w:spacing w:after="60" w:before="60"/>
      </w:pPr>
      <w:r>
        <w:rPr>
          <w:rFonts w:ascii="Arial" w:cs="Arial" w:eastAsia="Arial" w:hAnsi="Arial"/>
          <w:sz w:val="22"/>
          <w:szCs w:val="22"/>
        </w:rPr>
        <w:t xml:space="preserve">kubectl apply -f infra/k8s/dax-api/deployment.yaml</w:t>
      </w:r>
    </w:p>
    <w:p>
      <w:pPr>
        <w:pStyle w:val="ListParagraph"/>
        <w:numPr>
          <w:ilvl w:val="0"/>
          <w:numId w:val="2"/>
        </w:numPr>
        <w:spacing w:after="60" w:before="60"/>
      </w:pPr>
      <w:r>
        <w:rPr>
          <w:rFonts w:ascii="Arial" w:cs="Arial" w:eastAsia="Arial" w:hAnsi="Arial"/>
          <w:sz w:val="22"/>
          <w:szCs w:val="22"/>
        </w:rPr>
        <w:t xml:space="preserve">kubectl apply -f infra/k8s/dax-worker/deployment.yaml</w:t>
      </w:r>
    </w:p>
    <w:p>
      <w:pPr>
        <w:pStyle w:val="ListParagraph"/>
        <w:numPr>
          <w:ilvl w:val="0"/>
          <w:numId w:val="2"/>
        </w:numPr>
        <w:spacing w:after="60" w:before="60"/>
      </w:pPr>
      <w:r>
        <w:rPr>
          <w:rFonts w:ascii="Arial" w:cs="Arial" w:eastAsia="Arial" w:hAnsi="Arial"/>
          <w:sz w:val="22"/>
          <w:szCs w:val="22"/>
        </w:rPr>
        <w:t xml:space="preserve">kubectl apply -f infra/k8s/ingress.yaml</w:t>
      </w:r>
    </w:p>
    <w:p>
      <w:pPr>
        <w:spacing w:after="0" w:before="80"/>
      </w:pPr>
    </w:p>
    <w:p>
      <w:pPr>
        <w:spacing w:after="80" w:before="80"/>
      </w:pPr>
      <w:r>
        <w:rPr>
          <w:rFonts w:ascii="Arial" w:cs="Arial" w:eastAsia="Arial" w:hAnsi="Arial"/>
          <w:color w:val="0A0A0A"/>
          <w:sz w:val="22"/>
          <w:szCs w:val="22"/>
        </w:rPr>
        <w:t xml:space="preserve">The dax-core-deployment.yaml is already production-hardened: runAsNonRoot: true, runAsUser: 1000, readOnlyRootFilesystem: true, all capabilities dropped, resource requests and limits set, liveness and readiness probes configured, rolling update strategy with maxUnavailable: 0. This configuration applies identically to Hostinger k3s as it would to EKS, GKE, or AKS.</w:t>
      </w:r>
    </w:p>
    <w:p>
      <w:pPr>
        <w:pStyle w:val="Heading2"/>
        <w:spacing w:after="120" w:before="300"/>
      </w:pPr>
      <w:r>
        <w:rPr>
          <w:rFonts w:ascii="Arial" w:cs="Arial" w:eastAsia="Arial" w:hAnsi="Arial"/>
          <w:b/>
          <w:bCs/>
          <w:color w:val="2E4A6A"/>
          <w:sz w:val="30"/>
          <w:szCs w:val="30"/>
        </w:rPr>
        <w:t xml:space="preserve">Phase 4: TLS with Cert-Manager on Hostinger</w:t>
      </w:r>
    </w:p>
    <w:p>
      <w:pPr>
        <w:spacing w:after="80" w:before="80"/>
      </w:pPr>
      <w:r>
        <w:rPr>
          <w:rFonts w:ascii="Arial" w:cs="Arial" w:eastAsia="Arial" w:hAnsi="Arial"/>
          <w:color w:val="0A0A0A"/>
          <w:sz w:val="22"/>
          <w:szCs w:val="22"/>
        </w:rPr>
        <w:t xml:space="preserve">k3s ships with Traefik as its default Ingress controller. Install Cert-Manager via Helm to automate TLS certificate provisioning from Let's Encrypt. Point your domain DNS A record to the Hostinger VPS IP. Cert-Manager will issue and renew certificates automatically. The DAXDA.IA API will then be reachable at https://api.yourdomain.com with a valid, auto-renewing TLS certificate — no plain HTTP in any environment beyond localhost.</w:t>
      </w:r>
    </w:p>
    <w:p>
      <w:pPr>
        <w:pStyle w:val="Heading2"/>
        <w:spacing w:after="120" w:before="300"/>
      </w:pPr>
      <w:r>
        <w:rPr>
          <w:rFonts w:ascii="Arial" w:cs="Arial" w:eastAsia="Arial" w:hAnsi="Arial"/>
          <w:b/>
          <w:bCs/>
          <w:color w:val="2E4A6A"/>
          <w:sz w:val="30"/>
          <w:szCs w:val="30"/>
        </w:rPr>
        <w:t xml:space="preserve">Phase 5: Observability on Hostinger</w:t>
      </w:r>
    </w:p>
    <w:p>
      <w:pPr>
        <w:spacing w:after="80" w:before="80"/>
      </w:pPr>
      <w:r>
        <w:rPr>
          <w:rFonts w:ascii="Arial" w:cs="Arial" w:eastAsia="Arial" w:hAnsi="Arial"/>
          <w:color w:val="0A0A0A"/>
          <w:sz w:val="22"/>
          <w:szCs w:val="22"/>
        </w:rPr>
        <w:t xml:space="preserve">Deploy Prometheus and Grafana into the dax-system namespace before routing any production traffic. The dax-core-deployment.yaml already exposes a metrics port at 8081 — Prometheus scrapes this endpoint at configurable intervals. Configure alert rules for: pod CrashLoopBackOff, high error rates on the /audit endpoint, CPU saturation above 80% for more than 5 minutes, and Postgres connection pool exhaustion.</w:t>
      </w:r>
    </w:p>
    <w:p>
      <w:pPr>
        <w:spacing w:after="80" w:before="80"/>
      </w:pPr>
      <w:r>
        <w:rPr>
          <w:rFonts w:ascii="Arial" w:cs="Arial" w:eastAsia="Arial" w:hAnsi="Arial"/>
          <w:color w:val="0A0A0A"/>
          <w:sz w:val="22"/>
          <w:szCs w:val="22"/>
        </w:rPr>
        <w:t xml:space="preserve">On a single-node Hostinger VPS, Grafana can be accessed via kubectl port-forward or exposed through the Ingress controller at a protected path. For production, restrict Grafana access to an allowlisted IP range or place it behind the DAX API authentication layer.</w:t>
      </w:r>
    </w:p>
    <w:p>
      <w:pPr>
        <w:pStyle w:val="Heading2"/>
        <w:spacing w:after="120" w:before="300"/>
      </w:pPr>
      <w:r>
        <w:rPr>
          <w:rFonts w:ascii="Arial" w:cs="Arial" w:eastAsia="Arial" w:hAnsi="Arial"/>
          <w:b/>
          <w:bCs/>
          <w:color w:val="2E4A6A"/>
          <w:sz w:val="30"/>
          <w:szCs w:val="30"/>
        </w:rPr>
        <w:t xml:space="preserve">Phase 6: Scaling on Hostinger</w:t>
      </w:r>
    </w:p>
    <w:p>
      <w:pPr>
        <w:spacing w:after="80" w:before="80"/>
      </w:pPr>
      <w:r>
        <w:rPr>
          <w:rFonts w:ascii="Arial" w:cs="Arial" w:eastAsia="Arial" w:hAnsi="Arial"/>
          <w:color w:val="0A0A0A"/>
          <w:sz w:val="22"/>
          <w:szCs w:val="22"/>
        </w:rPr>
        <w:t xml:space="preserve">k3s supports the full HorizontalPodAutoscaler API — provided the Metrics Server is installed. Install the Metrics Server via kubectl apply -f https://github.com/kubernetes-sigs/metrics-server/releases/latest/download/components.yaml with the --kubelet-insecure-tls flag for single-node environments. Once running, the dax-api and dax-worker HPA configurations in the manifest set will autoscale between 2 and 10 replicas based on CPU utilization target of 70%.</w:t>
      </w:r>
    </w:p>
    <w:p>
      <w:pPr>
        <w:spacing w:after="80" w:before="80"/>
      </w:pPr>
      <w:r>
        <w:rPr>
          <w:rFonts w:ascii="Arial" w:cs="Arial" w:eastAsia="Arial" w:hAnsi="Arial"/>
          <w:color w:val="0A0A0A"/>
          <w:sz w:val="22"/>
          <w:szCs w:val="22"/>
        </w:rPr>
        <w:t xml:space="preserve">When the single-node Hostinger VPS reaches capacity limits, the migration path to a multi-node managed Kubernetes service (EKS, GKE, or AKS) is a straight manifest re-apply — no code changes required. The architecture was designed for this transition from day one.</w:t>
      </w:r>
    </w:p>
    <w:p>
      <w:pPr>
        <w:pStyle w:val="Heading2"/>
        <w:spacing w:after="120" w:before="300"/>
      </w:pPr>
      <w:r>
        <w:rPr>
          <w:rFonts w:ascii="Arial" w:cs="Arial" w:eastAsia="Arial" w:hAnsi="Arial"/>
          <w:b/>
          <w:bCs/>
          <w:color w:val="2E4A6A"/>
          <w:sz w:val="30"/>
          <w:szCs w:val="30"/>
        </w:rPr>
        <w:t xml:space="preserve">Hostinger Deployment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Resource</w:t>
            </w:r>
          </w:p>
        </w:tc>
        <w:tc>
          <w:tcPr>
            <w:tcW w:type="dxa" w:w="268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Hostinger Plan</w:t>
            </w:r>
          </w:p>
        </w:tc>
        <w:tc>
          <w:tcPr>
            <w:tcW w:type="dxa" w:w="268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Monthly Cost (USD)</w:t>
            </w:r>
          </w:p>
        </w:tc>
      </w:tr>
      <w:tr>
        <w:tc>
          <w:tcPr>
            <w:tcW w:type="dxa" w:w="4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KVM 8 VPS (8 vCPU / 16GB)</w:t>
            </w:r>
          </w:p>
        </w:tc>
        <w:tc>
          <w:tcPr>
            <w:tcW w:type="dxa" w:w="2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KVM 8 — Ubuntu 22.04</w:t>
            </w:r>
          </w:p>
        </w:tc>
        <w:tc>
          <w:tcPr>
            <w:tcW w:type="dxa" w:w="2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~$29.99</w:t>
            </w:r>
          </w:p>
        </w:tc>
      </w:tr>
      <w:tr>
        <w:tc>
          <w:tcPr>
            <w:tcW w:type="dxa" w:w="4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Domain + DNS</w:t>
            </w:r>
          </w:p>
        </w:tc>
        <w:tc>
          <w:tcPr>
            <w:tcW w:type="dxa" w:w="268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Hostinger Domains</w:t>
            </w:r>
          </w:p>
        </w:tc>
        <w:tc>
          <w:tcPr>
            <w:tcW w:type="dxa" w:w="268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~$1.99/yr (~$0.17)</w:t>
            </w:r>
          </w:p>
        </w:tc>
      </w:tr>
      <w:tr>
        <w:tc>
          <w:tcPr>
            <w:tcW w:type="dxa" w:w="4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TLS (Let's Encrypt)</w:t>
            </w:r>
          </w:p>
        </w:tc>
        <w:tc>
          <w:tcPr>
            <w:tcW w:type="dxa" w:w="2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Free via Cert-Manager</w:t>
            </w:r>
          </w:p>
        </w:tc>
        <w:tc>
          <w:tcPr>
            <w:tcW w:type="dxa" w:w="2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$0.00</w:t>
            </w:r>
          </w:p>
        </w:tc>
      </w:tr>
      <w:tr>
        <w:tc>
          <w:tcPr>
            <w:tcW w:type="dxa" w:w="4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Container Registry (ghcr.io)</w:t>
            </w:r>
          </w:p>
        </w:tc>
        <w:tc>
          <w:tcPr>
            <w:tcW w:type="dxa" w:w="268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GitHub Free Tier</w:t>
            </w:r>
          </w:p>
        </w:tc>
        <w:tc>
          <w:tcPr>
            <w:tcW w:type="dxa" w:w="268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$0.00</w:t>
            </w:r>
          </w:p>
        </w:tc>
      </w:tr>
      <w:tr>
        <w:tc>
          <w:tcPr>
            <w:tcW w:type="dxa" w:w="40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val="false"/>
                <w:bCs w:val="false"/>
                <w:color w:val="0A0A0A"/>
                <w:sz w:val="20"/>
                <w:szCs w:val="20"/>
              </w:rPr>
              <w:t xml:space="preserve">TOTAL — MVP PRODUCTION</w:t>
            </w:r>
          </w:p>
        </w:tc>
        <w:tc>
          <w:tcPr>
            <w:tcW w:type="dxa" w:w="268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val="false"/>
                <w:bCs w:val="false"/>
                <w:color w:val="0A0A0A"/>
                <w:sz w:val="20"/>
                <w:szCs w:val="20"/>
              </w:rPr>
              <w:t xml:space="preserve">Hostinger KVM 8</w:t>
            </w:r>
          </w:p>
        </w:tc>
        <w:tc>
          <w:tcPr>
            <w:tcW w:type="dxa" w:w="268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bCs/>
                <w:color w:val="C9A84C"/>
                <w:sz w:val="20"/>
                <w:szCs w:val="20"/>
              </w:rPr>
              <w:t xml:space="preserve">~$32/month</w:t>
            </w:r>
          </w:p>
        </w:tc>
      </w:tr>
    </w:tbl>
    <w:p>
      <w:pPr>
        <w:spacing w:after="0" w:before="120"/>
      </w:pPr>
    </w:p>
    <w:p>
      <w:pPr>
        <w:spacing w:after="80" w:before="80"/>
      </w:pPr>
      <w:r>
        <w:rPr>
          <w:rFonts w:ascii="Arial" w:cs="Arial" w:eastAsia="Arial" w:hAnsi="Arial"/>
          <w:color w:val="0A0A0A"/>
          <w:sz w:val="22"/>
          <w:szCs w:val="22"/>
        </w:rPr>
        <w:t xml:space="preserve">For an initial $500 budget (the solo-founder 6-month plan validated in TEST 07 of the capability suite), Hostinger provides 15+ months of production-grade Kubernetes hosting — time more than sufficient to reach paying customers, validate the governance value proposition, and execute a Series Seed raise.</w:t>
      </w:r>
    </w:p>
    <w:p>
      <w:pPr>
        <w:pStyle w:val="Heading1"/>
        <w:pageBreakBefore/>
        <w:spacing w:after="240" w:before="0"/>
      </w:pPr>
      <w:r>
        <w:rPr>
          <w:rFonts w:ascii="Arial" w:cs="Arial" w:eastAsia="Arial" w:hAnsi="Arial"/>
          <w:b/>
          <w:bCs/>
          <w:color w:val="0D1B2A"/>
          <w:sz w:val="40"/>
          <w:szCs w:val="40"/>
        </w:rPr>
        <w:t xml:space="preserve">FINANCIAL EVALUATION &amp; MARKET DISRUPTION ANALYSIS</w:t>
      </w:r>
    </w:p>
    <w:p>
      <w:pPr>
        <w:spacing w:after="240" w:before="0"/>
      </w:pPr>
      <w:r>
        <w:rPr>
          <w:rFonts w:ascii="Arial" w:cs="Arial" w:eastAsia="Arial" w:hAnsi="Arial"/>
          <w:b/>
          <w:bCs/>
          <w:color w:val="C9A84C"/>
          <w:sz w:val="28"/>
          <w:szCs w:val="28"/>
        </w:rPr>
        <w:t xml:space="preserve">The Governance Layer Is a $47B Market That Does Not Yet Exist. DAXDA.IA Is Building It.</w:t>
      </w:r>
    </w:p>
    <w:p>
      <w:pPr>
        <w:spacing w:after="80" w:before="80"/>
      </w:pPr>
      <w:r>
        <w:rPr>
          <w:rFonts w:ascii="Arial" w:cs="Arial" w:eastAsia="Arial" w:hAnsi="Arial"/>
          <w:color w:val="0A0A0A"/>
          <w:sz w:val="22"/>
          <w:szCs w:val="22"/>
        </w:rPr>
        <w:t xml:space="preserve">The global AI governance and risk management market was valued at approximately $1.4 billion in 2024. By the most conservative credible projections, it will exceed $47 billion by 2032. That trajectory is not driven by incremental adoption — it is driven by regulatory inevitability. The EU AI Act, the NIST AI Risk Management Framework, the SEC's forthcoming AI disclosure requirements, and a wave of sector-specific mandates from financial regulators, healthcare authorities, and national security agencies are converging on a single conclusion: unaudited AI in enterprise workflows is no longer legally permissible.</w:t>
      </w:r>
    </w:p>
    <w:p>
      <w:pPr>
        <w:spacing w:after="80" w:before="80"/>
      </w:pPr>
      <w:r>
        <w:rPr>
          <w:rFonts w:ascii="Arial" w:cs="Arial" w:eastAsia="Arial" w:hAnsi="Arial"/>
          <w:color w:val="0A0A0A"/>
          <w:sz w:val="22"/>
          <w:szCs w:val="22"/>
        </w:rPr>
        <w:t xml:space="preserve">DAXDA.IA does not compete in that $47 billion market. It creates the infrastructure layer upon which every participant in that market depends. This is the Cisco moment of AI governance — and the founders who recognise it in 2026 will own the decade.</w:t>
      </w:r>
    </w:p>
    <w:p>
      <w:pPr>
        <w:pStyle w:val="Heading2"/>
        <w:spacing w:after="120" w:before="300"/>
      </w:pPr>
      <w:r>
        <w:rPr>
          <w:rFonts w:ascii="Arial" w:cs="Arial" w:eastAsia="Arial" w:hAnsi="Arial"/>
          <w:b/>
          <w:bCs/>
          <w:color w:val="2E4A6A"/>
          <w:sz w:val="30"/>
          <w:szCs w:val="30"/>
        </w:rPr>
        <w:t xml:space="preserve">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Segment</w:t>
            </w:r>
          </w:p>
        </w:tc>
        <w:tc>
          <w:tcPr>
            <w:tcW w:type="dxa" w:w="20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2024 Value</w:t>
            </w:r>
          </w:p>
        </w:tc>
        <w:tc>
          <w:tcPr>
            <w:tcW w:type="dxa" w:w="20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2032 Projection</w:t>
            </w:r>
          </w:p>
        </w:tc>
        <w:tc>
          <w:tcPr>
            <w:tcW w:type="dxa" w:w="21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CAGR</w:t>
            </w:r>
          </w:p>
        </w:tc>
      </w:tr>
      <w:tr>
        <w:tc>
          <w:tcPr>
            <w:tcW w:type="dxa" w:w="32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AI Governance &amp; Risk Management</w:t>
            </w:r>
          </w:p>
        </w:tc>
        <w:tc>
          <w:tcPr>
            <w:tcW w:type="dxa" w:w="2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$1.4B</w:t>
            </w:r>
          </w:p>
        </w:tc>
        <w:tc>
          <w:tcPr>
            <w:tcW w:type="dxa" w:w="2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$47.1B</w:t>
            </w:r>
          </w:p>
        </w:tc>
        <w:tc>
          <w:tcPr>
            <w:tcW w:type="dxa" w:w="21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56.3%</w:t>
            </w:r>
          </w:p>
        </w:tc>
      </w:tr>
      <w:tr>
        <w:tc>
          <w:tcPr>
            <w:tcW w:type="dxa" w:w="32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Enterprise LLM Safety &amp; Alignment</w:t>
            </w:r>
          </w:p>
        </w:tc>
        <w:tc>
          <w:tcPr>
            <w:tcW w:type="dxa" w:w="2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$0.3B</w:t>
            </w:r>
          </w:p>
        </w:tc>
        <w:tc>
          <w:tcPr>
            <w:tcW w:type="dxa" w:w="2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$18.7B</w:t>
            </w:r>
          </w:p>
        </w:tc>
        <w:tc>
          <w:tcPr>
            <w:tcW w:type="dxa" w:w="21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68.1%</w:t>
            </w:r>
          </w:p>
        </w:tc>
      </w:tr>
      <w:tr>
        <w:tc>
          <w:tcPr>
            <w:tcW w:type="dxa" w:w="32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Regulatory Compliance Automation (AI)</w:t>
            </w:r>
          </w:p>
        </w:tc>
        <w:tc>
          <w:tcPr>
            <w:tcW w:type="dxa" w:w="2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$2.1B</w:t>
            </w:r>
          </w:p>
        </w:tc>
        <w:tc>
          <w:tcPr>
            <w:tcW w:type="dxa" w:w="2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$31.4B</w:t>
            </w:r>
          </w:p>
        </w:tc>
        <w:tc>
          <w:tcPr>
            <w:tcW w:type="dxa" w:w="21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40.2%</w:t>
            </w:r>
          </w:p>
        </w:tc>
      </w:tr>
      <w:tr>
        <w:tc>
          <w:tcPr>
            <w:tcW w:type="dxa" w:w="32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Pre-LLM Governance Infrastructure</w:t>
            </w:r>
          </w:p>
        </w:tc>
        <w:tc>
          <w:tcPr>
            <w:tcW w:type="dxa" w:w="2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~$0 (nascent)</w:t>
            </w:r>
          </w:p>
        </w:tc>
        <w:tc>
          <w:tcPr>
            <w:tcW w:type="dxa" w:w="2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$12.8B</w:t>
            </w:r>
          </w:p>
        </w:tc>
        <w:tc>
          <w:tcPr>
            <w:tcW w:type="dxa" w:w="21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 from zero</w:t>
            </w:r>
          </w:p>
        </w:tc>
      </w:tr>
      <w:tr>
        <w:tc>
          <w:tcPr>
            <w:tcW w:type="dxa" w:w="32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val="false"/>
                <w:bCs w:val="false"/>
                <w:color w:val="0A0A0A"/>
                <w:sz w:val="20"/>
                <w:szCs w:val="20"/>
              </w:rPr>
              <w:t xml:space="preserve">COMBINED TAM (with overlap adj.)</w:t>
            </w:r>
          </w:p>
        </w:tc>
        <w:tc>
          <w:tcPr>
            <w:tcW w:type="dxa" w:w="20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val="false"/>
                <w:bCs w:val="false"/>
                <w:color w:val="0A0A0A"/>
                <w:sz w:val="20"/>
                <w:szCs w:val="20"/>
              </w:rPr>
              <w:t xml:space="preserve">$3.8B</w:t>
            </w:r>
          </w:p>
        </w:tc>
        <w:tc>
          <w:tcPr>
            <w:tcW w:type="dxa" w:w="20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bCs/>
                <w:color w:val="C9A84C"/>
                <w:sz w:val="20"/>
                <w:szCs w:val="20"/>
              </w:rPr>
              <w:t xml:space="preserve">$68.4B</w:t>
            </w:r>
          </w:p>
        </w:tc>
        <w:tc>
          <w:tcPr>
            <w:tcW w:type="dxa" w:w="216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bCs/>
                <w:color w:val="C9A84C"/>
                <w:sz w:val="20"/>
                <w:szCs w:val="20"/>
              </w:rPr>
              <w:t xml:space="preserve">43.7%</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8899AA" w:sz="1"/>
              <w:bottom w:val="single" w:color="8899AA" w:sz="1"/>
              <w:right w:val="single" w:color="8899AA" w:sz="1"/>
            </w:tcBorders>
            <w:shd w:fill="EAF0F6" w:val="clear"/>
            <w:tcMar>
              <w:top w:type="dxa" w:w="120"/>
              <w:left w:type="dxa" w:w="200"/>
              <w:bottom w:type="dxa" w:w="120"/>
              <w:right w:type="dxa" w:w="200"/>
            </w:tcMar>
          </w:tcPr>
          <w:p>
            <w:pPr>
              <w:spacing w:after="60" w:before="0"/>
            </w:pPr>
            <w:r>
              <w:rPr>
                <w:rFonts w:ascii="Arial" w:cs="Arial" w:eastAsia="Arial" w:hAnsi="Arial"/>
                <w:b/>
                <w:bCs/>
                <w:color w:val="C9A84C"/>
                <w:sz w:val="20"/>
                <w:szCs w:val="20"/>
              </w:rPr>
              <w:t xml:space="preserve">COMPETITIVE MOAT</w:t>
            </w:r>
          </w:p>
          <w:p>
            <w:pPr>
              <w:spacing w:after="0" w:before="0"/>
            </w:pPr>
            <w:r>
              <w:rPr>
                <w:rFonts w:ascii="Arial" w:cs="Arial" w:eastAsia="Arial" w:hAnsi="Arial"/>
                <w:color w:val="0A0A0A"/>
                <w:sz w:val="21"/>
                <w:szCs w:val="21"/>
              </w:rPr>
              <w:t xml:space="preserve">The Pre-LLM Governance Infrastructure category does not yet have a dominant player. DAXDA.IA is the first system to operate at this layer with a validated, mathematically specified protocol. First-mover advantage at the infrastructure layer compounds in perpetuity — ask Cisco, ask Salesforce, ask Stripe.</w:t>
            </w:r>
          </w:p>
        </w:tc>
      </w:tr>
    </w:tbl>
    <w:p>
      <w:pPr>
        <w:pStyle w:val="Heading2"/>
        <w:spacing w:after="120" w:before="300"/>
      </w:pPr>
      <w:r>
        <w:rPr>
          <w:rFonts w:ascii="Arial" w:cs="Arial" w:eastAsia="Arial" w:hAnsi="Arial"/>
          <w:b/>
          <w:bCs/>
          <w:color w:val="2E4A6A"/>
          <w:sz w:val="30"/>
          <w:szCs w:val="30"/>
        </w:rPr>
        <w:t xml:space="preserve">Revenue Model</w:t>
      </w:r>
    </w:p>
    <w:p>
      <w:pPr>
        <w:spacing w:after="80" w:before="80"/>
      </w:pPr>
      <w:r>
        <w:rPr>
          <w:rFonts w:ascii="Arial" w:cs="Arial" w:eastAsia="Arial" w:hAnsi="Arial"/>
          <w:color w:val="0A0A0A"/>
          <w:sz w:val="22"/>
          <w:szCs w:val="22"/>
        </w:rPr>
        <w:t xml:space="preserve">DAXDA.IA operates on a hybrid SaaS and API consumption model across four distinct tiers, each calibrated to a different buyer profile and willingness to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Tier</w:t>
            </w:r>
          </w:p>
        </w:tc>
        <w:tc>
          <w:tcPr>
            <w:tcW w:type="dxa" w:w="22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Target</w:t>
            </w:r>
          </w:p>
        </w:tc>
        <w:tc>
          <w:tcPr>
            <w:tcW w:type="dxa" w:w="22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Price Point</w:t>
            </w:r>
          </w:p>
        </w:tc>
        <w:tc>
          <w:tcPr>
            <w:tcW w:type="dxa" w:w="31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Value Proposition</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Developer</w:t>
            </w:r>
          </w:p>
        </w:tc>
        <w:tc>
          <w:tcPr>
            <w:tcW w:type="dxa" w:w="22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Indie / Startup</w:t>
            </w:r>
          </w:p>
        </w:tc>
        <w:tc>
          <w:tcPr>
            <w:tcW w:type="dxa" w:w="22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$99/mo</w:t>
            </w:r>
          </w:p>
        </w:tc>
        <w:tc>
          <w:tcPr>
            <w:tcW w:type="dxa" w:w="31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1M governed tokens/mo, DA13 API access, basic audit dashboard</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Professional</w:t>
            </w:r>
          </w:p>
        </w:tc>
        <w:tc>
          <w:tcPr>
            <w:tcW w:type="dxa" w:w="22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Growth-stage SaaS</w:t>
            </w:r>
          </w:p>
        </w:tc>
        <w:tc>
          <w:tcPr>
            <w:tcW w:type="dxa" w:w="22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$999/mo</w:t>
            </w:r>
          </w:p>
        </w:tc>
        <w:tc>
          <w:tcPr>
            <w:tcW w:type="dxa" w:w="31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10M tokens, custom gate policies, full audit trail, webhook integration</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Enterprise</w:t>
            </w:r>
          </w:p>
        </w:tc>
        <w:tc>
          <w:tcPr>
            <w:tcW w:type="dxa" w:w="22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Mid-market &amp; large enterprise</w:t>
            </w:r>
          </w:p>
        </w:tc>
        <w:tc>
          <w:tcPr>
            <w:tcW w:type="dxa" w:w="22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$9,999/mo</w:t>
            </w:r>
          </w:p>
        </w:tc>
        <w:tc>
          <w:tcPr>
            <w:tcW w:type="dxa" w:w="31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Unlimited tokens, dedicated Worker pool, RBAC, SLA, compliance reporting</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Sovereign</w:t>
            </w:r>
          </w:p>
        </w:tc>
        <w:tc>
          <w:tcPr>
            <w:tcW w:type="dxa" w:w="22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Government / regulated financial</w:t>
            </w:r>
          </w:p>
        </w:tc>
        <w:tc>
          <w:tcPr>
            <w:tcW w:type="dxa" w:w="22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$50K–$500K/yr</w:t>
            </w:r>
          </w:p>
        </w:tc>
        <w:tc>
          <w:tcPr>
            <w:tcW w:type="dxa" w:w="31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On-premise or private cloud deployment, custom DA13 configuration, audit certification</w:t>
            </w:r>
          </w:p>
        </w:tc>
      </w:tr>
    </w:tbl>
    <w:p>
      <w:pPr>
        <w:pStyle w:val="Heading2"/>
        <w:spacing w:after="120" w:before="300"/>
      </w:pPr>
      <w:r>
        <w:rPr>
          <w:rFonts w:ascii="Arial" w:cs="Arial" w:eastAsia="Arial" w:hAnsi="Arial"/>
          <w:b/>
          <w:bCs/>
          <w:color w:val="2E4A6A"/>
          <w:sz w:val="30"/>
          <w:szCs w:val="30"/>
        </w:rPr>
        <w:t xml:space="preserve">5-Year Financial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680"/>
        <w:gridCol w:w="1680"/>
      </w:tblGrid>
      <w:tr>
        <w:tc>
          <w:tcPr>
            <w:tcW w:type="dxa" w:w="18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15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Year 1</w:t>
            </w:r>
          </w:p>
        </w:tc>
        <w:tc>
          <w:tcPr>
            <w:tcW w:type="dxa" w:w="15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Year 2</w:t>
            </w:r>
          </w:p>
        </w:tc>
        <w:tc>
          <w:tcPr>
            <w:tcW w:type="dxa" w:w="15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Year 3</w:t>
            </w:r>
          </w:p>
        </w:tc>
        <w:tc>
          <w:tcPr>
            <w:tcW w:type="dxa" w:w="168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Year 4</w:t>
            </w:r>
          </w:p>
        </w:tc>
        <w:tc>
          <w:tcPr>
            <w:tcW w:type="dxa" w:w="168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Year 5</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Paying Customers</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120</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480</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1,800</w:t>
            </w:r>
          </w:p>
        </w:tc>
        <w:tc>
          <w:tcPr>
            <w:tcW w:type="dxa" w:w="1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5,200</w:t>
            </w:r>
          </w:p>
        </w:tc>
        <w:tc>
          <w:tcPr>
            <w:tcW w:type="dxa" w:w="1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12,000</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ARR</w:t>
            </w:r>
          </w:p>
        </w:tc>
        <w:tc>
          <w:tcPr>
            <w:tcW w:type="dxa" w:w="15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$0.4M</w:t>
            </w:r>
          </w:p>
        </w:tc>
        <w:tc>
          <w:tcPr>
            <w:tcW w:type="dxa" w:w="15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$2.1M</w:t>
            </w:r>
          </w:p>
        </w:tc>
        <w:tc>
          <w:tcPr>
            <w:tcW w:type="dxa" w:w="15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$9.6M</w:t>
            </w:r>
          </w:p>
        </w:tc>
        <w:tc>
          <w:tcPr>
            <w:tcW w:type="dxa" w:w="168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$34M</w:t>
            </w:r>
          </w:p>
        </w:tc>
        <w:tc>
          <w:tcPr>
            <w:tcW w:type="dxa" w:w="168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$98M</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Gross Margin</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62%</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71%</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78%</w:t>
            </w:r>
          </w:p>
        </w:tc>
        <w:tc>
          <w:tcPr>
            <w:tcW w:type="dxa" w:w="1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82%</w:t>
            </w:r>
          </w:p>
        </w:tc>
        <w:tc>
          <w:tcPr>
            <w:tcW w:type="dxa" w:w="1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85%</w:t>
            </w:r>
          </w:p>
        </w:tc>
      </w:tr>
      <w:tr>
        <w:tc>
          <w:tcPr>
            <w:tcW w:type="dxa" w:w="18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Headcount</w:t>
            </w:r>
          </w:p>
        </w:tc>
        <w:tc>
          <w:tcPr>
            <w:tcW w:type="dxa" w:w="15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4</w:t>
            </w:r>
          </w:p>
        </w:tc>
        <w:tc>
          <w:tcPr>
            <w:tcW w:type="dxa" w:w="15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12</w:t>
            </w:r>
          </w:p>
        </w:tc>
        <w:tc>
          <w:tcPr>
            <w:tcW w:type="dxa" w:w="15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34</w:t>
            </w:r>
          </w:p>
        </w:tc>
        <w:tc>
          <w:tcPr>
            <w:tcW w:type="dxa" w:w="168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87</w:t>
            </w:r>
          </w:p>
        </w:tc>
        <w:tc>
          <w:tcPr>
            <w:tcW w:type="dxa" w:w="168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180</w:t>
            </w:r>
          </w:p>
        </w:tc>
      </w:tr>
      <w:tr>
        <w:tc>
          <w:tcPr>
            <w:tcW w:type="dxa" w:w="18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Net Burn / Profit</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C0392B"/>
                <w:sz w:val="20"/>
                <w:szCs w:val="20"/>
              </w:rPr>
              <w:t xml:space="preserve">-$0.8M</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C0392B"/>
                <w:sz w:val="20"/>
                <w:szCs w:val="20"/>
              </w:rPr>
              <w:t xml:space="preserve">-$1.2M</w:t>
            </w:r>
          </w:p>
        </w:tc>
        <w:tc>
          <w:tcPr>
            <w:tcW w:type="dxa" w:w="15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+$1.4M</w:t>
            </w:r>
          </w:p>
        </w:tc>
        <w:tc>
          <w:tcPr>
            <w:tcW w:type="dxa" w:w="1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+$8.9M</w:t>
            </w:r>
          </w:p>
        </w:tc>
        <w:tc>
          <w:tcPr>
            <w:tcW w:type="dxa" w:w="168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+$28M</w:t>
            </w:r>
          </w:p>
        </w:tc>
      </w:tr>
    </w:tbl>
    <w:p>
      <w:pPr>
        <w:pStyle w:val="Heading2"/>
        <w:spacing w:after="120" w:before="300"/>
      </w:pPr>
      <w:r>
        <w:rPr>
          <w:rFonts w:ascii="Arial" w:cs="Arial" w:eastAsia="Arial" w:hAnsi="Arial"/>
          <w:b/>
          <w:bCs/>
          <w:color w:val="2E4A6A"/>
          <w:sz w:val="30"/>
          <w:szCs w:val="30"/>
        </w:rPr>
        <w:t xml:space="preserve">Market Disruption Vectors</w:t>
      </w:r>
    </w:p>
    <w:p>
      <w:pPr>
        <w:spacing w:after="80" w:before="80"/>
      </w:pPr>
      <w:r>
        <w:rPr>
          <w:rFonts w:ascii="Arial" w:cs="Arial" w:eastAsia="Arial" w:hAnsi="Arial"/>
          <w:color w:val="0A0A0A"/>
          <w:sz w:val="22"/>
          <w:szCs w:val="22"/>
        </w:rPr>
        <w:t xml:space="preserve">DAXDA.IA disrupts at three layers simultaneously — and it is the intersection of all three that creates the durable competitive moat.</w:t>
      </w:r>
    </w:p>
    <w:p>
      <w:pPr>
        <w:pStyle w:val="Heading3"/>
        <w:spacing w:after="80" w:before="200"/>
      </w:pPr>
      <w:r>
        <w:rPr>
          <w:rFonts w:ascii="Arial" w:cs="Arial" w:eastAsia="Arial" w:hAnsi="Arial"/>
          <w:b/>
          <w:bCs/>
          <w:color w:val="1B2A3A"/>
          <w:sz w:val="26"/>
          <w:szCs w:val="26"/>
        </w:rPr>
        <w:t xml:space="preserve">Disruption Vector 1: The Compliance Layer</w:t>
      </w:r>
    </w:p>
    <w:p>
      <w:pPr>
        <w:spacing w:after="80" w:before="80"/>
      </w:pPr>
      <w:r>
        <w:rPr>
          <w:rFonts w:ascii="Arial" w:cs="Arial" w:eastAsia="Arial" w:hAnsi="Arial"/>
          <w:color w:val="0A0A0A"/>
          <w:sz w:val="22"/>
          <w:szCs w:val="22"/>
        </w:rPr>
        <w:t xml:space="preserve">Every enterprise that deploys an LLM in 2026 and beyond faces an unavoidable question: how do you prove it behaved correctly? Current answers are inadequate — post-hoc logging, manual review, and statistical sampling are not governance. DAXDA.IA is the first system that can answer that question with a cryptographically signed, legally defensible audit trail for every single prompt. This is not a feature. This is a new product category: Proof of Governance.</w:t>
      </w:r>
    </w:p>
    <w:p>
      <w:pPr>
        <w:pStyle w:val="Heading3"/>
        <w:spacing w:after="80" w:before="200"/>
      </w:pPr>
      <w:r>
        <w:rPr>
          <w:rFonts w:ascii="Arial" w:cs="Arial" w:eastAsia="Arial" w:hAnsi="Arial"/>
          <w:b/>
          <w:bCs/>
          <w:color w:val="1B2A3A"/>
          <w:sz w:val="26"/>
          <w:szCs w:val="26"/>
        </w:rPr>
        <w:t xml:space="preserve">Disruption Vector 2: The Liability Transfer Market</w:t>
      </w:r>
    </w:p>
    <w:p>
      <w:pPr>
        <w:spacing w:after="80" w:before="80"/>
      </w:pPr>
      <w:r>
        <w:rPr>
          <w:rFonts w:ascii="Arial" w:cs="Arial" w:eastAsia="Arial" w:hAnsi="Arial"/>
          <w:color w:val="0A0A0A"/>
          <w:sz w:val="22"/>
          <w:szCs w:val="22"/>
        </w:rPr>
        <w:t xml:space="preserve">As AI liability law matures — and it is maturing, in Brussels, Washington, and Singapore simultaneously — enterprises will face a stark choice: deploy AI without governance infrastructure and absorb unlimited liability, or deploy AI with DAXDA.IA and transfer that liability to a documented, auditable, certifiable system. DAXDA.IA is not a cost centre. It is a liability instrument. That reframes the procurement conversation from IT budget to risk management budget — an order of magnitude larger.</w:t>
      </w:r>
    </w:p>
    <w:p>
      <w:pPr>
        <w:pStyle w:val="Heading3"/>
        <w:spacing w:after="80" w:before="200"/>
      </w:pPr>
      <w:r>
        <w:rPr>
          <w:rFonts w:ascii="Arial" w:cs="Arial" w:eastAsia="Arial" w:hAnsi="Arial"/>
          <w:b/>
          <w:bCs/>
          <w:color w:val="1B2A3A"/>
          <w:sz w:val="26"/>
          <w:szCs w:val="26"/>
        </w:rPr>
        <w:t xml:space="preserve">Disruption Vector 3: The Trust Economy</w:t>
      </w:r>
    </w:p>
    <w:p>
      <w:pPr>
        <w:spacing w:after="80" w:before="80"/>
      </w:pPr>
      <w:r>
        <w:rPr>
          <w:rFonts w:ascii="Arial" w:cs="Arial" w:eastAsia="Arial" w:hAnsi="Arial"/>
          <w:color w:val="0A0A0A"/>
          <w:sz w:val="22"/>
          <w:szCs w:val="22"/>
        </w:rPr>
        <w:t xml:space="preserve">The most profound disruption is cultural. We are entering an era in which AI-generated content, AI-assisted decisions, and AI-driven recommendations will be presumed untrustworthy unless proven otherwise. DAXDA.IA is the first system that can issue a verifiable trust credential for an AI output. In a world where trust is the scarcest resource, the infrastructure that produces it is worth more than the AI it governs.</w:t>
      </w:r>
    </w:p>
    <w:p>
      <w:pPr>
        <w:pStyle w:val="Heading1"/>
        <w:pageBreakBefore/>
        <w:spacing w:after="240" w:before="0"/>
      </w:pPr>
      <w:r>
        <w:rPr>
          <w:rFonts w:ascii="Arial" w:cs="Arial" w:eastAsia="Arial" w:hAnsi="Arial"/>
          <w:b/>
          <w:bCs/>
          <w:color w:val="0D1B2A"/>
          <w:sz w:val="40"/>
          <w:szCs w:val="40"/>
        </w:rPr>
        <w:t xml:space="preserve">COMPLETE FUNDING PACKAGE</w:t>
      </w:r>
    </w:p>
    <w:p>
      <w:pPr>
        <w:spacing w:after="240" w:before="0"/>
      </w:pPr>
      <w:r>
        <w:rPr>
          <w:rFonts w:ascii="Arial" w:cs="Arial" w:eastAsia="Arial" w:hAnsi="Arial"/>
          <w:b/>
          <w:bCs/>
          <w:color w:val="C9A84C"/>
          <w:sz w:val="28"/>
          <w:szCs w:val="28"/>
        </w:rPr>
        <w:t xml:space="preserve">The Investment Thesis for the Infrastructure Layer of the AI Governance Economy</w:t>
      </w:r>
    </w:p>
    <w:p>
      <w:pPr>
        <w:spacing w:after="80" w:before="80"/>
      </w:pPr>
      <w:r>
        <w:rPr>
          <w:rFonts w:ascii="Arial" w:cs="Arial" w:eastAsia="Arial" w:hAnsi="Arial"/>
          <w:color w:val="0A0A0A"/>
          <w:sz w:val="22"/>
          <w:szCs w:val="22"/>
        </w:rPr>
        <w:t xml:space="preserve">This section constitutes the complete funding package for DAXDA.IA's Seed round. It is designed to be presented to pre-seed and seed-stage investors, strategic angels with AI/compliance background, and government innovation funds. It is also designed to be submitted to accelerators including Y Combinator, Antler, Entrepreneur First, and UK/EU deeptech programmes.</w:t>
      </w:r>
    </w:p>
    <w:p>
      <w:pPr>
        <w:pStyle w:val="Heading2"/>
        <w:spacing w:after="120" w:before="300"/>
      </w:pPr>
      <w:r>
        <w:rPr>
          <w:rFonts w:ascii="Arial" w:cs="Arial" w:eastAsia="Arial" w:hAnsi="Arial"/>
          <w:b/>
          <w:bCs/>
          <w:color w:val="2E4A6A"/>
          <w:sz w:val="30"/>
          <w:szCs w:val="30"/>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
              <w:bottom w:val="single" w:color="C9A84C" w:sz="1"/>
              <w:right w:val="single" w:color="C9A84C" w:sz="1"/>
            </w:tcBorders>
            <w:shd w:fill="0D1B2A" w:val="clear"/>
            <w:tcMar>
              <w:top w:type="dxa" w:w="200"/>
              <w:left w:type="dxa" w:w="280"/>
              <w:bottom w:type="dxa" w:w="200"/>
              <w:right w:type="dxa" w:w="280"/>
            </w:tcMar>
          </w:tcPr>
          <w:p>
            <w:pPr>
              <w:spacing w:after="80" w:before="0"/>
              <w:jc w:val="center"/>
            </w:pPr>
            <w:r>
              <w:rPr>
                <w:rFonts w:ascii="Arial" w:cs="Arial" w:eastAsia="Arial" w:hAnsi="Arial"/>
                <w:b/>
                <w:bCs/>
                <w:color w:val="C9A84C"/>
                <w:sz w:val="24"/>
                <w:szCs w:val="24"/>
              </w:rPr>
              <w:t xml:space="preserve">SEED ROUND</w:t>
            </w:r>
          </w:p>
          <w:p>
            <w:pPr>
              <w:spacing w:after="80" w:before="0"/>
              <w:jc w:val="center"/>
            </w:pPr>
            <w:r>
              <w:rPr>
                <w:rFonts w:ascii="Arial" w:cs="Arial" w:eastAsia="Arial" w:hAnsi="Arial"/>
                <w:b/>
                <w:bCs/>
                <w:color w:val="FFFFFF"/>
                <w:sz w:val="72"/>
                <w:szCs w:val="72"/>
              </w:rPr>
              <w:t xml:space="preserve">$1,500,000</w:t>
            </w:r>
          </w:p>
          <w:p>
            <w:pPr>
              <w:spacing w:after="0" w:before="0"/>
              <w:jc w:val="center"/>
            </w:pPr>
            <w:r>
              <w:rPr>
                <w:rFonts w:ascii="Arial" w:cs="Arial" w:eastAsia="Arial" w:hAnsi="Arial"/>
                <w:color w:val="8899AA"/>
                <w:sz w:val="24"/>
                <w:szCs w:val="24"/>
              </w:rPr>
              <w:t xml:space="preserve">USD  ·  SAFE Note  ·  $8M Pre-Money Cap  ·  20% Discount</w:t>
            </w:r>
          </w:p>
        </w:tc>
      </w:tr>
    </w:tbl>
    <w:p>
      <w:pPr>
        <w:spacing w:after="0" w:before="120"/>
      </w:pPr>
    </w:p>
    <w:p>
      <w:pPr>
        <w:pStyle w:val="Heading2"/>
        <w:spacing w:after="120" w:before="300"/>
      </w:pPr>
      <w:r>
        <w:rPr>
          <w:rFonts w:ascii="Arial" w:cs="Arial" w:eastAsia="Arial" w:hAnsi="Arial"/>
          <w:b/>
          <w:bCs/>
          <w:color w:val="2E4A6A"/>
          <w:sz w:val="30"/>
          <w:szCs w:val="30"/>
        </w:rPr>
        <w:t xml:space="preserve">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20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Amount</w:t>
            </w:r>
          </w:p>
        </w:tc>
        <w:tc>
          <w:tcPr>
            <w:tcW w:type="dxa" w:w="37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Outcome</w:t>
            </w:r>
          </w:p>
        </w:tc>
      </w:tr>
      <w:tr>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Engineering (3 senior hires: backend, infra, security)</w:t>
            </w:r>
          </w:p>
        </w:tc>
        <w:tc>
          <w:tcPr>
            <w:tcW w:type="dxa" w:w="2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0A0A0A"/>
                <w:sz w:val="20"/>
                <w:szCs w:val="20"/>
              </w:rPr>
              <w:t xml:space="preserve">$720,000</w:t>
            </w:r>
          </w:p>
        </w:tc>
        <w:tc>
          <w:tcPr>
            <w:tcW w:type="dxa" w:w="3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Production-grade 886-Ops engine on Kubernetes/Hostinger</w:t>
            </w:r>
          </w:p>
        </w:tc>
      </w:tr>
      <w:tr>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Product &amp; Design (1 hire)</w:t>
            </w:r>
          </w:p>
        </w:tc>
        <w:tc>
          <w:tcPr>
            <w:tcW w:type="dxa" w:w="2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0A0A0A"/>
                <w:sz w:val="20"/>
                <w:szCs w:val="20"/>
              </w:rPr>
              <w:t xml:space="preserve">$180,000</w:t>
            </w:r>
          </w:p>
        </w:tc>
        <w:tc>
          <w:tcPr>
            <w:tcW w:type="dxa" w:w="37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Dashboard/Mapper UI, developer portal, API docs</w:t>
            </w:r>
          </w:p>
        </w:tc>
      </w:tr>
      <w:tr>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Go-To-Market &amp; Sales (1 hire + programmes)</w:t>
            </w:r>
          </w:p>
        </w:tc>
        <w:tc>
          <w:tcPr>
            <w:tcW w:type="dxa" w:w="2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0A0A0A"/>
                <w:sz w:val="20"/>
                <w:szCs w:val="20"/>
              </w:rPr>
              <w:t xml:space="preserve">$240,000</w:t>
            </w:r>
          </w:p>
        </w:tc>
        <w:tc>
          <w:tcPr>
            <w:tcW w:type="dxa" w:w="3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First 120 paying customers, 3 enterprise pilots</w:t>
            </w:r>
          </w:p>
        </w:tc>
      </w:tr>
      <w:tr>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Infrastructure &amp; Cloud (18 months)</w:t>
            </w:r>
          </w:p>
        </w:tc>
        <w:tc>
          <w:tcPr>
            <w:tcW w:type="dxa" w:w="2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0A0A0A"/>
                <w:sz w:val="20"/>
                <w:szCs w:val="20"/>
              </w:rPr>
              <w:t xml:space="preserve">$96,000</w:t>
            </w:r>
          </w:p>
        </w:tc>
        <w:tc>
          <w:tcPr>
            <w:tcW w:type="dxa" w:w="37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Hostinger + registry + observability stack</w:t>
            </w:r>
          </w:p>
        </w:tc>
      </w:tr>
      <w:tr>
        <w:tc>
          <w:tcPr>
            <w:tcW w:type="dxa" w:w="3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Legal, IP, Compliance</w:t>
            </w:r>
          </w:p>
        </w:tc>
        <w:tc>
          <w:tcPr>
            <w:tcW w:type="dxa" w:w="2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0A0A0A"/>
                <w:sz w:val="20"/>
                <w:szCs w:val="20"/>
              </w:rPr>
              <w:t xml:space="preserve">$120,000</w:t>
            </w:r>
          </w:p>
        </w:tc>
        <w:tc>
          <w:tcPr>
            <w:tcW w:type="dxa" w:w="3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DA13 IP registration, SAFE docs, data processing agreements</w:t>
            </w:r>
          </w:p>
        </w:tc>
      </w:tr>
      <w:tr>
        <w:tc>
          <w:tcPr>
            <w:tcW w:type="dxa" w:w="3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Reserve</w:t>
            </w:r>
          </w:p>
        </w:tc>
        <w:tc>
          <w:tcPr>
            <w:tcW w:type="dxa" w:w="2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0A0A0A"/>
                <w:sz w:val="20"/>
                <w:szCs w:val="20"/>
              </w:rPr>
              <w:t xml:space="preserve">$144,000</w:t>
            </w:r>
          </w:p>
        </w:tc>
        <w:tc>
          <w:tcPr>
            <w:tcW w:type="dxa" w:w="37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10% operational buffer</w:t>
            </w:r>
          </w:p>
        </w:tc>
      </w:tr>
      <w:tr>
        <w:tc>
          <w:tcPr>
            <w:tcW w:type="dxa" w:w="36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val="false"/>
                <w:bCs w:val="false"/>
                <w:color w:val="0A0A0A"/>
                <w:sz w:val="20"/>
                <w:szCs w:val="20"/>
              </w:rPr>
              <w:t xml:space="preserve">TOTAL</w:t>
            </w:r>
          </w:p>
        </w:tc>
        <w:tc>
          <w:tcPr>
            <w:tcW w:type="dxa" w:w="200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bCs/>
                <w:color w:val="C9A84C"/>
                <w:sz w:val="20"/>
                <w:szCs w:val="20"/>
              </w:rPr>
              <w:t xml:space="preserve">$1,500,000</w:t>
            </w:r>
          </w:p>
        </w:tc>
        <w:tc>
          <w:tcPr>
            <w:tcW w:type="dxa" w:w="3760"/>
            <w:tcBorders>
              <w:top w:val="single" w:color="8899AA" w:sz="1"/>
              <w:left w:val="single" w:color="8899AA" w:sz="1"/>
              <w:bottom w:val="single" w:color="8899AA" w:sz="1"/>
              <w:right w:val="single" w:color="8899AA" w:sz="1"/>
            </w:tcBorders>
            <w:shd w:fill="0D1B2A" w:val="clear"/>
            <w:tcMar>
              <w:top w:type="dxa" w:w="80"/>
              <w:left w:type="dxa" w:w="100"/>
              <w:bottom w:type="dxa" w:w="80"/>
              <w:right w:type="dxa" w:w="100"/>
            </w:tcMar>
          </w:tcPr>
          <w:p>
            <w:r>
              <w:rPr>
                <w:rFonts w:ascii="Arial" w:cs="Arial" w:eastAsia="Arial" w:hAnsi="Arial"/>
                <w:b w:val="false"/>
                <w:bCs w:val="false"/>
                <w:color w:val="0A0A0A"/>
                <w:sz w:val="20"/>
                <w:szCs w:val="20"/>
              </w:rPr>
              <w:t xml:space="preserve">18-month runway to profitability gate</w:t>
            </w:r>
          </w:p>
        </w:tc>
      </w:tr>
    </w:tbl>
    <w:p>
      <w:pPr>
        <w:pStyle w:val="Heading2"/>
        <w:spacing w:after="120" w:before="300"/>
      </w:pPr>
      <w:r>
        <w:rPr>
          <w:rFonts w:ascii="Arial" w:cs="Arial" w:eastAsia="Arial" w:hAnsi="Arial"/>
          <w:b/>
          <w:bCs/>
          <w:color w:val="2E4A6A"/>
          <w:sz w:val="30"/>
          <w:szCs w:val="30"/>
        </w:rPr>
        <w:t xml:space="preserve">Milestones Unlocked by This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Month</w:t>
            </w:r>
          </w:p>
        </w:tc>
        <w:tc>
          <w:tcPr>
            <w:tcW w:type="dxa" w:w="37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Milestone</w:t>
            </w:r>
          </w:p>
        </w:tc>
        <w:tc>
          <w:tcPr>
            <w:tcW w:type="dxa" w:w="40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Investor Signal</w:t>
            </w:r>
          </w:p>
        </w:tc>
      </w:tr>
      <w:tr>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M3</w:t>
            </w:r>
          </w:p>
        </w:tc>
        <w:tc>
          <w:tcPr>
            <w:tcW w:type="dxa" w:w="3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DAXDA.IA API live on Hostinger, public beta open</w:t>
            </w:r>
          </w:p>
        </w:tc>
        <w:tc>
          <w:tcPr>
            <w:tcW w:type="dxa" w:w="4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Technical risk retired — running system in production</w:t>
            </w:r>
          </w:p>
        </w:tc>
      </w:tr>
      <w:tr>
        <w:tc>
          <w:tcPr>
            <w:tcW w:type="dxa" w:w="1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M6</w:t>
            </w:r>
          </w:p>
        </w:tc>
        <w:tc>
          <w:tcPr>
            <w:tcW w:type="dxa" w:w="37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120 paying Developer/Professional customers, $40K MRR</w:t>
            </w:r>
          </w:p>
        </w:tc>
        <w:tc>
          <w:tcPr>
            <w:tcW w:type="dxa" w:w="4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Product-market fit signal — customers paying without being asked</w:t>
            </w:r>
          </w:p>
        </w:tc>
      </w:tr>
      <w:tr>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M9</w:t>
            </w:r>
          </w:p>
        </w:tc>
        <w:tc>
          <w:tcPr>
            <w:tcW w:type="dxa" w:w="3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First enterprise pilot signed ($9,999/mo tier)</w:t>
            </w:r>
          </w:p>
        </w:tc>
        <w:tc>
          <w:tcPr>
            <w:tcW w:type="dxa" w:w="4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Enterprise validation — justifies Series A narrative</w:t>
            </w:r>
          </w:p>
        </w:tc>
      </w:tr>
      <w:tr>
        <w:tc>
          <w:tcPr>
            <w:tcW w:type="dxa" w:w="16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M12</w:t>
            </w:r>
          </w:p>
        </w:tc>
        <w:tc>
          <w:tcPr>
            <w:tcW w:type="dxa" w:w="37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$1.2M ARR, DA13 submitted for ISO/IEC AI governance certification</w:t>
            </w:r>
          </w:p>
        </w:tc>
        <w:tc>
          <w:tcPr>
            <w:tcW w:type="dxa" w:w="40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Revenue + regulatory moat forming simultaneously</w:t>
            </w:r>
          </w:p>
        </w:tc>
      </w:tr>
      <w:tr>
        <w:tc>
          <w:tcPr>
            <w:tcW w:type="dxa" w:w="16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M18</w:t>
            </w:r>
          </w:p>
        </w:tc>
        <w:tc>
          <w:tcPr>
            <w:tcW w:type="dxa" w:w="3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$2.1M ARR, 3 enterprise customers, Series A raise</w:t>
            </w:r>
          </w:p>
        </w:tc>
        <w:tc>
          <w:tcPr>
            <w:tcW w:type="dxa" w:w="40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$12–$18M Series A at $40–$60M pre-money valuation</w:t>
            </w:r>
          </w:p>
        </w:tc>
      </w:tr>
    </w:tbl>
    <w:p>
      <w:pPr>
        <w:pStyle w:val="Heading2"/>
        <w:spacing w:after="120" w:before="300"/>
      </w:pPr>
      <w:r>
        <w:rPr>
          <w:rFonts w:ascii="Arial" w:cs="Arial" w:eastAsia="Arial" w:hAnsi="Arial"/>
          <w:b/>
          <w:bCs/>
          <w:color w:val="2E4A6A"/>
          <w:sz w:val="30"/>
          <w:szCs w:val="30"/>
        </w:rPr>
        <w:t xml:space="preserve">Why Now — The Regulatory Forcing Function</w:t>
      </w:r>
    </w:p>
    <w:p>
      <w:pPr>
        <w:spacing w:after="80" w:before="80"/>
      </w:pPr>
      <w:r>
        <w:rPr>
          <w:rFonts w:ascii="Arial" w:cs="Arial" w:eastAsia="Arial" w:hAnsi="Arial"/>
          <w:color w:val="0A0A0A"/>
          <w:sz w:val="22"/>
          <w:szCs w:val="22"/>
        </w:rPr>
        <w:t xml:space="preserve">Investors who waited on enterprise SaaS in 2010 paid 10x by 2015. Investors who waited on cloud security in 2018 paid 8x by 2022. The AI governance regulatory wave is the most legible, most documented, most telegraphed forcing function in the history of technology investment. The EU AI Act enters full enforcement in 2026. The NIST AI RMF has been adopted by over 400 US federal agencies. The Financial Stability Board has issued formal AI risk guidance to G20 central banks. There is no longer a question of whether enterprises will need AI governance infrastructure. The question is who builds the standard-setting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8899AA" w:sz="1"/>
              <w:bottom w:val="single" w:color="8899AA" w:sz="1"/>
              <w:right w:val="single" w:color="8899AA" w:sz="1"/>
            </w:tcBorders>
            <w:shd w:fill="EAF0F6" w:val="clear"/>
            <w:tcMar>
              <w:top w:type="dxa" w:w="120"/>
              <w:left w:type="dxa" w:w="200"/>
              <w:bottom w:type="dxa" w:w="120"/>
              <w:right w:type="dxa" w:w="200"/>
            </w:tcMar>
          </w:tcPr>
          <w:p>
            <w:pPr>
              <w:spacing w:after="60" w:before="0"/>
            </w:pPr>
            <w:r>
              <w:rPr>
                <w:rFonts w:ascii="Arial" w:cs="Arial" w:eastAsia="Arial" w:hAnsi="Arial"/>
                <w:b/>
                <w:bCs/>
                <w:color w:val="C9A84C"/>
                <w:sz w:val="20"/>
                <w:szCs w:val="20"/>
              </w:rPr>
              <w:t xml:space="preserve">THE ANTHROPIC PARALLEL</w:t>
            </w:r>
          </w:p>
          <w:p>
            <w:pPr>
              <w:spacing w:after="0" w:before="0"/>
            </w:pPr>
            <w:r>
              <w:rPr>
                <w:rFonts w:ascii="Arial" w:cs="Arial" w:eastAsia="Arial" w:hAnsi="Arial"/>
                <w:color w:val="0A0A0A"/>
                <w:sz w:val="21"/>
                <w:szCs w:val="21"/>
              </w:rPr>
              <w:t xml:space="preserve">Anthropic raised its first institutional round on the thesis that safety-first AI development would prove more durable than capability-first development. That thesis is now being validated at scale. DAXDA.IA is the enterprise deployment layer that makes that thesis operational — the governance infrastructure that turns safety research into auditable, defensible production systems.</w:t>
            </w:r>
          </w:p>
        </w:tc>
      </w:tr>
    </w:tbl>
    <w:p>
      <w:pPr>
        <w:pStyle w:val="Heading2"/>
        <w:spacing w:after="120" w:before="300"/>
      </w:pPr>
      <w:r>
        <w:rPr>
          <w:rFonts w:ascii="Arial" w:cs="Arial" w:eastAsia="Arial" w:hAnsi="Arial"/>
          <w:b/>
          <w:bCs/>
          <w:color w:val="2E4A6A"/>
          <w:sz w:val="30"/>
          <w:szCs w:val="30"/>
        </w:rPr>
        <w:t xml:space="preserve">The Founding Team Advantage</w:t>
      </w:r>
    </w:p>
    <w:p>
      <w:pPr>
        <w:spacing w:after="80" w:before="80"/>
      </w:pPr>
      <w:r>
        <w:rPr>
          <w:rFonts w:ascii="Arial" w:cs="Arial" w:eastAsia="Arial" w:hAnsi="Arial"/>
          <w:color w:val="0A0A0A"/>
          <w:sz w:val="22"/>
          <w:szCs w:val="22"/>
        </w:rPr>
        <w:t xml:space="preserve">DAXDA.IA was conceived, specified, and validated by Nicole Bess — the designer of the DA13 Dialectical Alignment Protocol. The 886-Ops Architecture is not a consultant's framework retrofitted to an existing product. It is a ground-up specification of what AI governance must be to survive contact with adversarial real-world deployment conditions. The capability test suite, the Monte Carlo adversarial batch, the Kubernetes deployment architecture, and the 10-prompt Manus orchestration pack were all built in-house, in sequence, with no shortcuts.</w:t>
      </w:r>
    </w:p>
    <w:p>
      <w:pPr>
        <w:spacing w:after="80" w:before="80"/>
      </w:pPr>
      <w:r>
        <w:rPr>
          <w:rFonts w:ascii="Arial" w:cs="Arial" w:eastAsia="Arial" w:hAnsi="Arial"/>
          <w:color w:val="0A0A0A"/>
          <w:sz w:val="22"/>
          <w:szCs w:val="22"/>
        </w:rPr>
        <w:t xml:space="preserve">The founding team's advantage is not just technical. It is philosophical. DAXDA.IA understands — at a level that no compliance vendor, no LLM provider, and no consulting firm currently matches — that governance is not a feature you add to an AI system. It is the constitutional layer the system is built on. That understanding is the product.</w:t>
      </w:r>
    </w:p>
    <w:p>
      <w:pPr>
        <w:pStyle w:val="Heading2"/>
        <w:spacing w:after="120" w:before="300"/>
      </w:pPr>
      <w:r>
        <w:rPr>
          <w:rFonts w:ascii="Arial" w:cs="Arial" w:eastAsia="Arial" w:hAnsi="Arial"/>
          <w:b/>
          <w:bCs/>
          <w:color w:val="2E4A6A"/>
          <w:sz w:val="30"/>
          <w:szCs w:val="30"/>
        </w:rPr>
        <w:t xml:space="preserve">Investor Target Profile</w:t>
      </w:r>
    </w:p>
    <w:p>
      <w:pPr>
        <w:pStyle w:val="ListParagraph"/>
        <w:numPr>
          <w:ilvl w:val="0"/>
          <w:numId w:val="3"/>
        </w:numPr>
        <w:spacing w:after="60" w:before="60"/>
      </w:pPr>
      <w:r>
        <w:rPr>
          <w:rFonts w:ascii="Arial" w:cs="Arial" w:eastAsia="Arial" w:hAnsi="Arial"/>
          <w:sz w:val="22"/>
          <w:szCs w:val="22"/>
        </w:rPr>
        <w:t xml:space="preserve">AI-native seed funds: those with portfolio companies facing enterprise AI deployment challenges who need governance infrastructure</w:t>
      </w:r>
    </w:p>
    <w:p>
      <w:pPr>
        <w:pStyle w:val="ListParagraph"/>
        <w:numPr>
          <w:ilvl w:val="0"/>
          <w:numId w:val="3"/>
        </w:numPr>
        <w:spacing w:after="60" w:before="60"/>
      </w:pPr>
      <w:r>
        <w:rPr>
          <w:rFonts w:ascii="Arial" w:cs="Arial" w:eastAsia="Arial" w:hAnsi="Arial"/>
          <w:sz w:val="22"/>
          <w:szCs w:val="22"/>
        </w:rPr>
        <w:t xml:space="preserve">Compliance and regtech specialists: investors who understand that regulatory mandates create durable, non-cyclical demand</w:t>
      </w:r>
    </w:p>
    <w:p>
      <w:pPr>
        <w:pStyle w:val="ListParagraph"/>
        <w:numPr>
          <w:ilvl w:val="0"/>
          <w:numId w:val="3"/>
        </w:numPr>
        <w:spacing w:after="60" w:before="60"/>
      </w:pPr>
      <w:r>
        <w:rPr>
          <w:rFonts w:ascii="Arial" w:cs="Arial" w:eastAsia="Arial" w:hAnsi="Arial"/>
          <w:sz w:val="22"/>
          <w:szCs w:val="22"/>
        </w:rPr>
        <w:t xml:space="preserve">Strategic angels: CTOs, CRISOs, and Chief Compliance Officers at enterprises currently navigating AI governance problems</w:t>
      </w:r>
    </w:p>
    <w:p>
      <w:pPr>
        <w:pStyle w:val="ListParagraph"/>
        <w:numPr>
          <w:ilvl w:val="0"/>
          <w:numId w:val="3"/>
        </w:numPr>
        <w:spacing w:after="60" w:before="60"/>
      </w:pPr>
      <w:r>
        <w:rPr>
          <w:rFonts w:ascii="Arial" w:cs="Arial" w:eastAsia="Arial" w:hAnsi="Arial"/>
          <w:sz w:val="22"/>
          <w:szCs w:val="22"/>
        </w:rPr>
        <w:t xml:space="preserve">Government innovation funds: UK's UKRI/Innovate UK AI programme, EU Horizon AI safety track, US NSF Convergence Accelerator</w:t>
      </w:r>
    </w:p>
    <w:p>
      <w:pPr>
        <w:pStyle w:val="ListParagraph"/>
        <w:numPr>
          <w:ilvl w:val="0"/>
          <w:numId w:val="3"/>
        </w:numPr>
        <w:spacing w:after="60" w:before="60"/>
      </w:pPr>
      <w:r>
        <w:rPr>
          <w:rFonts w:ascii="Arial" w:cs="Arial" w:eastAsia="Arial" w:hAnsi="Arial"/>
          <w:sz w:val="22"/>
          <w:szCs w:val="22"/>
        </w:rPr>
        <w:t xml:space="preserve">Accelerators: Y Combinator (Winter 2027 batch), Antler, Entrepreneur First, and the Nat West Accelerator AI programme</w:t>
      </w:r>
    </w:p>
    <w:p>
      <w:pPr>
        <w:pStyle w:val="Heading2"/>
        <w:spacing w:after="120" w:before="300"/>
      </w:pPr>
      <w:r>
        <w:rPr>
          <w:rFonts w:ascii="Arial" w:cs="Arial" w:eastAsia="Arial" w:hAnsi="Arial"/>
          <w:b/>
          <w:bCs/>
          <w:color w:val="2E4A6A"/>
          <w:sz w:val="30"/>
          <w:szCs w:val="30"/>
        </w:rPr>
        <w:t xml:space="preserve">Competitive Landscape</w:t>
      </w:r>
    </w:p>
    <w:p>
      <w:pPr>
        <w:spacing w:after="80" w:before="80"/>
      </w:pPr>
      <w:r>
        <w:rPr>
          <w:rFonts w:ascii="Arial" w:cs="Arial" w:eastAsia="Arial" w:hAnsi="Arial"/>
          <w:color w:val="0A0A0A"/>
          <w:sz w:val="22"/>
          <w:szCs w:val="22"/>
        </w:rPr>
        <w:t xml:space="preserve">No direct competitor operates at the pre-LLM governance layer with a mathematically specified, empirically validated protocol. The nearest analogues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760"/>
      </w:tblGrid>
      <w:tr>
        <w:tc>
          <w:tcPr>
            <w:tcW w:type="dxa" w:w="24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Competitor</w:t>
            </w:r>
          </w:p>
        </w:tc>
        <w:tc>
          <w:tcPr>
            <w:tcW w:type="dxa" w:w="24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What They Do</w:t>
            </w:r>
          </w:p>
        </w:tc>
        <w:tc>
          <w:tcPr>
            <w:tcW w:type="dxa" w:w="240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What They Don't Do</w:t>
            </w:r>
          </w:p>
        </w:tc>
        <w:tc>
          <w:tcPr>
            <w:tcW w:type="dxa" w:w="1760"/>
            <w:tcBorders>
              <w:top w:val="single" w:color="2E4A6A" w:sz="1"/>
              <w:left w:val="single" w:color="2E4A6A" w:sz="1"/>
              <w:bottom w:val="single" w:color="2E4A6A" w:sz="1"/>
              <w:right w:val="single" w:color="2E4A6A" w:sz="1"/>
            </w:tcBorders>
            <w:shd w:fill="1B2A3A" w:val="clear"/>
            <w:tcMar>
              <w:top w:type="dxa" w:w="80"/>
              <w:left w:type="dxa" w:w="100"/>
              <w:bottom w:type="dxa" w:w="80"/>
              <w:right w:type="dxa" w:w="100"/>
            </w:tcMar>
          </w:tcPr>
          <w:p>
            <w:r>
              <w:rPr>
                <w:rFonts w:ascii="Arial" w:cs="Arial" w:eastAsia="Arial" w:hAnsi="Arial"/>
                <w:b/>
                <w:bCs/>
                <w:color w:val="FFFFFF"/>
                <w:sz w:val="20"/>
                <w:szCs w:val="20"/>
              </w:rPr>
              <w:t xml:space="preserve">DAXDA Advantage</w:t>
            </w:r>
          </w:p>
        </w:tc>
      </w:tr>
      <w:tr>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Guardrails AI</w:t>
            </w:r>
          </w:p>
        </w:tc>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Post-generation output filtering</w:t>
            </w:r>
          </w:p>
        </w:tc>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Pre-LLM governance, 886-op depth</w:t>
            </w:r>
          </w:p>
        </w:tc>
        <w:tc>
          <w:tcPr>
            <w:tcW w:type="dxa" w:w="1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Constitutional layer</w:t>
            </w:r>
          </w:p>
        </w:tc>
      </w:tr>
      <w:tr>
        <w:tc>
          <w:tcPr>
            <w:tcW w:type="dxa" w:w="24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Nemo Guardrails (NVIDIA)</w:t>
            </w:r>
          </w:p>
        </w:tc>
        <w:tc>
          <w:tcPr>
            <w:tcW w:type="dxa" w:w="24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Conversational guardrails for chat apps</w:t>
            </w:r>
          </w:p>
        </w:tc>
        <w:tc>
          <w:tcPr>
            <w:tcW w:type="dxa" w:w="24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Enterprise audit trail, DA13 depth</w:t>
            </w:r>
          </w:p>
        </w:tc>
        <w:tc>
          <w:tcPr>
            <w:tcW w:type="dxa" w:w="17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Audit certifiability</w:t>
            </w:r>
          </w:p>
        </w:tc>
      </w:tr>
      <w:tr>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Scale AI / Rlhf.io</w:t>
            </w:r>
          </w:p>
        </w:tc>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Training-time alignment</w:t>
            </w:r>
          </w:p>
        </w:tc>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Inference-time governance, runtime audit</w:t>
            </w:r>
          </w:p>
        </w:tc>
        <w:tc>
          <w:tcPr>
            <w:tcW w:type="dxa" w:w="1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Runtime enforcement</w:t>
            </w:r>
          </w:p>
        </w:tc>
      </w:tr>
      <w:tr>
        <w:tc>
          <w:tcPr>
            <w:tcW w:type="dxa" w:w="24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Anthropic Claude</w:t>
            </w:r>
          </w:p>
        </w:tc>
        <w:tc>
          <w:tcPr>
            <w:tcW w:type="dxa" w:w="24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Safety-trained LLM</w:t>
            </w:r>
          </w:p>
        </w:tc>
        <w:tc>
          <w:tcPr>
            <w:tcW w:type="dxa" w:w="240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val="false"/>
                <w:bCs w:val="false"/>
                <w:color w:val="0A0A0A"/>
                <w:sz w:val="20"/>
                <w:szCs w:val="20"/>
              </w:rPr>
              <w:t xml:space="preserve">Enterprise governance layer, audit infra</w:t>
            </w:r>
          </w:p>
        </w:tc>
        <w:tc>
          <w:tcPr>
            <w:tcW w:type="dxa" w:w="1760"/>
            <w:tcBorders>
              <w:top w:val="single" w:color="8899AA" w:sz="1"/>
              <w:left w:val="single" w:color="8899AA" w:sz="1"/>
              <w:bottom w:val="single" w:color="8899AA" w:sz="1"/>
              <w:right w:val="single" w:color="8899AA" w:sz="1"/>
            </w:tcBorders>
            <w:shd w:fill="FFFFFF" w:val="clear"/>
            <w:tcMar>
              <w:top w:type="dxa" w:w="80"/>
              <w:left w:type="dxa" w:w="100"/>
              <w:bottom w:type="dxa" w:w="80"/>
              <w:right w:type="dxa" w:w="100"/>
            </w:tcMar>
          </w:tcPr>
          <w:p>
            <w:r>
              <w:rPr>
                <w:rFonts w:ascii="Arial" w:cs="Arial" w:eastAsia="Arial" w:hAnsi="Arial"/>
                <w:b/>
                <w:bCs/>
                <w:color w:val="1A6B3C"/>
                <w:sz w:val="20"/>
                <w:szCs w:val="20"/>
              </w:rPr>
              <w:t xml:space="preserve">Non-LLM governance</w:t>
            </w:r>
          </w:p>
        </w:tc>
      </w:tr>
      <w:tr>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Internal Compliance Teams</w:t>
            </w:r>
          </w:p>
        </w:tc>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Manual review processes</w:t>
            </w:r>
          </w:p>
        </w:tc>
        <w:tc>
          <w:tcPr>
            <w:tcW w:type="dxa" w:w="240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val="false"/>
                <w:bCs w:val="false"/>
                <w:color w:val="0A0A0A"/>
                <w:sz w:val="20"/>
                <w:szCs w:val="20"/>
              </w:rPr>
              <w:t xml:space="preserve">Scale, speed, auditability</w:t>
            </w:r>
          </w:p>
        </w:tc>
        <w:tc>
          <w:tcPr>
            <w:tcW w:type="dxa" w:w="1760"/>
            <w:tcBorders>
              <w:top w:val="single" w:color="8899AA" w:sz="1"/>
              <w:left w:val="single" w:color="8899AA" w:sz="1"/>
              <w:bottom w:val="single" w:color="8899AA" w:sz="1"/>
              <w:right w:val="single" w:color="8899AA" w:sz="1"/>
            </w:tcBorders>
            <w:shd w:fill="EAF0F6" w:val="clear"/>
            <w:tcMar>
              <w:top w:type="dxa" w:w="80"/>
              <w:left w:type="dxa" w:w="100"/>
              <w:bottom w:type="dxa" w:w="80"/>
              <w:right w:type="dxa" w:w="100"/>
            </w:tcMar>
          </w:tcPr>
          <w:p>
            <w:r>
              <w:rPr>
                <w:rFonts w:ascii="Arial" w:cs="Arial" w:eastAsia="Arial" w:hAnsi="Arial"/>
                <w:b/>
                <w:bCs/>
                <w:color w:val="1A6B3C"/>
                <w:sz w:val="20"/>
                <w:szCs w:val="20"/>
              </w:rPr>
              <w:t xml:space="preserve">10,000x throughput</w:t>
            </w:r>
          </w:p>
        </w:tc>
      </w:tr>
    </w:tbl>
    <w:p>
      <w:pPr>
        <w:pStyle w:val="Heading2"/>
        <w:spacing w:after="120" w:before="300"/>
      </w:pPr>
      <w:r>
        <w:rPr>
          <w:rFonts w:ascii="Arial" w:cs="Arial" w:eastAsia="Arial" w:hAnsi="Arial"/>
          <w:b/>
          <w:bCs/>
          <w:color w:val="2E4A6A"/>
          <w:sz w:val="30"/>
          <w:szCs w:val="30"/>
        </w:rPr>
        <w:t xml:space="preserve">The Exit Thesis</w:t>
      </w:r>
    </w:p>
    <w:p>
      <w:pPr>
        <w:spacing w:after="80" w:before="80"/>
      </w:pPr>
      <w:r>
        <w:rPr>
          <w:rFonts w:ascii="Arial" w:cs="Arial" w:eastAsia="Arial" w:hAnsi="Arial"/>
          <w:color w:val="0A0A0A"/>
          <w:sz w:val="22"/>
          <w:szCs w:val="22"/>
        </w:rPr>
        <w:t xml:space="preserve">DAXDA.IA is built to win — as an independent public company or as the governance infrastructure layer of one of the world's largest technology platforms. The most credible strategic acquirers in 2030–2035 include: Salesforce (AI trust layer for the Einstein platform), Microsoft (Azure AI governance for enterprise), ServiceNow (compliance automation for the enterprise workflow stack), Palantir (auditable AI for government and defence), and any of the major cloud providers seeking to differentiate on AI governance as a managed service.</w:t>
      </w:r>
    </w:p>
    <w:p>
      <w:pPr>
        <w:spacing w:after="80" w:before="80"/>
      </w:pPr>
      <w:r>
        <w:rPr>
          <w:rFonts w:ascii="Arial" w:cs="Arial" w:eastAsia="Arial" w:hAnsi="Arial"/>
          <w:color w:val="0A0A0A"/>
          <w:sz w:val="22"/>
          <w:szCs w:val="22"/>
        </w:rPr>
        <w:t xml:space="preserve">At $98M ARR in Year 5 and 85% gross margins, DAXDA.IA commands a 15–25× revenue multiple at exit — a $1.5B to $2.5B outcome on a $1.5M seed investment. That is not optimism. That is the math of infrastructure businesses in regulatory markets.</w:t>
      </w:r>
    </w:p>
    <w:p>
      <w:pPr>
        <w:pStyle w:val="Heading2"/>
        <w:spacing w:after="120" w:before="300"/>
      </w:pPr>
      <w:r>
        <w:rPr>
          <w:rFonts w:ascii="Arial" w:cs="Arial" w:eastAsia="Arial" w:hAnsi="Arial"/>
          <w:b/>
          <w:bCs/>
          <w:color w:val="2E4A6A"/>
          <w:sz w:val="30"/>
          <w:szCs w:val="30"/>
        </w:rPr>
        <w:t xml:space="preserve">The One Thing We Need Investors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8899AA" w:sz="1"/>
              <w:bottom w:val="single" w:color="8899AA" w:sz="1"/>
              <w:right w:val="single" w:color="8899AA" w:sz="1"/>
            </w:tcBorders>
            <w:shd w:fill="EAF0F6" w:val="clear"/>
            <w:tcMar>
              <w:top w:type="dxa" w:w="120"/>
              <w:left w:type="dxa" w:w="200"/>
              <w:bottom w:type="dxa" w:w="120"/>
              <w:right w:type="dxa" w:w="200"/>
            </w:tcMar>
          </w:tcPr>
          <w:p>
            <w:pPr>
              <w:spacing w:after="60" w:before="0"/>
            </w:pPr>
            <w:r>
              <w:rPr>
                <w:rFonts w:ascii="Arial" w:cs="Arial" w:eastAsia="Arial" w:hAnsi="Arial"/>
                <w:b/>
                <w:bCs/>
                <w:color w:val="C9A84C"/>
                <w:sz w:val="20"/>
                <w:szCs w:val="20"/>
              </w:rPr>
              <w:t xml:space="preserve">THE CORE ARGUMENT</w:t>
            </w:r>
          </w:p>
          <w:p>
            <w:pPr>
              <w:spacing w:after="0" w:before="0"/>
            </w:pPr>
            <w:r>
              <w:rPr>
                <w:rFonts w:ascii="Arial" w:cs="Arial" w:eastAsia="Arial" w:hAnsi="Arial"/>
                <w:color w:val="0A0A0A"/>
                <w:sz w:val="21"/>
                <w:szCs w:val="21"/>
              </w:rPr>
              <w:t xml:space="preserve">The world spent ten years arguing about whether AI needed to be safe. It is now spending ten years learning that safety without governance infrastructure is a press release. DAXDA.IA is the governance infrastructure. The market is $68 billion. The technical validation is done. The regulatory tailwind is generational. The only question left is who writes the first check.</w:t>
            </w:r>
          </w:p>
        </w:tc>
      </w:tr>
    </w:tbl>
    <w:p>
      <w:pPr>
        <w:pStyle w:val="Heading1"/>
        <w:pageBreakBefore/>
        <w:spacing w:after="240" w:before="0"/>
      </w:pPr>
      <w:r>
        <w:rPr>
          <w:rFonts w:ascii="Arial" w:cs="Arial" w:eastAsia="Arial" w:hAnsi="Arial"/>
          <w:b/>
          <w:bCs/>
          <w:color w:val="0D1B2A"/>
          <w:sz w:val="40"/>
          <w:szCs w:val="40"/>
        </w:rPr>
        <w:t xml:space="preserve">CONCLUSION: THE ARCHITECTURE OF TRUST</w:t>
      </w:r>
    </w:p>
    <w:p>
      <w:pPr>
        <w:spacing w:after="80" w:before="80"/>
      </w:pPr>
      <w:r>
        <w:rPr>
          <w:rFonts w:ascii="Arial" w:cs="Arial" w:eastAsia="Arial" w:hAnsi="Arial"/>
          <w:color w:val="0A0A0A"/>
          <w:sz w:val="22"/>
          <w:szCs w:val="22"/>
        </w:rPr>
        <w:t xml:space="preserve">Every great infrastructure company is built on a single insight that arrives before the market is ready to receive it. The insight behind DAXDA.IA is this: the most dangerous AI in the world is not the most capable AI. It is the most ungoverned one.</w:t>
      </w:r>
    </w:p>
    <w:p>
      <w:pPr>
        <w:spacing w:after="80" w:before="80"/>
      </w:pPr>
      <w:r>
        <w:rPr>
          <w:rFonts w:ascii="Arial" w:cs="Arial" w:eastAsia="Arial" w:hAnsi="Arial"/>
          <w:color w:val="0A0A0A"/>
          <w:sz w:val="22"/>
          <w:szCs w:val="22"/>
        </w:rPr>
        <w:t xml:space="preserve">The 886-Ops Architecture, the DA13 Dialectical Alignment Protocol, the Kubernetes deployment stack, the Hostinger production path, and the financial model documented in this brief are not aspirations. They are specifications. They are validated. They are deployable today, on a $32/month Hostinger VPS, for a founding team with a laptop and a conviction.</w:t>
      </w:r>
    </w:p>
    <w:p>
      <w:pPr>
        <w:spacing w:after="80" w:before="80"/>
      </w:pPr>
      <w:r>
        <w:rPr>
          <w:rFonts w:ascii="Arial" w:cs="Arial" w:eastAsia="Arial" w:hAnsi="Arial"/>
          <w:color w:val="0A0A0A"/>
          <w:sz w:val="22"/>
          <w:szCs w:val="22"/>
        </w:rPr>
        <w:t xml:space="preserve">What scales from that foundation is not just a product. It is the standard. The first company to establish the certification mark for AI governance in enterprise software — the equivalent of SSL for AI outputs — will define the trust economy for the next three decades.</w:t>
      </w:r>
    </w:p>
    <w:p>
      <w:pPr>
        <w:spacing w:after="80" w:before="80"/>
      </w:pPr>
      <w:r>
        <w:rPr>
          <w:rFonts w:ascii="Arial" w:cs="Arial" w:eastAsia="Arial" w:hAnsi="Arial"/>
          <w:color w:val="0A0A0A"/>
          <w:sz w:val="22"/>
          <w:szCs w:val="22"/>
        </w:rPr>
        <w:t xml:space="preserve">DAXDA.IA is that company. DA13 is that standard. The architecture is complete. The funding package is open. The market is waiting.</w:t>
      </w:r>
    </w:p>
    <w:p>
      <w:pPr>
        <w:spacing w:after="0" w:before="240"/>
      </w:pPr>
    </w:p>
    <w:p>
      <w:pPr>
        <w:pBdr>
          <w:bottom w:val="single" w:color="C9A84C" w:sz="4" w:space="1"/>
        </w:pBdr>
        <w:spacing w:after="120" w:before="120"/>
      </w:pPr>
    </w:p>
    <w:p>
      <w:pPr>
        <w:spacing w:after="80" w:before="120"/>
        <w:jc w:val="center"/>
      </w:pPr>
      <w:r>
        <w:rPr>
          <w:rFonts w:ascii="Arial" w:cs="Arial" w:eastAsia="Arial" w:hAnsi="Arial"/>
          <w:i/>
          <w:iCs/>
          <w:color w:val="8899AA"/>
          <w:sz w:val="20"/>
          <w:szCs w:val="20"/>
        </w:rPr>
        <w:t xml:space="preserve">DAXDA.IA  ·  886-Ops Architecture  ·  DA13 Dialectical Alignment Protocol</w:t>
      </w:r>
    </w:p>
    <w:p>
      <w:pPr>
        <w:spacing w:after="0" w:before="0"/>
        <w:jc w:val="center"/>
      </w:pPr>
      <w:r>
        <w:rPr>
          <w:rFonts w:ascii="Arial" w:cs="Arial" w:eastAsia="Arial" w:hAnsi="Arial"/>
          <w:color w:val="8899AA"/>
          <w:sz w:val="20"/>
          <w:szCs w:val="20"/>
        </w:rPr>
        <w:t xml:space="preserve">Designed by Nicole Bess  ·  May 2026  ·  CONFIDENTIAL</w:t>
      </w:r>
    </w:p>
    <w:p>
      <w:pPr>
        <w:pBdr>
          <w:bottom w:val="single" w:color="C9A84C" w:sz="4" w:space="1"/>
        </w:pBdr>
        <w:spacing w:after="120"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6A" w:sz="4" w:space="1"/>
      </w:pBdr>
      <w:spacing w:after="0" w:before="100"/>
    </w:pPr>
    <w:r>
      <w:rPr>
        <w:rFonts w:ascii="Arial" w:cs="Arial" w:eastAsia="Arial" w:hAnsi="Arial"/>
        <w:color w:val="8899AA"/>
        <w:sz w:val="18"/>
        <w:szCs w:val="18"/>
      </w:rPr>
      <w:t xml:space="preserve">Nicole Bess  ·  DA13 Dialectical Alignment Protocol  ·  Page </w:t>
    </w:r>
    <w:r>
      <w:rPr>
        <w:rFonts w:ascii="Arial" w:cs="Arial" w:eastAsia="Arial" w:hAnsi="Arial"/>
        <w:color w:val="8899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6A" w:sz="4" w:space="1"/>
      </w:pBdr>
      <w:spacing w:after="100" w:before="0"/>
    </w:pPr>
    <w:r>
      <w:rPr>
        <w:rFonts w:ascii="Arial" w:cs="Arial" w:eastAsia="Arial" w:hAnsi="Arial"/>
        <w:b/>
        <w:bCs/>
        <w:color w:val="C9A84C"/>
        <w:sz w:val="18"/>
        <w:szCs w:val="18"/>
      </w:rPr>
      <w:t xml:space="preserve">DAXDA.IA  886-OPS ARCHITECTURE</w:t>
    </w:r>
    <w:r>
      <w:rPr>
        <w:rFonts w:ascii="Arial" w:cs="Arial" w:eastAsia="Arial" w:hAnsi="Arial"/>
        <w:color w:val="8899AA"/>
        <w:sz w:val="18"/>
        <w:szCs w:val="18"/>
      </w:rPr>
      <w:t xml:space="preserve">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2E4A6A"/>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B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2026-05-26T23:43:38.037Z</dcterms:created>
  <dcterms:modified xsi:type="dcterms:W3CDTF">2026-05-26T23:43:38.049Z</dcterms:modified>
</cp:coreProperties>
</file>

<file path=docProps/custom.xml><?xml version="1.0" encoding="utf-8"?>
<Properties xmlns="http://schemas.openxmlformats.org/officeDocument/2006/custom-properties" xmlns:vt="http://schemas.openxmlformats.org/officeDocument/2006/docPropsVTypes"/>
</file>