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7"/>
        <w:gridCol w:w="680"/>
        <w:gridCol w:w="3118"/>
        <w:gridCol w:w="1700"/>
      </w:tblGrid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Biomarker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Row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Group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Stud. residual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IL-6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13.87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Insulin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44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9.04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HOMA-IR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88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8.52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HOMA-IR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44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7.53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Insulin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88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7.20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LDH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96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-5.93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CRP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70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5.59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NAD⁺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89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5.12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Glucose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11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4.96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NAD⁺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62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4.67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HDL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74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4.67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HbA1c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81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4.19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HbA1c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80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-4.06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Biological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-4.00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HbA1c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89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-3.97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Non-HDL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25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-3.93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Total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25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-3.92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Memory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3.91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CRP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58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3.88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IL-6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34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3.86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LDH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87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-3.82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Triglycerides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73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3.80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Fibrinogen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96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-3.73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LDH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89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-3.73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LDL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25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-3.61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Biological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71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3.61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HbA1c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-3.60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Triglycerides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3.49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CRP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54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-3.45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Memory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3.41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Hearing Age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13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3.19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HbA1c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96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-3.18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HDL Cholesterol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3.15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Inflammation Score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68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-3.13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AFP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82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3.10</w:t>
            </w:r>
          </w:p>
        </w:tc>
      </w:tr>
      <w:tr>
        <w:tc>
          <w:tcPr>
            <w:tcW w:type="dxa" w:w="2267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Glucose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89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Tyrimai + papildai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22"/>
              </w:rPr>
              <w:t>3.09</w:t>
            </w:r>
          </w:p>
        </w:tc>
      </w:tr>
    </w:tbl>
    <w:p/>
    <w:p>
      <w:pPr>
        <w:spacing w:after="40" w:before="0"/>
      </w:pPr>
      <w:r>
        <w:rPr>
          <w:rFonts w:ascii="Arial" w:hAnsi="Arial"/>
          <w:b w:val="0"/>
          <w:color w:val="404040"/>
          <w:sz w:val="16"/>
        </w:rPr>
        <w:t>Criterion: |r*| &gt; 3 (external studentized residual) from ANCOVA model T1 ~ T0 + Treatment, fitted per biomarker. 36 observation(s) flagged. Outliers retained in the analysis.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