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7"/>
        <w:gridCol w:w="680"/>
        <w:gridCol w:w="3118"/>
        <w:gridCol w:w="1247"/>
        <w:gridCol w:w="1133"/>
      </w:tblGrid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Biomarker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Row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Group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Δ value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Z-score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8.910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6.36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41.100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6.30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-41.060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-6.09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39.400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5.98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8.140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5.79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37.500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5.73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-183.000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-5.35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-7.390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-5.00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-4.260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-4.63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32.800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4.58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-4.360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-4.52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-3.830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-4.39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31.200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4.32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1.070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3.94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-16.610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-3.79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-2.310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-3.72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-124.750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-3.67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9.200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3.67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12.910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3.65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-8.700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-3.65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10.300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3.53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-3.100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-3.52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-3.270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-3.51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-111.000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-3.28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-14.550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-3.27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98.000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3.24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-13.850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-3.10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9.000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3.05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-4.560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-3.03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1.440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3.01</w:t>
            </w:r>
          </w:p>
        </w:tc>
      </w:tr>
    </w:tbl>
    <w:p/>
    <w:p>
      <w:pPr>
        <w:spacing w:after="40" w:before="0"/>
      </w:pPr>
      <w:r>
        <w:rPr>
          <w:rFonts w:ascii="Arial" w:hAnsi="Arial"/>
          <w:b w:val="0"/>
          <w:color w:val="404040"/>
          <w:sz w:val="16"/>
        </w:rPr>
        <w:t>Criterion: |z| &gt; 3 on Δ values across all 99 participants. 30 observation(s) flagged. Outliers retained in the analysis.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